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E93" w:rsidRDefault="00E53BDD">
      <w:pPr>
        <w:spacing w:line="560" w:lineRule="exact"/>
        <w:ind w:firstLineChars="0" w:firstLine="0"/>
        <w:jc w:val="center"/>
        <w:rPr>
          <w:rFonts w:ascii="方正小标宋_GBK" w:eastAsia="方正小标宋_GBK" w:hAnsi="方正小标宋_GBK" w:cs="方正小标宋_GBK"/>
          <w:bCs/>
          <w:sz w:val="48"/>
          <w:szCs w:val="48"/>
        </w:rPr>
      </w:pPr>
      <w:r>
        <w:rPr>
          <w:rFonts w:ascii="方正小标宋_GBK" w:eastAsia="方正小标宋_GBK" w:hAnsi="方正小标宋_GBK" w:cs="方正小标宋_GBK" w:hint="eastAsia"/>
          <w:bCs/>
          <w:sz w:val="48"/>
          <w:szCs w:val="48"/>
        </w:rPr>
        <w:t>太仓市“十四五”知识产权发展规划</w:t>
      </w:r>
    </w:p>
    <w:p w:rsidR="001851D2" w:rsidRDefault="001851D2">
      <w:pPr>
        <w:overflowPunct w:val="0"/>
        <w:spacing w:line="560" w:lineRule="exact"/>
        <w:ind w:firstLineChars="800" w:firstLine="3520"/>
        <w:outlineLvl w:val="0"/>
        <w:rPr>
          <w:rFonts w:ascii="方正小标宋_GBK" w:eastAsia="方正小标宋_GBK" w:hAnsi="方正小标宋_GBK" w:cs="方正小标宋_GBK"/>
          <w:sz w:val="44"/>
          <w:szCs w:val="44"/>
        </w:rPr>
      </w:pPr>
      <w:bookmarkStart w:id="0" w:name="_Toc21683"/>
      <w:bookmarkStart w:id="1" w:name="_Toc11447"/>
      <w:bookmarkStart w:id="2" w:name="_Toc5787"/>
      <w:bookmarkStart w:id="3" w:name="_Toc25471"/>
      <w:bookmarkStart w:id="4" w:name="_Toc5165"/>
      <w:bookmarkStart w:id="5" w:name="_Toc28034"/>
      <w:bookmarkStart w:id="6" w:name="_Toc20493"/>
      <w:bookmarkStart w:id="7" w:name="_Toc19905"/>
      <w:bookmarkStart w:id="8" w:name="_Toc29914"/>
    </w:p>
    <w:p w:rsidR="00833E93" w:rsidRDefault="00E53BDD">
      <w:pPr>
        <w:overflowPunct w:val="0"/>
        <w:spacing w:line="560" w:lineRule="exact"/>
        <w:ind w:firstLineChars="800" w:firstLine="3520"/>
        <w:outlineLvl w:val="0"/>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序  言</w:t>
      </w:r>
      <w:bookmarkEnd w:id="0"/>
      <w:bookmarkEnd w:id="1"/>
      <w:bookmarkEnd w:id="2"/>
      <w:bookmarkEnd w:id="3"/>
      <w:bookmarkEnd w:id="4"/>
      <w:bookmarkEnd w:id="5"/>
      <w:bookmarkEnd w:id="6"/>
      <w:bookmarkEnd w:id="7"/>
      <w:bookmarkEnd w:id="8"/>
    </w:p>
    <w:p w:rsidR="00833E93" w:rsidRDefault="00E53BDD">
      <w:pPr>
        <w:pStyle w:val="1"/>
        <w:adjustRightInd w:val="0"/>
        <w:ind w:firstLine="640"/>
      </w:pPr>
      <w:bookmarkStart w:id="9" w:name="_Toc28532"/>
      <w:bookmarkStart w:id="10" w:name="_Toc14841"/>
      <w:bookmarkStart w:id="11" w:name="_Toc22371"/>
      <w:bookmarkStart w:id="12" w:name="_Toc21441"/>
      <w:bookmarkStart w:id="13" w:name="_Toc14263"/>
      <w:bookmarkStart w:id="14" w:name="_Toc2090"/>
      <w:bookmarkStart w:id="15" w:name="_Toc7771"/>
      <w:bookmarkStart w:id="16" w:name="_Toc21970"/>
      <w:bookmarkStart w:id="17" w:name="_Toc21187"/>
      <w:bookmarkStart w:id="18" w:name="_GoBack"/>
      <w:bookmarkEnd w:id="18"/>
      <w:r>
        <w:rPr>
          <w:rFonts w:hint="eastAsia"/>
        </w:rPr>
        <w:t>发展基础与面临形势</w:t>
      </w:r>
      <w:bookmarkEnd w:id="9"/>
      <w:bookmarkEnd w:id="10"/>
      <w:bookmarkEnd w:id="11"/>
      <w:bookmarkEnd w:id="12"/>
      <w:bookmarkEnd w:id="13"/>
      <w:bookmarkEnd w:id="14"/>
      <w:bookmarkEnd w:id="15"/>
      <w:bookmarkEnd w:id="16"/>
      <w:bookmarkEnd w:id="17"/>
    </w:p>
    <w:p w:rsidR="00833E93" w:rsidRPr="00E53BDD" w:rsidRDefault="00E53BDD">
      <w:pPr>
        <w:pStyle w:val="2"/>
        <w:adjustRightInd w:val="0"/>
        <w:ind w:firstLine="640"/>
        <w:rPr>
          <w:rFonts w:eastAsia="楷体_GB2312"/>
        </w:rPr>
      </w:pPr>
      <w:bookmarkStart w:id="19" w:name="_Toc6434"/>
      <w:bookmarkStart w:id="20" w:name="_Toc11731"/>
      <w:bookmarkStart w:id="21" w:name="_Toc3292"/>
      <w:bookmarkStart w:id="22" w:name="_Toc14299"/>
      <w:bookmarkStart w:id="23" w:name="_Toc25543"/>
      <w:bookmarkStart w:id="24" w:name="_Toc17741"/>
      <w:bookmarkStart w:id="25" w:name="_Toc6502"/>
      <w:bookmarkStart w:id="26" w:name="_Toc26411"/>
      <w:bookmarkStart w:id="27" w:name="_Toc31599"/>
      <w:r w:rsidRPr="00E53BDD">
        <w:rPr>
          <w:rFonts w:eastAsia="楷体_GB2312" w:hint="eastAsia"/>
        </w:rPr>
        <w:t>发展基础</w:t>
      </w:r>
      <w:bookmarkEnd w:id="19"/>
      <w:bookmarkEnd w:id="20"/>
      <w:bookmarkEnd w:id="21"/>
      <w:bookmarkEnd w:id="22"/>
      <w:bookmarkEnd w:id="23"/>
      <w:bookmarkEnd w:id="24"/>
      <w:bookmarkEnd w:id="25"/>
      <w:bookmarkEnd w:id="26"/>
      <w:bookmarkEnd w:id="27"/>
    </w:p>
    <w:p w:rsidR="00833E93" w:rsidRPr="00E53BDD" w:rsidRDefault="00E53BDD">
      <w:pPr>
        <w:adjustRightInd w:val="0"/>
        <w:spacing w:line="560" w:lineRule="exact"/>
        <w:ind w:firstLine="643"/>
        <w:outlineLvl w:val="2"/>
        <w:rPr>
          <w:rFonts w:ascii="仿宋" w:eastAsia="仿宋_GB2312" w:hAnsi="仿宋"/>
          <w:b/>
          <w:sz w:val="32"/>
          <w:szCs w:val="32"/>
        </w:rPr>
      </w:pPr>
      <w:bookmarkStart w:id="28" w:name="_Toc30096"/>
      <w:bookmarkStart w:id="29" w:name="_Toc9737"/>
      <w:bookmarkStart w:id="30" w:name="_Toc22579"/>
      <w:bookmarkStart w:id="31" w:name="_Toc13274"/>
      <w:bookmarkStart w:id="32" w:name="_Toc1413"/>
      <w:bookmarkStart w:id="33" w:name="_Toc30100"/>
      <w:bookmarkStart w:id="34" w:name="_Toc15124"/>
      <w:bookmarkStart w:id="35" w:name="_Toc29194"/>
      <w:bookmarkStart w:id="36" w:name="_Toc17047"/>
      <w:r w:rsidRPr="00E53BDD">
        <w:rPr>
          <w:rFonts w:ascii="仿宋" w:eastAsia="仿宋_GB2312" w:hAnsi="仿宋" w:hint="eastAsia"/>
          <w:b/>
          <w:sz w:val="32"/>
          <w:szCs w:val="32"/>
        </w:rPr>
        <w:t>1.</w:t>
      </w:r>
      <w:r w:rsidRPr="00E53BDD">
        <w:rPr>
          <w:rFonts w:ascii="仿宋" w:eastAsia="仿宋_GB2312" w:hAnsi="仿宋" w:hint="eastAsia"/>
          <w:b/>
          <w:sz w:val="32"/>
          <w:szCs w:val="32"/>
        </w:rPr>
        <w:t>示范创建卓有成效</w:t>
      </w:r>
      <w:bookmarkEnd w:id="28"/>
      <w:bookmarkEnd w:id="29"/>
      <w:bookmarkEnd w:id="30"/>
      <w:bookmarkEnd w:id="31"/>
      <w:bookmarkEnd w:id="32"/>
      <w:bookmarkEnd w:id="33"/>
      <w:bookmarkEnd w:id="34"/>
      <w:bookmarkEnd w:id="35"/>
      <w:bookmarkEnd w:id="36"/>
    </w:p>
    <w:p w:rsidR="00833E93" w:rsidRDefault="00E53BDD">
      <w:pPr>
        <w:adjustRightInd w:val="0"/>
        <w:spacing w:line="560" w:lineRule="exact"/>
        <w:ind w:firstLine="640"/>
      </w:pPr>
      <w:bookmarkStart w:id="37" w:name="_Toc18120"/>
      <w:r w:rsidRPr="00E53BDD">
        <w:rPr>
          <w:rFonts w:ascii="仿宋" w:eastAsia="仿宋_GB2312" w:hAnsi="仿宋" w:hint="eastAsia"/>
          <w:sz w:val="32"/>
          <w:szCs w:val="32"/>
        </w:rPr>
        <w:t>“十三五”时期，太仓市获批国家知识产权强县工程示范县，荣获中国县域知识产权竞争力排行榜第六名。太仓高新技术产业开发区获评江苏省知识产权试点园区，获批江苏省知识产权示范园区，太仓港经济技术开发区获评江苏省知识产权示范园区。</w:t>
      </w:r>
    </w:p>
    <w:p w:rsidR="00833E93" w:rsidRPr="00E53BDD" w:rsidRDefault="00E53BDD">
      <w:pPr>
        <w:adjustRightInd w:val="0"/>
        <w:spacing w:line="560" w:lineRule="exact"/>
        <w:ind w:firstLine="643"/>
        <w:outlineLvl w:val="2"/>
        <w:rPr>
          <w:rFonts w:ascii="仿宋" w:eastAsia="仿宋_GB2312" w:hAnsi="仿宋"/>
          <w:b/>
          <w:sz w:val="32"/>
          <w:szCs w:val="32"/>
        </w:rPr>
      </w:pPr>
      <w:bookmarkStart w:id="38" w:name="_Toc31556"/>
      <w:bookmarkStart w:id="39" w:name="_Toc25498"/>
      <w:bookmarkStart w:id="40" w:name="_Toc16599"/>
      <w:bookmarkStart w:id="41" w:name="_Toc27907"/>
      <w:bookmarkStart w:id="42" w:name="_Toc19102"/>
      <w:bookmarkStart w:id="43" w:name="_Toc3224"/>
      <w:bookmarkStart w:id="44" w:name="_Toc9246"/>
      <w:bookmarkStart w:id="45" w:name="_Toc7187"/>
      <w:r w:rsidRPr="00E53BDD">
        <w:rPr>
          <w:rFonts w:ascii="仿宋" w:eastAsia="仿宋_GB2312" w:hAnsi="仿宋" w:hint="eastAsia"/>
          <w:b/>
          <w:sz w:val="32"/>
          <w:szCs w:val="32"/>
        </w:rPr>
        <w:t>2.</w:t>
      </w:r>
      <w:r w:rsidRPr="00E53BDD">
        <w:rPr>
          <w:rFonts w:ascii="仿宋" w:eastAsia="仿宋_GB2312" w:hAnsi="仿宋" w:hint="eastAsia"/>
          <w:b/>
          <w:sz w:val="32"/>
          <w:szCs w:val="32"/>
        </w:rPr>
        <w:t>创造活力显著增强</w:t>
      </w:r>
      <w:bookmarkEnd w:id="37"/>
      <w:bookmarkEnd w:id="38"/>
      <w:bookmarkEnd w:id="39"/>
      <w:bookmarkEnd w:id="40"/>
      <w:bookmarkEnd w:id="41"/>
      <w:bookmarkEnd w:id="42"/>
      <w:bookmarkEnd w:id="43"/>
      <w:bookmarkEnd w:id="44"/>
      <w:bookmarkEnd w:id="45"/>
    </w:p>
    <w:p w:rsidR="00833E93" w:rsidRPr="00E53BDD" w:rsidRDefault="00E53BDD">
      <w:pPr>
        <w:adjustRightInd w:val="0"/>
        <w:spacing w:line="560" w:lineRule="exact"/>
        <w:ind w:firstLine="640"/>
        <w:rPr>
          <w:rFonts w:ascii="仿宋" w:eastAsia="仿宋_GB2312" w:hAnsi="仿宋"/>
          <w:sz w:val="32"/>
          <w:szCs w:val="32"/>
        </w:rPr>
      </w:pPr>
      <w:r w:rsidRPr="00E53BDD">
        <w:rPr>
          <w:rFonts w:ascii="仿宋" w:eastAsia="仿宋_GB2312" w:hAnsi="仿宋" w:hint="eastAsia"/>
          <w:sz w:val="32"/>
          <w:szCs w:val="32"/>
        </w:rPr>
        <w:t>“十三五”时期，太仓市知识产权创造相比“十二五”增势明显：太仓市新增专利申请</w:t>
      </w:r>
      <w:r w:rsidRPr="00E53BDD">
        <w:rPr>
          <w:rFonts w:ascii="仿宋" w:eastAsia="仿宋_GB2312" w:hAnsi="仿宋" w:hint="eastAsia"/>
          <w:sz w:val="32"/>
          <w:szCs w:val="32"/>
        </w:rPr>
        <w:t>48060</w:t>
      </w:r>
      <w:r w:rsidRPr="00E53BDD">
        <w:rPr>
          <w:rFonts w:ascii="仿宋" w:eastAsia="仿宋_GB2312" w:hAnsi="仿宋" w:hint="eastAsia"/>
          <w:sz w:val="32"/>
          <w:szCs w:val="32"/>
        </w:rPr>
        <w:t>件，增长率为</w:t>
      </w:r>
      <w:r w:rsidRPr="00E53BDD">
        <w:rPr>
          <w:rFonts w:ascii="仿宋" w:eastAsia="仿宋_GB2312" w:hAnsi="仿宋" w:hint="eastAsia"/>
          <w:sz w:val="32"/>
          <w:szCs w:val="32"/>
        </w:rPr>
        <w:t>42.64%</w:t>
      </w:r>
      <w:r w:rsidRPr="00E53BDD">
        <w:rPr>
          <w:rFonts w:ascii="仿宋" w:eastAsia="仿宋_GB2312" w:hAnsi="仿宋" w:hint="eastAsia"/>
          <w:sz w:val="32"/>
          <w:szCs w:val="32"/>
        </w:rPr>
        <w:t>；新增发明专利申请</w:t>
      </w:r>
      <w:r w:rsidRPr="00E53BDD">
        <w:rPr>
          <w:rFonts w:ascii="仿宋" w:eastAsia="仿宋_GB2312" w:hAnsi="仿宋" w:hint="eastAsia"/>
          <w:sz w:val="32"/>
          <w:szCs w:val="32"/>
        </w:rPr>
        <w:t>20582</w:t>
      </w:r>
      <w:r w:rsidRPr="00E53BDD">
        <w:rPr>
          <w:rFonts w:ascii="仿宋" w:eastAsia="仿宋_GB2312" w:hAnsi="仿宋" w:hint="eastAsia"/>
          <w:sz w:val="32"/>
          <w:szCs w:val="32"/>
        </w:rPr>
        <w:t>件，增长率为</w:t>
      </w:r>
      <w:r w:rsidRPr="00E53BDD">
        <w:rPr>
          <w:rFonts w:ascii="仿宋" w:eastAsia="仿宋_GB2312" w:hAnsi="仿宋" w:hint="eastAsia"/>
          <w:sz w:val="32"/>
          <w:szCs w:val="32"/>
        </w:rPr>
        <w:t>69.37%</w:t>
      </w:r>
      <w:r w:rsidRPr="00E53BDD">
        <w:rPr>
          <w:rFonts w:ascii="仿宋" w:eastAsia="仿宋_GB2312" w:hAnsi="仿宋" w:hint="eastAsia"/>
          <w:sz w:val="32"/>
          <w:szCs w:val="32"/>
        </w:rPr>
        <w:t>；新增</w:t>
      </w:r>
      <w:r w:rsidRPr="00E53BDD">
        <w:rPr>
          <w:rFonts w:ascii="仿宋" w:eastAsia="仿宋_GB2312" w:hAnsi="仿宋" w:hint="eastAsia"/>
          <w:sz w:val="32"/>
          <w:szCs w:val="32"/>
        </w:rPr>
        <w:t>PCT</w:t>
      </w:r>
      <w:r w:rsidRPr="00E53BDD">
        <w:rPr>
          <w:rFonts w:ascii="仿宋" w:eastAsia="仿宋_GB2312" w:hAnsi="仿宋" w:hint="eastAsia"/>
          <w:sz w:val="32"/>
          <w:szCs w:val="32"/>
        </w:rPr>
        <w:t>专利申请量</w:t>
      </w:r>
      <w:r w:rsidRPr="00E53BDD">
        <w:rPr>
          <w:rFonts w:ascii="仿宋" w:eastAsia="仿宋_GB2312" w:hAnsi="仿宋" w:hint="eastAsia"/>
          <w:sz w:val="32"/>
          <w:szCs w:val="32"/>
        </w:rPr>
        <w:t>795</w:t>
      </w:r>
      <w:r w:rsidRPr="00E53BDD">
        <w:rPr>
          <w:rFonts w:ascii="仿宋" w:eastAsia="仿宋_GB2312" w:hAnsi="仿宋" w:hint="eastAsia"/>
          <w:sz w:val="32"/>
          <w:szCs w:val="32"/>
        </w:rPr>
        <w:t>件，增长率为</w:t>
      </w:r>
      <w:r w:rsidRPr="00E53BDD">
        <w:rPr>
          <w:rFonts w:ascii="仿宋" w:eastAsia="仿宋_GB2312" w:hAnsi="仿宋" w:hint="eastAsia"/>
          <w:sz w:val="32"/>
          <w:szCs w:val="32"/>
        </w:rPr>
        <w:t>336.21%</w:t>
      </w:r>
      <w:r w:rsidRPr="00E53BDD">
        <w:rPr>
          <w:rFonts w:ascii="仿宋" w:eastAsia="仿宋_GB2312" w:hAnsi="仿宋" w:hint="eastAsia"/>
          <w:sz w:val="32"/>
          <w:szCs w:val="32"/>
        </w:rPr>
        <w:t>；新增专利授权</w:t>
      </w:r>
      <w:r w:rsidRPr="00E53BDD">
        <w:rPr>
          <w:rFonts w:ascii="仿宋" w:eastAsia="仿宋_GB2312" w:hAnsi="仿宋" w:hint="eastAsia"/>
          <w:sz w:val="32"/>
          <w:szCs w:val="32"/>
        </w:rPr>
        <w:t>22669</w:t>
      </w:r>
      <w:r w:rsidRPr="00E53BDD">
        <w:rPr>
          <w:rFonts w:ascii="仿宋" w:eastAsia="仿宋_GB2312" w:hAnsi="仿宋" w:hint="eastAsia"/>
          <w:sz w:val="32"/>
          <w:szCs w:val="32"/>
        </w:rPr>
        <w:t>件，发明专利授权</w:t>
      </w:r>
      <w:r w:rsidRPr="00E53BDD">
        <w:rPr>
          <w:rFonts w:ascii="仿宋" w:eastAsia="仿宋_GB2312" w:hAnsi="仿宋" w:hint="eastAsia"/>
          <w:sz w:val="32"/>
          <w:szCs w:val="32"/>
        </w:rPr>
        <w:t>3406</w:t>
      </w:r>
      <w:r w:rsidRPr="00E53BDD">
        <w:rPr>
          <w:rFonts w:ascii="仿宋" w:eastAsia="仿宋_GB2312" w:hAnsi="仿宋" w:hint="eastAsia"/>
          <w:sz w:val="32"/>
          <w:szCs w:val="32"/>
        </w:rPr>
        <w:t>件；万人发明专利拥有量达</w:t>
      </w:r>
      <w:r w:rsidRPr="00E53BDD">
        <w:rPr>
          <w:rFonts w:ascii="仿宋" w:eastAsia="仿宋_GB2312" w:hAnsi="仿宋" w:hint="eastAsia"/>
          <w:sz w:val="32"/>
          <w:szCs w:val="32"/>
        </w:rPr>
        <w:t>65.61</w:t>
      </w:r>
      <w:r w:rsidRPr="00E53BDD">
        <w:rPr>
          <w:rFonts w:ascii="仿宋" w:eastAsia="仿宋_GB2312" w:hAnsi="仿宋" w:hint="eastAsia"/>
          <w:sz w:val="32"/>
          <w:szCs w:val="32"/>
        </w:rPr>
        <w:t>件（根据</w:t>
      </w:r>
      <w:r w:rsidRPr="00E53BDD">
        <w:rPr>
          <w:rFonts w:ascii="仿宋" w:eastAsia="仿宋_GB2312" w:hAnsi="仿宋" w:hint="eastAsia"/>
          <w:sz w:val="32"/>
          <w:szCs w:val="32"/>
        </w:rPr>
        <w:t>2020</w:t>
      </w:r>
      <w:r w:rsidRPr="00E53BDD">
        <w:rPr>
          <w:rFonts w:ascii="仿宋" w:eastAsia="仿宋_GB2312" w:hAnsi="仿宋" w:hint="eastAsia"/>
          <w:sz w:val="32"/>
          <w:szCs w:val="32"/>
        </w:rPr>
        <w:t>年太仓常住人口</w:t>
      </w:r>
      <w:r w:rsidRPr="00E53BDD">
        <w:rPr>
          <w:rFonts w:ascii="仿宋" w:eastAsia="仿宋_GB2312" w:hAnsi="仿宋" w:hint="eastAsia"/>
          <w:sz w:val="32"/>
          <w:szCs w:val="32"/>
        </w:rPr>
        <w:t>83.12</w:t>
      </w:r>
      <w:r w:rsidRPr="00E53BDD">
        <w:rPr>
          <w:rFonts w:ascii="仿宋" w:eastAsia="仿宋_GB2312" w:hAnsi="仿宋" w:hint="eastAsia"/>
          <w:sz w:val="32"/>
          <w:szCs w:val="32"/>
        </w:rPr>
        <w:t>万计算得出），增长率</w:t>
      </w:r>
      <w:r w:rsidRPr="00E53BDD">
        <w:rPr>
          <w:rFonts w:ascii="仿宋" w:eastAsia="仿宋_GB2312" w:hAnsi="仿宋" w:hint="eastAsia"/>
          <w:sz w:val="32"/>
          <w:szCs w:val="32"/>
        </w:rPr>
        <w:t>147.31%</w:t>
      </w:r>
      <w:r w:rsidRPr="00E53BDD">
        <w:rPr>
          <w:rFonts w:ascii="仿宋" w:eastAsia="仿宋_GB2312" w:hAnsi="仿宋" w:hint="eastAsia"/>
          <w:sz w:val="32"/>
          <w:szCs w:val="32"/>
        </w:rPr>
        <w:t>；新增商标申请</w:t>
      </w:r>
      <w:r w:rsidRPr="00E53BDD">
        <w:rPr>
          <w:rFonts w:ascii="仿宋" w:eastAsia="仿宋_GB2312" w:hAnsi="仿宋" w:hint="eastAsia"/>
          <w:sz w:val="32"/>
          <w:szCs w:val="32"/>
        </w:rPr>
        <w:t>15643</w:t>
      </w:r>
      <w:r w:rsidRPr="00E53BDD">
        <w:rPr>
          <w:rFonts w:ascii="仿宋" w:eastAsia="仿宋_GB2312" w:hAnsi="仿宋" w:hint="eastAsia"/>
          <w:sz w:val="32"/>
          <w:szCs w:val="32"/>
        </w:rPr>
        <w:t>件，商标注册</w:t>
      </w:r>
      <w:r w:rsidRPr="00E53BDD">
        <w:rPr>
          <w:rFonts w:ascii="仿宋" w:eastAsia="仿宋_GB2312" w:hAnsi="仿宋" w:hint="eastAsia"/>
          <w:sz w:val="32"/>
          <w:szCs w:val="32"/>
        </w:rPr>
        <w:t>10419</w:t>
      </w:r>
      <w:r w:rsidRPr="00E53BDD">
        <w:rPr>
          <w:rFonts w:ascii="仿宋" w:eastAsia="仿宋_GB2312" w:hAnsi="仿宋" w:hint="eastAsia"/>
          <w:sz w:val="32"/>
          <w:szCs w:val="32"/>
        </w:rPr>
        <w:t>件，马德里国际商标注册累计</w:t>
      </w:r>
      <w:r w:rsidRPr="00E53BDD">
        <w:rPr>
          <w:rFonts w:ascii="仿宋" w:eastAsia="仿宋_GB2312" w:hAnsi="仿宋" w:hint="eastAsia"/>
          <w:sz w:val="32"/>
          <w:szCs w:val="32"/>
        </w:rPr>
        <w:t>99</w:t>
      </w:r>
      <w:r w:rsidRPr="00E53BDD">
        <w:rPr>
          <w:rFonts w:ascii="仿宋" w:eastAsia="仿宋_GB2312" w:hAnsi="仿宋" w:hint="eastAsia"/>
          <w:sz w:val="32"/>
          <w:szCs w:val="32"/>
        </w:rPr>
        <w:t>件；新增一般作品登记量</w:t>
      </w:r>
      <w:r w:rsidRPr="00E53BDD">
        <w:rPr>
          <w:rFonts w:ascii="仿宋" w:eastAsia="仿宋_GB2312" w:hAnsi="仿宋" w:hint="eastAsia"/>
          <w:sz w:val="32"/>
          <w:szCs w:val="32"/>
        </w:rPr>
        <w:t>4199</w:t>
      </w:r>
      <w:r w:rsidRPr="00E53BDD">
        <w:rPr>
          <w:rFonts w:ascii="仿宋" w:eastAsia="仿宋_GB2312" w:hAnsi="仿宋" w:hint="eastAsia"/>
          <w:sz w:val="32"/>
          <w:szCs w:val="32"/>
        </w:rPr>
        <w:t>件，软件著作权登记</w:t>
      </w:r>
      <w:r w:rsidRPr="00E53BDD">
        <w:rPr>
          <w:rFonts w:ascii="仿宋" w:eastAsia="仿宋_GB2312" w:hAnsi="仿宋" w:hint="eastAsia"/>
          <w:sz w:val="32"/>
          <w:szCs w:val="32"/>
        </w:rPr>
        <w:t>4091</w:t>
      </w:r>
      <w:r w:rsidRPr="00E53BDD">
        <w:rPr>
          <w:rFonts w:ascii="仿宋" w:eastAsia="仿宋_GB2312" w:hAnsi="仿宋" w:hint="eastAsia"/>
          <w:sz w:val="32"/>
          <w:szCs w:val="32"/>
        </w:rPr>
        <w:t>件，版权登记总量达</w:t>
      </w:r>
      <w:r w:rsidRPr="00E53BDD">
        <w:rPr>
          <w:rFonts w:ascii="仿宋" w:eastAsia="仿宋_GB2312" w:hAnsi="仿宋" w:hint="eastAsia"/>
          <w:sz w:val="32"/>
          <w:szCs w:val="32"/>
        </w:rPr>
        <w:t>8290</w:t>
      </w:r>
      <w:r w:rsidRPr="00E53BDD">
        <w:rPr>
          <w:rFonts w:ascii="仿宋" w:eastAsia="仿宋_GB2312" w:hAnsi="仿宋" w:hint="eastAsia"/>
          <w:sz w:val="32"/>
          <w:szCs w:val="32"/>
        </w:rPr>
        <w:t>件；新增国家农产品地理标志产品</w:t>
      </w:r>
      <w:r w:rsidRPr="00E53BDD">
        <w:rPr>
          <w:rFonts w:ascii="仿宋" w:eastAsia="仿宋_GB2312" w:hAnsi="仿宋" w:hint="eastAsia"/>
          <w:sz w:val="32"/>
          <w:szCs w:val="32"/>
        </w:rPr>
        <w:t>1</w:t>
      </w:r>
      <w:r w:rsidRPr="00E53BDD">
        <w:rPr>
          <w:rFonts w:ascii="仿宋" w:eastAsia="仿宋_GB2312" w:hAnsi="仿宋" w:hint="eastAsia"/>
          <w:sz w:val="32"/>
          <w:szCs w:val="32"/>
        </w:rPr>
        <w:t>件。截至</w:t>
      </w:r>
      <w:r w:rsidRPr="00E53BDD">
        <w:rPr>
          <w:rFonts w:ascii="仿宋" w:eastAsia="仿宋_GB2312" w:hAnsi="仿宋" w:hint="eastAsia"/>
          <w:sz w:val="32"/>
          <w:szCs w:val="32"/>
        </w:rPr>
        <w:t>2020</w:t>
      </w:r>
      <w:r w:rsidRPr="00E53BDD">
        <w:rPr>
          <w:rFonts w:ascii="仿宋" w:eastAsia="仿宋_GB2312" w:hAnsi="仿宋" w:hint="eastAsia"/>
          <w:sz w:val="32"/>
          <w:szCs w:val="32"/>
        </w:rPr>
        <w:t>年底，太仓市累计获评中国专利优秀奖</w:t>
      </w:r>
      <w:r w:rsidRPr="00E53BDD">
        <w:rPr>
          <w:rFonts w:ascii="仿宋" w:eastAsia="仿宋_GB2312" w:hAnsi="仿宋" w:hint="eastAsia"/>
          <w:sz w:val="32"/>
          <w:szCs w:val="32"/>
        </w:rPr>
        <w:t>4</w:t>
      </w:r>
      <w:r w:rsidRPr="00E53BDD">
        <w:rPr>
          <w:rFonts w:ascii="仿宋" w:eastAsia="仿宋_GB2312" w:hAnsi="仿宋" w:hint="eastAsia"/>
          <w:sz w:val="32"/>
          <w:szCs w:val="32"/>
        </w:rPr>
        <w:t>件，共有</w:t>
      </w:r>
      <w:r w:rsidRPr="00E53BDD">
        <w:rPr>
          <w:rFonts w:ascii="仿宋" w:eastAsia="仿宋_GB2312" w:hAnsi="仿宋" w:hint="eastAsia"/>
          <w:sz w:val="32"/>
          <w:szCs w:val="32"/>
        </w:rPr>
        <w:t>21</w:t>
      </w:r>
      <w:r w:rsidRPr="00E53BDD">
        <w:rPr>
          <w:rFonts w:ascii="仿宋" w:eastAsia="仿宋_GB2312" w:hAnsi="仿宋" w:hint="eastAsia"/>
          <w:sz w:val="32"/>
          <w:szCs w:val="32"/>
        </w:rPr>
        <w:t>项发明专利荣获省、苏州市级以上专利奖。</w:t>
      </w:r>
    </w:p>
    <w:p w:rsidR="00833E93" w:rsidRPr="00E53BDD" w:rsidRDefault="00E53BDD">
      <w:pPr>
        <w:adjustRightInd w:val="0"/>
        <w:spacing w:line="560" w:lineRule="exact"/>
        <w:ind w:firstLine="643"/>
        <w:outlineLvl w:val="2"/>
        <w:rPr>
          <w:rFonts w:ascii="仿宋" w:eastAsia="仿宋_GB2312" w:hAnsi="仿宋"/>
          <w:b/>
          <w:sz w:val="32"/>
          <w:szCs w:val="32"/>
        </w:rPr>
      </w:pPr>
      <w:bookmarkStart w:id="46" w:name="_Toc9756"/>
      <w:bookmarkStart w:id="47" w:name="_Toc29993"/>
      <w:bookmarkStart w:id="48" w:name="_Toc10374"/>
      <w:bookmarkStart w:id="49" w:name="_Toc21766"/>
      <w:bookmarkStart w:id="50" w:name="_Toc25380"/>
      <w:bookmarkStart w:id="51" w:name="_Toc7366"/>
      <w:bookmarkStart w:id="52" w:name="_Toc5759"/>
      <w:bookmarkStart w:id="53" w:name="_Toc5066"/>
      <w:bookmarkStart w:id="54" w:name="_Toc32022"/>
      <w:r w:rsidRPr="00E53BDD">
        <w:rPr>
          <w:rFonts w:ascii="仿宋" w:eastAsia="仿宋_GB2312" w:hAnsi="仿宋" w:hint="eastAsia"/>
          <w:b/>
          <w:sz w:val="32"/>
          <w:szCs w:val="32"/>
        </w:rPr>
        <w:lastRenderedPageBreak/>
        <w:t>3.</w:t>
      </w:r>
      <w:r w:rsidRPr="00E53BDD">
        <w:rPr>
          <w:rFonts w:ascii="仿宋" w:eastAsia="仿宋_GB2312" w:hAnsi="仿宋" w:hint="eastAsia"/>
          <w:b/>
          <w:sz w:val="32"/>
          <w:szCs w:val="32"/>
        </w:rPr>
        <w:t>运用效益明显提高</w:t>
      </w:r>
      <w:bookmarkEnd w:id="46"/>
      <w:bookmarkEnd w:id="47"/>
      <w:bookmarkEnd w:id="48"/>
      <w:bookmarkEnd w:id="49"/>
      <w:bookmarkEnd w:id="50"/>
      <w:bookmarkEnd w:id="51"/>
      <w:bookmarkEnd w:id="52"/>
      <w:bookmarkEnd w:id="53"/>
      <w:bookmarkEnd w:id="54"/>
    </w:p>
    <w:p w:rsidR="00833E93" w:rsidRPr="00E53BDD" w:rsidRDefault="00E53BDD">
      <w:pPr>
        <w:adjustRightInd w:val="0"/>
        <w:spacing w:line="560" w:lineRule="exact"/>
        <w:ind w:firstLine="640"/>
        <w:rPr>
          <w:rFonts w:ascii="仿宋" w:eastAsia="仿宋_GB2312" w:hAnsi="仿宋"/>
          <w:sz w:val="32"/>
          <w:szCs w:val="32"/>
        </w:rPr>
      </w:pPr>
      <w:bookmarkStart w:id="55" w:name="_Toc28929"/>
      <w:bookmarkStart w:id="56" w:name="_Toc28133"/>
      <w:bookmarkStart w:id="57" w:name="_Toc13093"/>
      <w:bookmarkStart w:id="58" w:name="_Toc14540"/>
      <w:bookmarkStart w:id="59" w:name="_Toc25405"/>
      <w:bookmarkStart w:id="60" w:name="_Toc28674"/>
      <w:bookmarkStart w:id="61" w:name="_Toc32456"/>
      <w:bookmarkStart w:id="62" w:name="_Toc16956"/>
      <w:bookmarkStart w:id="63" w:name="_Toc13011"/>
      <w:bookmarkStart w:id="64" w:name="_Toc12996"/>
      <w:r w:rsidRPr="00E53BDD">
        <w:rPr>
          <w:rFonts w:ascii="仿宋" w:eastAsia="仿宋_GB2312" w:hAnsi="仿宋" w:hint="eastAsia"/>
          <w:sz w:val="32"/>
          <w:szCs w:val="32"/>
        </w:rPr>
        <w:t>“十三五”期间，企业知识产权综合运用能力大幅度提升，发挥企业知识产权主体地位</w:t>
      </w:r>
      <w:r w:rsidRPr="00E53BDD">
        <w:rPr>
          <w:rFonts w:ascii="仿宋" w:eastAsia="仿宋_GB2312" w:hAnsi="仿宋" w:hint="eastAsia"/>
          <w:sz w:val="32"/>
          <w:szCs w:val="32"/>
        </w:rPr>
        <w:t>,123</w:t>
      </w:r>
      <w:r w:rsidRPr="00E53BDD">
        <w:rPr>
          <w:rFonts w:ascii="仿宋" w:eastAsia="仿宋_GB2312" w:hAnsi="仿宋" w:hint="eastAsia"/>
          <w:sz w:val="32"/>
          <w:szCs w:val="32"/>
        </w:rPr>
        <w:t>家企业通过知识产权管理体系认证；新增国家知识产权优势企业</w:t>
      </w:r>
      <w:r w:rsidRPr="00E53BDD">
        <w:rPr>
          <w:rFonts w:ascii="仿宋" w:eastAsia="仿宋_GB2312" w:hAnsi="仿宋" w:hint="eastAsia"/>
          <w:sz w:val="32"/>
          <w:szCs w:val="32"/>
        </w:rPr>
        <w:t>21</w:t>
      </w:r>
      <w:r w:rsidRPr="00E53BDD">
        <w:rPr>
          <w:rFonts w:ascii="仿宋" w:eastAsia="仿宋_GB2312" w:hAnsi="仿宋" w:hint="eastAsia"/>
          <w:sz w:val="32"/>
          <w:szCs w:val="32"/>
        </w:rPr>
        <w:t>家；</w:t>
      </w:r>
      <w:r w:rsidRPr="00E53BDD">
        <w:rPr>
          <w:rFonts w:ascii="仿宋" w:eastAsia="仿宋_GB2312" w:hAnsi="仿宋" w:hint="eastAsia"/>
          <w:sz w:val="32"/>
          <w:szCs w:val="32"/>
        </w:rPr>
        <w:t>129</w:t>
      </w:r>
      <w:r w:rsidRPr="00E53BDD">
        <w:rPr>
          <w:rFonts w:ascii="仿宋" w:eastAsia="仿宋_GB2312" w:hAnsi="仿宋" w:hint="eastAsia"/>
          <w:sz w:val="32"/>
          <w:szCs w:val="32"/>
        </w:rPr>
        <w:t>家企业通过知识产权贯标认证，新增知识产权密集型企业</w:t>
      </w:r>
      <w:r w:rsidRPr="00E53BDD">
        <w:rPr>
          <w:rFonts w:ascii="仿宋" w:eastAsia="仿宋_GB2312" w:hAnsi="仿宋" w:hint="eastAsia"/>
          <w:sz w:val="32"/>
          <w:szCs w:val="32"/>
        </w:rPr>
        <w:t>10</w:t>
      </w:r>
      <w:r w:rsidRPr="00E53BDD">
        <w:rPr>
          <w:rFonts w:ascii="仿宋" w:eastAsia="仿宋_GB2312" w:hAnsi="仿宋" w:hint="eastAsia"/>
          <w:sz w:val="32"/>
          <w:szCs w:val="32"/>
        </w:rPr>
        <w:t>家；知识产权质押融资登记金额达</w:t>
      </w:r>
      <w:r w:rsidRPr="00E53BDD">
        <w:rPr>
          <w:rFonts w:ascii="仿宋" w:eastAsia="仿宋_GB2312" w:hAnsi="仿宋" w:hint="eastAsia"/>
          <w:sz w:val="32"/>
          <w:szCs w:val="32"/>
        </w:rPr>
        <w:t>9.48</w:t>
      </w:r>
      <w:r w:rsidRPr="00E53BDD">
        <w:rPr>
          <w:rFonts w:ascii="仿宋" w:eastAsia="仿宋_GB2312" w:hAnsi="仿宋" w:hint="eastAsia"/>
          <w:sz w:val="32"/>
          <w:szCs w:val="32"/>
        </w:rPr>
        <w:t>亿元。知识产权有效支撑引领创新驱动发展战略。</w:t>
      </w:r>
      <w:bookmarkEnd w:id="55"/>
      <w:bookmarkEnd w:id="56"/>
      <w:bookmarkEnd w:id="57"/>
      <w:bookmarkEnd w:id="58"/>
      <w:bookmarkEnd w:id="59"/>
      <w:bookmarkEnd w:id="60"/>
      <w:bookmarkEnd w:id="61"/>
      <w:bookmarkEnd w:id="62"/>
      <w:bookmarkEnd w:id="63"/>
      <w:bookmarkEnd w:id="64"/>
    </w:p>
    <w:p w:rsidR="00833E93" w:rsidRPr="00E53BDD" w:rsidRDefault="00E53BDD">
      <w:pPr>
        <w:adjustRightInd w:val="0"/>
        <w:spacing w:line="560" w:lineRule="exact"/>
        <w:ind w:firstLine="643"/>
        <w:outlineLvl w:val="2"/>
        <w:rPr>
          <w:rFonts w:ascii="仿宋" w:eastAsia="仿宋_GB2312" w:hAnsi="仿宋"/>
          <w:b/>
          <w:sz w:val="32"/>
          <w:szCs w:val="32"/>
        </w:rPr>
      </w:pPr>
      <w:bookmarkStart w:id="65" w:name="_Toc13285"/>
      <w:bookmarkStart w:id="66" w:name="_Toc21636"/>
      <w:bookmarkStart w:id="67" w:name="_Toc15971"/>
      <w:bookmarkStart w:id="68" w:name="_Toc16581"/>
      <w:bookmarkStart w:id="69" w:name="_Toc18640"/>
      <w:bookmarkStart w:id="70" w:name="_Toc30668"/>
      <w:bookmarkStart w:id="71" w:name="_Toc24244"/>
      <w:bookmarkStart w:id="72" w:name="_Toc18880"/>
      <w:bookmarkStart w:id="73" w:name="_Toc6748"/>
      <w:r w:rsidRPr="00E53BDD">
        <w:rPr>
          <w:rFonts w:ascii="仿宋" w:eastAsia="仿宋_GB2312" w:hAnsi="仿宋" w:hint="eastAsia"/>
          <w:b/>
          <w:sz w:val="32"/>
          <w:szCs w:val="32"/>
        </w:rPr>
        <w:t>4.</w:t>
      </w:r>
      <w:r w:rsidRPr="00E53BDD">
        <w:rPr>
          <w:rFonts w:ascii="仿宋" w:eastAsia="仿宋_GB2312" w:hAnsi="仿宋" w:hint="eastAsia"/>
          <w:b/>
          <w:sz w:val="32"/>
          <w:szCs w:val="32"/>
        </w:rPr>
        <w:t>保护成效逐渐显现</w:t>
      </w:r>
      <w:bookmarkEnd w:id="65"/>
      <w:bookmarkEnd w:id="66"/>
      <w:bookmarkEnd w:id="67"/>
      <w:bookmarkEnd w:id="68"/>
      <w:bookmarkEnd w:id="69"/>
      <w:bookmarkEnd w:id="70"/>
      <w:bookmarkEnd w:id="71"/>
      <w:bookmarkEnd w:id="72"/>
      <w:bookmarkEnd w:id="73"/>
    </w:p>
    <w:p w:rsidR="00833E93" w:rsidRPr="00E53BDD" w:rsidRDefault="00E53BDD">
      <w:pPr>
        <w:adjustRightInd w:val="0"/>
        <w:spacing w:line="560" w:lineRule="exact"/>
        <w:ind w:firstLine="640"/>
        <w:rPr>
          <w:rFonts w:ascii="仿宋" w:eastAsia="仿宋_GB2312" w:hAnsi="仿宋"/>
          <w:sz w:val="32"/>
          <w:szCs w:val="32"/>
        </w:rPr>
      </w:pPr>
      <w:r w:rsidRPr="00E53BDD">
        <w:rPr>
          <w:rFonts w:ascii="仿宋" w:eastAsia="仿宋_GB2312" w:hAnsi="仿宋" w:hint="eastAsia"/>
          <w:sz w:val="32"/>
          <w:szCs w:val="32"/>
        </w:rPr>
        <w:t>建设“严大快同”知识产权保护体系，市市场监管局（知识产权局）、市委宣传部、市法院、市检察院、市公安局、市司法局、太仓海关等多部门共建联动保护机制，形成行政执法、司法衔接、维权援助联动的知识产权保护新体系。全国首家法院派驻市场监管部门巡回审判点在太仓设立，市市场监管局成为全国首家实现公检法派驻机构全覆盖的市场监管部门，通过完善行政执法与司法保护两条途径的优势互补和有机衔接，健全行政与司法联动保护知识产权长效机制。“十三五”期间，知识产权行政管理部门累计处理各类知识产权违法案件</w:t>
      </w:r>
      <w:r w:rsidRPr="00E53BDD">
        <w:rPr>
          <w:rFonts w:ascii="仿宋" w:eastAsia="仿宋_GB2312" w:hAnsi="仿宋" w:hint="eastAsia"/>
          <w:sz w:val="32"/>
          <w:szCs w:val="32"/>
        </w:rPr>
        <w:t>37</w:t>
      </w:r>
      <w:r w:rsidRPr="00E53BDD">
        <w:rPr>
          <w:rFonts w:ascii="仿宋" w:eastAsia="仿宋_GB2312" w:hAnsi="仿宋" w:hint="eastAsia"/>
          <w:sz w:val="32"/>
          <w:szCs w:val="32"/>
        </w:rPr>
        <w:t>件，知识产权行政执法案件办结率</w:t>
      </w:r>
      <w:r w:rsidRPr="00E53BDD">
        <w:rPr>
          <w:rFonts w:ascii="仿宋" w:eastAsia="仿宋_GB2312" w:hAnsi="仿宋" w:hint="eastAsia"/>
          <w:sz w:val="32"/>
          <w:szCs w:val="32"/>
        </w:rPr>
        <w:t>100%</w:t>
      </w:r>
      <w:r w:rsidRPr="00E53BDD">
        <w:rPr>
          <w:rFonts w:ascii="仿宋" w:eastAsia="仿宋_GB2312" w:hAnsi="仿宋" w:hint="eastAsia"/>
          <w:sz w:val="32"/>
          <w:szCs w:val="32"/>
        </w:rPr>
        <w:t>；公安机关立案侦办侵犯知识产权案件</w:t>
      </w:r>
      <w:r w:rsidRPr="00E53BDD">
        <w:rPr>
          <w:rFonts w:ascii="仿宋" w:eastAsia="仿宋_GB2312" w:hAnsi="仿宋" w:hint="eastAsia"/>
          <w:sz w:val="32"/>
          <w:szCs w:val="32"/>
        </w:rPr>
        <w:t>25</w:t>
      </w:r>
      <w:r w:rsidRPr="00E53BDD">
        <w:rPr>
          <w:rFonts w:ascii="仿宋" w:eastAsia="仿宋_GB2312" w:hAnsi="仿宋" w:hint="eastAsia"/>
          <w:sz w:val="32"/>
          <w:szCs w:val="32"/>
        </w:rPr>
        <w:t>件，破案</w:t>
      </w:r>
      <w:r w:rsidRPr="00E53BDD">
        <w:rPr>
          <w:rFonts w:ascii="仿宋" w:eastAsia="仿宋_GB2312" w:hAnsi="仿宋" w:hint="eastAsia"/>
          <w:sz w:val="32"/>
          <w:szCs w:val="32"/>
        </w:rPr>
        <w:t>21</w:t>
      </w:r>
      <w:r w:rsidRPr="00E53BDD">
        <w:rPr>
          <w:rFonts w:ascii="仿宋" w:eastAsia="仿宋_GB2312" w:hAnsi="仿宋" w:hint="eastAsia"/>
          <w:sz w:val="32"/>
          <w:szCs w:val="32"/>
        </w:rPr>
        <w:t>件，抓获犯罪嫌疑人</w:t>
      </w:r>
      <w:r w:rsidRPr="00E53BDD">
        <w:rPr>
          <w:rFonts w:ascii="仿宋" w:eastAsia="仿宋_GB2312" w:hAnsi="仿宋" w:hint="eastAsia"/>
          <w:sz w:val="32"/>
          <w:szCs w:val="32"/>
        </w:rPr>
        <w:t>35</w:t>
      </w:r>
      <w:r w:rsidRPr="00E53BDD">
        <w:rPr>
          <w:rFonts w:ascii="仿宋" w:eastAsia="仿宋_GB2312" w:hAnsi="仿宋" w:hint="eastAsia"/>
          <w:sz w:val="32"/>
          <w:szCs w:val="32"/>
        </w:rPr>
        <w:t>人；市法院继续推进知识产权案件“三合一”审判工作，累计审结民事、刑事、行政案件</w:t>
      </w:r>
      <w:r w:rsidRPr="00E53BDD">
        <w:rPr>
          <w:rFonts w:ascii="仿宋" w:eastAsia="仿宋_GB2312" w:hAnsi="仿宋" w:hint="eastAsia"/>
          <w:sz w:val="32"/>
          <w:szCs w:val="32"/>
        </w:rPr>
        <w:t>872</w:t>
      </w:r>
      <w:r w:rsidRPr="00E53BDD">
        <w:rPr>
          <w:rFonts w:ascii="仿宋" w:eastAsia="仿宋_GB2312" w:hAnsi="仿宋" w:hint="eastAsia"/>
          <w:sz w:val="32"/>
          <w:szCs w:val="32"/>
        </w:rPr>
        <w:t>件，知识产权民事一审案件服判息诉率超</w:t>
      </w:r>
      <w:r w:rsidRPr="00E53BDD">
        <w:rPr>
          <w:rFonts w:ascii="仿宋" w:eastAsia="仿宋_GB2312" w:hAnsi="仿宋" w:hint="eastAsia"/>
          <w:sz w:val="32"/>
          <w:szCs w:val="32"/>
        </w:rPr>
        <w:t>90%</w:t>
      </w:r>
      <w:r w:rsidRPr="00E53BDD">
        <w:rPr>
          <w:rFonts w:ascii="仿宋" w:eastAsia="仿宋_GB2312" w:hAnsi="仿宋" w:hint="eastAsia"/>
          <w:sz w:val="32"/>
          <w:szCs w:val="32"/>
        </w:rPr>
        <w:t>。</w:t>
      </w:r>
    </w:p>
    <w:p w:rsidR="00833E93" w:rsidRPr="00E53BDD" w:rsidRDefault="00E53BDD">
      <w:pPr>
        <w:adjustRightInd w:val="0"/>
        <w:spacing w:line="560" w:lineRule="exact"/>
        <w:ind w:firstLine="643"/>
        <w:outlineLvl w:val="2"/>
        <w:rPr>
          <w:rFonts w:ascii="仿宋" w:eastAsia="仿宋_GB2312" w:hAnsi="仿宋"/>
          <w:b/>
          <w:sz w:val="32"/>
          <w:szCs w:val="32"/>
        </w:rPr>
      </w:pPr>
      <w:bookmarkStart w:id="74" w:name="_Toc26977"/>
      <w:bookmarkStart w:id="75" w:name="_Toc13989"/>
      <w:bookmarkStart w:id="76" w:name="_Toc13794"/>
      <w:bookmarkStart w:id="77" w:name="_Toc27515"/>
      <w:bookmarkStart w:id="78" w:name="_Toc23746"/>
      <w:bookmarkStart w:id="79" w:name="_Toc673"/>
      <w:bookmarkStart w:id="80" w:name="_Toc26258"/>
      <w:bookmarkStart w:id="81" w:name="_Toc22338"/>
      <w:bookmarkStart w:id="82" w:name="_Toc17702"/>
      <w:r w:rsidRPr="00E53BDD">
        <w:rPr>
          <w:rFonts w:ascii="仿宋" w:eastAsia="仿宋_GB2312" w:hAnsi="仿宋" w:hint="eastAsia"/>
          <w:b/>
          <w:sz w:val="32"/>
          <w:szCs w:val="32"/>
        </w:rPr>
        <w:t>5.</w:t>
      </w:r>
      <w:r w:rsidRPr="00E53BDD">
        <w:rPr>
          <w:rFonts w:ascii="仿宋" w:eastAsia="仿宋_GB2312" w:hAnsi="仿宋" w:hint="eastAsia"/>
          <w:b/>
          <w:sz w:val="32"/>
          <w:szCs w:val="32"/>
        </w:rPr>
        <w:t>服务能力稳步提升</w:t>
      </w:r>
      <w:bookmarkEnd w:id="74"/>
      <w:bookmarkEnd w:id="75"/>
      <w:bookmarkEnd w:id="76"/>
      <w:bookmarkEnd w:id="77"/>
      <w:bookmarkEnd w:id="78"/>
      <w:bookmarkEnd w:id="79"/>
      <w:bookmarkEnd w:id="80"/>
      <w:bookmarkEnd w:id="81"/>
      <w:bookmarkEnd w:id="82"/>
    </w:p>
    <w:p w:rsidR="00833E93" w:rsidRPr="00E53BDD" w:rsidRDefault="00E53BDD">
      <w:pPr>
        <w:adjustRightInd w:val="0"/>
        <w:spacing w:line="560" w:lineRule="exact"/>
        <w:ind w:firstLine="640"/>
        <w:rPr>
          <w:rFonts w:ascii="仿宋" w:eastAsia="仿宋_GB2312" w:hAnsi="仿宋"/>
          <w:sz w:val="32"/>
          <w:szCs w:val="32"/>
        </w:rPr>
      </w:pPr>
      <w:r w:rsidRPr="00E53BDD">
        <w:rPr>
          <w:rFonts w:ascii="仿宋" w:eastAsia="仿宋_GB2312" w:hAnsi="仿宋" w:hint="eastAsia"/>
          <w:sz w:val="32"/>
          <w:szCs w:val="32"/>
        </w:rPr>
        <w:t>知识产权服务载体快速发展，“十三五”期间，太仓市</w:t>
      </w:r>
      <w:r w:rsidRPr="00E53BDD">
        <w:rPr>
          <w:rFonts w:ascii="仿宋" w:eastAsia="仿宋_GB2312" w:hAnsi="仿宋" w:hint="eastAsia"/>
          <w:sz w:val="32"/>
          <w:szCs w:val="32"/>
        </w:rPr>
        <w:lastRenderedPageBreak/>
        <w:t>设立知识产权综合信息服务平台，建成太仓市知识产权资助申报系统、太仓专利监控分析系统。截至“十三五”末，全市知识产权服务机构共计</w:t>
      </w:r>
      <w:r w:rsidRPr="00E53BDD">
        <w:rPr>
          <w:rFonts w:ascii="仿宋" w:eastAsia="仿宋_GB2312" w:hAnsi="仿宋" w:hint="eastAsia"/>
          <w:sz w:val="32"/>
          <w:szCs w:val="32"/>
        </w:rPr>
        <w:t>32</w:t>
      </w:r>
      <w:r w:rsidRPr="00E53BDD">
        <w:rPr>
          <w:rFonts w:ascii="仿宋" w:eastAsia="仿宋_GB2312" w:hAnsi="仿宋" w:hint="eastAsia"/>
          <w:sz w:val="32"/>
          <w:szCs w:val="32"/>
        </w:rPr>
        <w:t>家，其中专利代理机构</w:t>
      </w:r>
      <w:r w:rsidRPr="00E53BDD">
        <w:rPr>
          <w:rFonts w:ascii="仿宋" w:eastAsia="仿宋_GB2312" w:hAnsi="仿宋" w:hint="eastAsia"/>
          <w:sz w:val="32"/>
          <w:szCs w:val="32"/>
        </w:rPr>
        <w:t>12</w:t>
      </w:r>
      <w:r w:rsidRPr="00E53BDD">
        <w:rPr>
          <w:rFonts w:ascii="仿宋" w:eastAsia="仿宋_GB2312" w:hAnsi="仿宋" w:hint="eastAsia"/>
          <w:sz w:val="32"/>
          <w:szCs w:val="32"/>
        </w:rPr>
        <w:t>家，商标代理机构</w:t>
      </w:r>
      <w:r w:rsidRPr="00E53BDD">
        <w:rPr>
          <w:rFonts w:ascii="仿宋" w:eastAsia="仿宋_GB2312" w:hAnsi="仿宋" w:hint="eastAsia"/>
          <w:sz w:val="32"/>
          <w:szCs w:val="32"/>
        </w:rPr>
        <w:t>20</w:t>
      </w:r>
      <w:r w:rsidRPr="00E53BDD">
        <w:rPr>
          <w:rFonts w:ascii="仿宋" w:eastAsia="仿宋_GB2312" w:hAnsi="仿宋" w:hint="eastAsia"/>
          <w:sz w:val="32"/>
          <w:szCs w:val="32"/>
        </w:rPr>
        <w:t>家，执业专利代理师达</w:t>
      </w:r>
      <w:r w:rsidRPr="00E53BDD">
        <w:rPr>
          <w:rFonts w:ascii="仿宋" w:eastAsia="仿宋_GB2312" w:hAnsi="仿宋" w:hint="eastAsia"/>
          <w:sz w:val="32"/>
          <w:szCs w:val="32"/>
        </w:rPr>
        <w:t>44</w:t>
      </w:r>
      <w:r w:rsidRPr="00E53BDD">
        <w:rPr>
          <w:rFonts w:ascii="仿宋" w:eastAsia="仿宋_GB2312" w:hAnsi="仿宋" w:hint="eastAsia"/>
          <w:sz w:val="32"/>
          <w:szCs w:val="32"/>
        </w:rPr>
        <w:t>人，新增获国家专利代理师资格</w:t>
      </w:r>
      <w:r w:rsidRPr="00E53BDD">
        <w:rPr>
          <w:rFonts w:ascii="仿宋" w:eastAsia="仿宋_GB2312" w:hAnsi="仿宋" w:hint="eastAsia"/>
          <w:sz w:val="32"/>
          <w:szCs w:val="32"/>
        </w:rPr>
        <w:t>20</w:t>
      </w:r>
      <w:r w:rsidRPr="00E53BDD">
        <w:rPr>
          <w:rFonts w:ascii="仿宋" w:eastAsia="仿宋_GB2312" w:hAnsi="仿宋" w:hint="eastAsia"/>
          <w:sz w:val="32"/>
          <w:szCs w:val="32"/>
        </w:rPr>
        <w:t>人。企业知识产权服务质量显著提升。每年面向企业组织开展各类针对性知识产权培训，累计组织开展知识产权培训</w:t>
      </w:r>
      <w:r w:rsidRPr="00E53BDD">
        <w:rPr>
          <w:rFonts w:ascii="仿宋" w:eastAsia="仿宋_GB2312" w:hAnsi="仿宋" w:hint="eastAsia"/>
          <w:sz w:val="32"/>
          <w:szCs w:val="32"/>
        </w:rPr>
        <w:t>125</w:t>
      </w:r>
      <w:r w:rsidRPr="00E53BDD">
        <w:rPr>
          <w:rFonts w:ascii="仿宋" w:eastAsia="仿宋_GB2312" w:hAnsi="仿宋" w:hint="eastAsia"/>
          <w:sz w:val="32"/>
          <w:szCs w:val="32"/>
        </w:rPr>
        <w:t>场，培训企业</w:t>
      </w:r>
      <w:r w:rsidRPr="00E53BDD">
        <w:rPr>
          <w:rFonts w:ascii="仿宋" w:eastAsia="仿宋_GB2312" w:hAnsi="仿宋" w:hint="eastAsia"/>
          <w:sz w:val="32"/>
          <w:szCs w:val="32"/>
        </w:rPr>
        <w:t>375</w:t>
      </w:r>
      <w:r w:rsidRPr="00E53BDD">
        <w:rPr>
          <w:rFonts w:ascii="仿宋" w:eastAsia="仿宋_GB2312" w:hAnsi="仿宋" w:hint="eastAsia"/>
          <w:sz w:val="32"/>
          <w:szCs w:val="32"/>
        </w:rPr>
        <w:t>家，培训人员</w:t>
      </w:r>
      <w:r w:rsidRPr="00E53BDD">
        <w:rPr>
          <w:rFonts w:ascii="仿宋" w:eastAsia="仿宋_GB2312" w:hAnsi="仿宋" w:hint="eastAsia"/>
          <w:sz w:val="32"/>
          <w:szCs w:val="32"/>
        </w:rPr>
        <w:t>1000</w:t>
      </w:r>
      <w:r w:rsidRPr="00E53BDD">
        <w:rPr>
          <w:rFonts w:ascii="仿宋" w:eastAsia="仿宋_GB2312" w:hAnsi="仿宋" w:hint="eastAsia"/>
          <w:sz w:val="32"/>
          <w:szCs w:val="32"/>
        </w:rPr>
        <w:t>余人次。</w:t>
      </w:r>
    </w:p>
    <w:p w:rsidR="00833E93" w:rsidRPr="00E53BDD" w:rsidRDefault="00E53BDD">
      <w:pPr>
        <w:adjustRightInd w:val="0"/>
        <w:spacing w:line="560" w:lineRule="exact"/>
        <w:ind w:firstLine="643"/>
        <w:outlineLvl w:val="2"/>
        <w:rPr>
          <w:rFonts w:ascii="仿宋" w:eastAsia="仿宋_GB2312" w:hAnsi="仿宋"/>
          <w:b/>
          <w:sz w:val="32"/>
          <w:szCs w:val="32"/>
        </w:rPr>
      </w:pPr>
      <w:bookmarkStart w:id="83" w:name="_Toc13304"/>
      <w:bookmarkStart w:id="84" w:name="_Toc20929"/>
      <w:bookmarkStart w:id="85" w:name="_Toc26790"/>
      <w:bookmarkStart w:id="86" w:name="_Toc30525"/>
      <w:bookmarkStart w:id="87" w:name="_Toc25820"/>
      <w:bookmarkStart w:id="88" w:name="_Toc29936"/>
      <w:bookmarkStart w:id="89" w:name="_Toc4932"/>
      <w:bookmarkStart w:id="90" w:name="_Toc32716"/>
      <w:bookmarkStart w:id="91" w:name="_Toc11850"/>
      <w:r w:rsidRPr="00E53BDD">
        <w:rPr>
          <w:rFonts w:ascii="仿宋" w:eastAsia="仿宋_GB2312" w:hAnsi="仿宋" w:hint="eastAsia"/>
          <w:b/>
          <w:sz w:val="32"/>
          <w:szCs w:val="32"/>
        </w:rPr>
        <w:t>6.</w:t>
      </w:r>
      <w:r w:rsidRPr="00E53BDD">
        <w:rPr>
          <w:rFonts w:ascii="仿宋" w:eastAsia="仿宋_GB2312" w:hAnsi="仿宋" w:hint="eastAsia"/>
          <w:b/>
          <w:sz w:val="32"/>
          <w:szCs w:val="32"/>
        </w:rPr>
        <w:t>发展环境不断优化</w:t>
      </w:r>
      <w:bookmarkEnd w:id="83"/>
      <w:bookmarkEnd w:id="84"/>
      <w:bookmarkEnd w:id="85"/>
      <w:bookmarkEnd w:id="86"/>
      <w:bookmarkEnd w:id="87"/>
      <w:bookmarkEnd w:id="88"/>
      <w:bookmarkEnd w:id="89"/>
      <w:bookmarkEnd w:id="90"/>
      <w:bookmarkEnd w:id="91"/>
    </w:p>
    <w:p w:rsidR="00833E93" w:rsidRPr="00E53BDD" w:rsidRDefault="00E53BDD">
      <w:pPr>
        <w:adjustRightInd w:val="0"/>
        <w:spacing w:line="560" w:lineRule="exact"/>
        <w:ind w:firstLine="640"/>
        <w:rPr>
          <w:rFonts w:ascii="仿宋" w:eastAsia="仿宋_GB2312" w:hAnsi="仿宋"/>
          <w:sz w:val="32"/>
          <w:szCs w:val="32"/>
        </w:rPr>
      </w:pPr>
      <w:r w:rsidRPr="00E53BDD">
        <w:rPr>
          <w:rFonts w:ascii="仿宋" w:eastAsia="仿宋_GB2312" w:hAnsi="仿宋" w:hint="eastAsia"/>
          <w:sz w:val="32"/>
          <w:szCs w:val="32"/>
        </w:rPr>
        <w:t>“十三五”期间，顺利完成机构改革，新增知识产权科；知识产权财政投入显著提高，各项经费达到</w:t>
      </w:r>
      <w:r w:rsidRPr="00E53BDD">
        <w:rPr>
          <w:rFonts w:ascii="仿宋" w:eastAsia="仿宋_GB2312" w:hAnsi="仿宋" w:hint="eastAsia"/>
          <w:sz w:val="32"/>
          <w:szCs w:val="32"/>
        </w:rPr>
        <w:t>1.0250</w:t>
      </w:r>
      <w:r w:rsidRPr="00E53BDD">
        <w:rPr>
          <w:rFonts w:ascii="仿宋" w:eastAsia="仿宋_GB2312" w:hAnsi="仿宋" w:hint="eastAsia"/>
          <w:sz w:val="32"/>
          <w:szCs w:val="32"/>
        </w:rPr>
        <w:t>亿元，较“十二五”期间增长</w:t>
      </w:r>
      <w:r w:rsidRPr="00E53BDD">
        <w:rPr>
          <w:rFonts w:ascii="仿宋" w:eastAsia="仿宋_GB2312" w:hAnsi="仿宋" w:hint="eastAsia"/>
          <w:sz w:val="32"/>
          <w:szCs w:val="32"/>
        </w:rPr>
        <w:t>55.3%</w:t>
      </w:r>
      <w:r w:rsidRPr="00E53BDD">
        <w:rPr>
          <w:rFonts w:ascii="仿宋" w:eastAsia="仿宋_GB2312" w:hAnsi="仿宋" w:hint="eastAsia"/>
          <w:sz w:val="32"/>
          <w:szCs w:val="32"/>
        </w:rPr>
        <w:t>。重视知识产权人才培育，“十三五”期间，</w:t>
      </w:r>
      <w:r w:rsidRPr="00E53BDD">
        <w:rPr>
          <w:rFonts w:ascii="仿宋" w:eastAsia="仿宋_GB2312" w:hAnsi="仿宋" w:hint="eastAsia"/>
          <w:sz w:val="32"/>
          <w:szCs w:val="32"/>
          <w:lang w:val="zh-CN"/>
        </w:rPr>
        <w:t>太仓</w:t>
      </w:r>
      <w:r w:rsidRPr="00E53BDD">
        <w:rPr>
          <w:rFonts w:ascii="仿宋" w:eastAsia="仿宋_GB2312" w:hAnsi="仿宋" w:hint="eastAsia"/>
          <w:sz w:val="32"/>
          <w:szCs w:val="32"/>
        </w:rPr>
        <w:t>市</w:t>
      </w:r>
      <w:r w:rsidRPr="00E53BDD">
        <w:rPr>
          <w:rFonts w:ascii="仿宋" w:eastAsia="仿宋_GB2312" w:hAnsi="仿宋" w:hint="eastAsia"/>
          <w:sz w:val="32"/>
          <w:szCs w:val="32"/>
          <w:lang w:val="zh-CN"/>
        </w:rPr>
        <w:t>科技领军人才</w:t>
      </w:r>
      <w:r w:rsidRPr="00E53BDD">
        <w:rPr>
          <w:rFonts w:ascii="仿宋" w:eastAsia="仿宋_GB2312" w:hAnsi="仿宋" w:hint="eastAsia"/>
          <w:sz w:val="32"/>
          <w:szCs w:val="32"/>
        </w:rPr>
        <w:t>累计</w:t>
      </w:r>
      <w:r w:rsidRPr="00E53BDD">
        <w:rPr>
          <w:rFonts w:ascii="仿宋" w:eastAsia="仿宋_GB2312" w:hAnsi="仿宋" w:hint="eastAsia"/>
          <w:sz w:val="32"/>
          <w:szCs w:val="32"/>
        </w:rPr>
        <w:t>371</w:t>
      </w:r>
      <w:r w:rsidRPr="00E53BDD">
        <w:rPr>
          <w:rFonts w:ascii="仿宋" w:eastAsia="仿宋_GB2312" w:hAnsi="仿宋" w:hint="eastAsia"/>
          <w:sz w:val="32"/>
          <w:szCs w:val="32"/>
        </w:rPr>
        <w:t>人，知识产权工程师</w:t>
      </w:r>
      <w:r w:rsidRPr="00E53BDD">
        <w:rPr>
          <w:rFonts w:ascii="仿宋" w:eastAsia="仿宋_GB2312" w:hAnsi="仿宋" w:hint="eastAsia"/>
          <w:sz w:val="32"/>
          <w:szCs w:val="32"/>
        </w:rPr>
        <w:t>152</w:t>
      </w:r>
      <w:r w:rsidRPr="00E53BDD">
        <w:rPr>
          <w:rFonts w:ascii="仿宋" w:eastAsia="仿宋_GB2312" w:hAnsi="仿宋" w:hint="eastAsia"/>
          <w:sz w:val="32"/>
          <w:szCs w:val="32"/>
        </w:rPr>
        <w:t>人。开展</w:t>
      </w:r>
      <w:r w:rsidRPr="00E53BDD">
        <w:rPr>
          <w:rFonts w:ascii="仿宋" w:eastAsia="仿宋_GB2312" w:hAnsi="仿宋" w:hint="eastAsia"/>
          <w:sz w:val="32"/>
          <w:szCs w:val="32"/>
        </w:rPr>
        <w:t>4</w:t>
      </w:r>
      <w:r w:rsidRPr="00E53BDD">
        <w:rPr>
          <w:rFonts w:ascii="仿宋" w:eastAsia="仿宋_GB2312" w:hAnsi="仿宋" w:hint="eastAsia"/>
          <w:sz w:val="32"/>
          <w:szCs w:val="32"/>
        </w:rPr>
        <w:t>·</w:t>
      </w:r>
      <w:r w:rsidRPr="00E53BDD">
        <w:rPr>
          <w:rFonts w:ascii="仿宋" w:eastAsia="仿宋_GB2312" w:hAnsi="仿宋" w:hint="eastAsia"/>
          <w:sz w:val="32"/>
          <w:szCs w:val="32"/>
        </w:rPr>
        <w:t>26</w:t>
      </w:r>
      <w:r w:rsidRPr="00E53BDD">
        <w:rPr>
          <w:rFonts w:ascii="仿宋" w:eastAsia="仿宋_GB2312" w:hAnsi="仿宋" w:hint="eastAsia"/>
          <w:sz w:val="32"/>
          <w:szCs w:val="32"/>
        </w:rPr>
        <w:t>世界知识产权日系列宣传活动，打造太仓市“尊重知识、崇尚创新、诚信守法”的知识产权文化氛围。</w:t>
      </w:r>
    </w:p>
    <w:p w:rsidR="00833E93" w:rsidRDefault="00E53BDD">
      <w:pPr>
        <w:pStyle w:val="a1"/>
        <w:ind w:leftChars="0" w:left="0" w:firstLineChars="0" w:firstLine="0"/>
        <w:jc w:val="center"/>
        <w:outlineLvl w:val="9"/>
        <w:rPr>
          <w:sz w:val="28"/>
          <w:szCs w:val="28"/>
        </w:rPr>
      </w:pPr>
      <w:bookmarkStart w:id="92" w:name="_Toc6244"/>
      <w:bookmarkStart w:id="93" w:name="_Toc16877"/>
      <w:bookmarkStart w:id="94" w:name="_Toc28032"/>
      <w:bookmarkStart w:id="95" w:name="_Toc14175"/>
      <w:bookmarkStart w:id="96" w:name="_Toc29543"/>
      <w:bookmarkStart w:id="97" w:name="_Toc29580"/>
      <w:bookmarkStart w:id="98" w:name="_Toc14768"/>
      <w:bookmarkStart w:id="99" w:name="_Toc1738"/>
      <w:bookmarkStart w:id="100" w:name="_Toc30517"/>
      <w:bookmarkStart w:id="101" w:name="_Toc16352"/>
      <w:bookmarkStart w:id="102" w:name="_Toc2285"/>
      <w:r>
        <w:rPr>
          <w:rFonts w:ascii="黑体" w:eastAsia="黑体" w:hAnsi="黑体" w:cs="黑体" w:hint="eastAsia"/>
          <w:b w:val="0"/>
          <w:bCs/>
          <w:sz w:val="28"/>
          <w:szCs w:val="28"/>
        </w:rPr>
        <w:t>表1 太仓市“十三五”知识产权发展主要指标</w:t>
      </w:r>
      <w:bookmarkEnd w:id="92"/>
      <w:bookmarkEnd w:id="93"/>
      <w:bookmarkEnd w:id="94"/>
      <w:bookmarkEnd w:id="95"/>
      <w:bookmarkEnd w:id="96"/>
      <w:bookmarkEnd w:id="97"/>
      <w:bookmarkEnd w:id="98"/>
      <w:bookmarkEnd w:id="99"/>
      <w:bookmarkEnd w:id="100"/>
      <w:bookmarkEnd w:id="101"/>
      <w:bookmarkEnd w:id="102"/>
    </w:p>
    <w:tbl>
      <w:tblPr>
        <w:tblStyle w:val="aa"/>
        <w:tblW w:w="8519"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86"/>
        <w:gridCol w:w="2125"/>
        <w:gridCol w:w="4653"/>
        <w:gridCol w:w="1155"/>
      </w:tblGrid>
      <w:tr w:rsidR="00833E93">
        <w:trPr>
          <w:trHeight w:val="23"/>
          <w:tblHeader/>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b/>
                <w:kern w:val="0"/>
                <w:sz w:val="18"/>
                <w:szCs w:val="18"/>
              </w:rPr>
            </w:pPr>
            <w:r w:rsidRPr="00E53BDD">
              <w:rPr>
                <w:rFonts w:ascii="仿宋" w:eastAsia="仿宋_GB2312" w:hAnsi="仿宋" w:cs="仿宋" w:hint="eastAsia"/>
                <w:b/>
                <w:kern w:val="0"/>
                <w:sz w:val="18"/>
                <w:szCs w:val="18"/>
              </w:rPr>
              <w:t>序号</w:t>
            </w:r>
          </w:p>
        </w:tc>
        <w:tc>
          <w:tcPr>
            <w:tcW w:w="2125" w:type="dxa"/>
            <w:tcBorders>
              <w:tl2br w:val="nil"/>
              <w:tr2bl w:val="nil"/>
            </w:tcBorders>
            <w:vAlign w:val="center"/>
          </w:tcPr>
          <w:p w:rsidR="00833E93" w:rsidRDefault="00E53BDD">
            <w:pPr>
              <w:ind w:firstLineChars="0" w:firstLine="0"/>
              <w:jc w:val="center"/>
              <w:rPr>
                <w:rFonts w:ascii="仿宋" w:eastAsia="仿宋" w:hAnsi="仿宋" w:cs="仿宋"/>
                <w:b/>
                <w:kern w:val="0"/>
                <w:sz w:val="18"/>
                <w:szCs w:val="18"/>
              </w:rPr>
            </w:pPr>
            <w:r w:rsidRPr="00E53BDD">
              <w:rPr>
                <w:rFonts w:ascii="仿宋" w:eastAsia="仿宋_GB2312" w:hAnsi="仿宋" w:cs="仿宋" w:hint="eastAsia"/>
                <w:b/>
                <w:kern w:val="0"/>
                <w:sz w:val="18"/>
                <w:szCs w:val="18"/>
              </w:rPr>
              <w:t>项目</w:t>
            </w:r>
          </w:p>
        </w:tc>
        <w:tc>
          <w:tcPr>
            <w:tcW w:w="4653" w:type="dxa"/>
            <w:tcBorders>
              <w:tl2br w:val="nil"/>
              <w:tr2bl w:val="nil"/>
            </w:tcBorders>
            <w:vAlign w:val="center"/>
          </w:tcPr>
          <w:p w:rsidR="00833E93" w:rsidRDefault="00E53BDD">
            <w:pPr>
              <w:ind w:firstLineChars="0" w:firstLine="0"/>
              <w:jc w:val="center"/>
              <w:rPr>
                <w:rFonts w:ascii="仿宋" w:eastAsia="仿宋" w:hAnsi="仿宋" w:cs="仿宋"/>
                <w:b/>
                <w:kern w:val="0"/>
                <w:sz w:val="18"/>
                <w:szCs w:val="18"/>
              </w:rPr>
            </w:pPr>
            <w:r w:rsidRPr="00E53BDD">
              <w:rPr>
                <w:rFonts w:ascii="仿宋" w:eastAsia="仿宋_GB2312" w:hAnsi="仿宋" w:cs="仿宋" w:hint="eastAsia"/>
                <w:b/>
                <w:kern w:val="0"/>
                <w:sz w:val="18"/>
                <w:szCs w:val="18"/>
              </w:rPr>
              <w:t>核心指标（单位）</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b/>
                <w:kern w:val="0"/>
                <w:sz w:val="18"/>
                <w:szCs w:val="18"/>
              </w:rPr>
            </w:pPr>
            <w:r w:rsidRPr="00E53BDD">
              <w:rPr>
                <w:rFonts w:ascii="仿宋" w:eastAsia="仿宋_GB2312" w:hAnsi="仿宋" w:cs="仿宋" w:hint="eastAsia"/>
                <w:b/>
                <w:kern w:val="0"/>
                <w:sz w:val="18"/>
                <w:szCs w:val="18"/>
              </w:rPr>
              <w:t>完成情况</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1</w:t>
            </w:r>
          </w:p>
        </w:tc>
        <w:tc>
          <w:tcPr>
            <w:tcW w:w="2125" w:type="dxa"/>
            <w:vMerge w:val="restart"/>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知识产权创造</w:t>
            </w: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万人发明专利拥有量（件）</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65.61</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2</w:t>
            </w:r>
          </w:p>
        </w:tc>
        <w:tc>
          <w:tcPr>
            <w:tcW w:w="2125" w:type="dxa"/>
            <w:vMerge/>
            <w:tcBorders>
              <w:tl2br w:val="nil"/>
              <w:tr2bl w:val="nil"/>
            </w:tcBorders>
            <w:vAlign w:val="center"/>
          </w:tcPr>
          <w:p w:rsidR="00833E93" w:rsidRDefault="00833E93">
            <w:pPr>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新增</w:t>
            </w:r>
            <w:r w:rsidRPr="00E53BDD">
              <w:rPr>
                <w:rFonts w:ascii="仿宋" w:eastAsia="仿宋_GB2312" w:hAnsi="仿宋" w:cs="仿宋" w:hint="eastAsia"/>
                <w:kern w:val="0"/>
                <w:sz w:val="18"/>
                <w:szCs w:val="18"/>
              </w:rPr>
              <w:t>PCT</w:t>
            </w:r>
            <w:r w:rsidRPr="00E53BDD">
              <w:rPr>
                <w:rFonts w:ascii="仿宋" w:eastAsia="仿宋_GB2312" w:hAnsi="仿宋" w:cs="仿宋" w:hint="eastAsia"/>
                <w:kern w:val="0"/>
                <w:sz w:val="18"/>
                <w:szCs w:val="18"/>
              </w:rPr>
              <w:t>国际专利申请量（件）</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737</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3</w:t>
            </w:r>
          </w:p>
        </w:tc>
        <w:tc>
          <w:tcPr>
            <w:tcW w:w="2125" w:type="dxa"/>
            <w:vMerge/>
            <w:tcBorders>
              <w:tl2br w:val="nil"/>
              <w:tr2bl w:val="nil"/>
            </w:tcBorders>
            <w:vAlign w:val="center"/>
          </w:tcPr>
          <w:p w:rsidR="00833E93" w:rsidRDefault="00833E93">
            <w:pPr>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新增一般作品著作权登记量（件）</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4199</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4</w:t>
            </w:r>
          </w:p>
        </w:tc>
        <w:tc>
          <w:tcPr>
            <w:tcW w:w="2125" w:type="dxa"/>
            <w:vMerge w:val="restart"/>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知识产权运用</w:t>
            </w: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知识产权</w:t>
            </w:r>
            <w:r w:rsidRPr="00E53BDD">
              <w:rPr>
                <w:rFonts w:ascii="仿宋" w:eastAsia="仿宋_GB2312" w:hAnsi="仿宋" w:cs="仿宋" w:hint="eastAsia"/>
                <w:sz w:val="18"/>
                <w:szCs w:val="18"/>
                <w:lang w:val="zh-TW" w:eastAsia="zh-TW"/>
              </w:rPr>
              <w:t>质押</w:t>
            </w:r>
            <w:r w:rsidRPr="00E53BDD">
              <w:rPr>
                <w:rFonts w:ascii="仿宋" w:eastAsia="仿宋_GB2312" w:hAnsi="仿宋" w:cs="仿宋" w:hint="eastAsia"/>
                <w:sz w:val="18"/>
                <w:szCs w:val="18"/>
              </w:rPr>
              <w:t>融资登记</w:t>
            </w:r>
            <w:r w:rsidRPr="00E53BDD">
              <w:rPr>
                <w:rFonts w:ascii="仿宋" w:eastAsia="仿宋_GB2312" w:hAnsi="仿宋" w:cs="仿宋" w:hint="eastAsia"/>
                <w:sz w:val="18"/>
                <w:szCs w:val="18"/>
                <w:lang w:val="zh-TW" w:eastAsia="zh-TW"/>
              </w:rPr>
              <w:t>金额（亿元）</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9.48</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5</w:t>
            </w:r>
          </w:p>
        </w:tc>
        <w:tc>
          <w:tcPr>
            <w:tcW w:w="2125" w:type="dxa"/>
            <w:vMerge/>
            <w:tcBorders>
              <w:tl2br w:val="nil"/>
              <w:tr2bl w:val="nil"/>
            </w:tcBorders>
            <w:vAlign w:val="center"/>
          </w:tcPr>
          <w:p w:rsidR="00833E93" w:rsidRDefault="00833E93">
            <w:pPr>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企业知识产权贯标认证数量（家）</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129</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6</w:t>
            </w:r>
          </w:p>
        </w:tc>
        <w:tc>
          <w:tcPr>
            <w:tcW w:w="2125" w:type="dxa"/>
            <w:vMerge/>
            <w:tcBorders>
              <w:tl2br w:val="nil"/>
              <w:tr2bl w:val="nil"/>
            </w:tcBorders>
            <w:vAlign w:val="center"/>
          </w:tcPr>
          <w:p w:rsidR="00833E93" w:rsidRDefault="00833E93">
            <w:pPr>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苏州市级以上知识产权项目立项（项）</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53</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7</w:t>
            </w:r>
          </w:p>
        </w:tc>
        <w:tc>
          <w:tcPr>
            <w:tcW w:w="2125" w:type="dxa"/>
            <w:vMerge w:val="restart"/>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知识产权保护</w:t>
            </w: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知识产权民事一审案件服判息诉率（</w:t>
            </w:r>
            <w:r w:rsidRPr="00E53BDD">
              <w:rPr>
                <w:rFonts w:ascii="仿宋" w:eastAsia="仿宋_GB2312" w:hAnsi="仿宋" w:cs="仿宋" w:hint="eastAsia"/>
                <w:sz w:val="18"/>
                <w:szCs w:val="18"/>
              </w:rPr>
              <w:t>%</w:t>
            </w:r>
            <w:r w:rsidRPr="00E53BDD">
              <w:rPr>
                <w:rFonts w:ascii="仿宋" w:eastAsia="仿宋_GB2312" w:hAnsi="仿宋" w:cs="仿宋" w:hint="eastAsia"/>
                <w:sz w:val="18"/>
                <w:szCs w:val="18"/>
              </w:rPr>
              <w:t>）</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w:t>
            </w:r>
            <w:r w:rsidRPr="00E53BDD">
              <w:rPr>
                <w:rFonts w:ascii="仿宋" w:eastAsia="仿宋_GB2312" w:hAnsi="仿宋" w:cs="仿宋" w:hint="eastAsia"/>
                <w:kern w:val="0"/>
                <w:sz w:val="18"/>
                <w:szCs w:val="18"/>
              </w:rPr>
              <w:t>90</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8</w:t>
            </w:r>
          </w:p>
        </w:tc>
        <w:tc>
          <w:tcPr>
            <w:tcW w:w="2125" w:type="dxa"/>
            <w:vMerge/>
            <w:tcBorders>
              <w:tl2br w:val="nil"/>
              <w:tr2bl w:val="nil"/>
            </w:tcBorders>
            <w:vAlign w:val="center"/>
          </w:tcPr>
          <w:p w:rsidR="00833E93" w:rsidRDefault="00833E93">
            <w:pPr>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知识产权行政执法案件办结率（</w:t>
            </w:r>
            <w:r w:rsidRPr="00E53BDD">
              <w:rPr>
                <w:rFonts w:ascii="仿宋" w:eastAsia="仿宋_GB2312" w:hAnsi="仿宋" w:cs="仿宋" w:hint="eastAsia"/>
                <w:kern w:val="0"/>
                <w:sz w:val="18"/>
                <w:szCs w:val="18"/>
              </w:rPr>
              <w:t>%</w:t>
            </w:r>
            <w:r w:rsidRPr="00E53BDD">
              <w:rPr>
                <w:rFonts w:ascii="仿宋" w:eastAsia="仿宋_GB2312" w:hAnsi="仿宋" w:cs="仿宋" w:hint="eastAsia"/>
                <w:kern w:val="0"/>
                <w:sz w:val="18"/>
                <w:szCs w:val="18"/>
              </w:rPr>
              <w:t>）</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100</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lastRenderedPageBreak/>
              <w:t>9</w:t>
            </w:r>
          </w:p>
        </w:tc>
        <w:tc>
          <w:tcPr>
            <w:tcW w:w="2125" w:type="dxa"/>
            <w:vMerge w:val="restart"/>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知识产权服务</w:t>
            </w: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培训企业数量（家）</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375</w:t>
            </w:r>
          </w:p>
        </w:tc>
      </w:tr>
      <w:tr w:rsidR="00833E93">
        <w:trPr>
          <w:trHeight w:val="23"/>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10</w:t>
            </w:r>
          </w:p>
        </w:tc>
        <w:tc>
          <w:tcPr>
            <w:tcW w:w="2125" w:type="dxa"/>
            <w:vMerge/>
            <w:tcBorders>
              <w:tl2br w:val="nil"/>
              <w:tr2bl w:val="nil"/>
            </w:tcBorders>
            <w:vAlign w:val="center"/>
          </w:tcPr>
          <w:p w:rsidR="00833E93" w:rsidRDefault="00833E93">
            <w:pPr>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知识产权服务机构（家）</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32</w:t>
            </w:r>
          </w:p>
        </w:tc>
      </w:tr>
    </w:tbl>
    <w:p w:rsidR="00833E93" w:rsidRPr="00E53BDD" w:rsidRDefault="00E53BDD">
      <w:pPr>
        <w:pStyle w:val="2"/>
        <w:ind w:firstLine="640"/>
        <w:rPr>
          <w:rFonts w:eastAsia="楷体_GB2312"/>
        </w:rPr>
      </w:pPr>
      <w:bookmarkStart w:id="103" w:name="_Toc3692"/>
      <w:bookmarkStart w:id="104" w:name="_Toc29681"/>
      <w:bookmarkStart w:id="105" w:name="_Toc9049"/>
      <w:bookmarkStart w:id="106" w:name="_Toc24837"/>
      <w:bookmarkStart w:id="107" w:name="_Toc18555"/>
      <w:bookmarkStart w:id="108" w:name="_Toc17016"/>
      <w:bookmarkStart w:id="109" w:name="_Toc26527"/>
      <w:bookmarkStart w:id="110" w:name="_Toc24895"/>
      <w:bookmarkStart w:id="111" w:name="_Toc24665"/>
      <w:r w:rsidRPr="00E53BDD">
        <w:rPr>
          <w:rFonts w:eastAsia="楷体_GB2312" w:hint="eastAsia"/>
        </w:rPr>
        <w:t>当前存在的主要问题</w:t>
      </w:r>
      <w:bookmarkEnd w:id="103"/>
      <w:bookmarkEnd w:id="104"/>
      <w:bookmarkEnd w:id="105"/>
      <w:bookmarkEnd w:id="106"/>
      <w:bookmarkEnd w:id="107"/>
      <w:bookmarkEnd w:id="108"/>
      <w:bookmarkEnd w:id="109"/>
      <w:bookmarkEnd w:id="110"/>
      <w:bookmarkEnd w:id="111"/>
    </w:p>
    <w:p w:rsidR="00833E93" w:rsidRDefault="00E53BDD">
      <w:pPr>
        <w:adjustRightInd w:val="0"/>
        <w:snapToGrid w:val="0"/>
        <w:spacing w:line="560" w:lineRule="exact"/>
        <w:ind w:firstLine="640"/>
        <w:rPr>
          <w:rFonts w:eastAsia="仿宋_GB2312" w:cs="Times New Roman"/>
          <w:sz w:val="32"/>
          <w:szCs w:val="32"/>
        </w:rPr>
      </w:pPr>
      <w:r w:rsidRPr="00E53BDD">
        <w:rPr>
          <w:rFonts w:ascii="仿宋" w:eastAsia="仿宋_GB2312" w:hAnsi="仿宋" w:hint="eastAsia"/>
          <w:sz w:val="32"/>
          <w:szCs w:val="32"/>
        </w:rPr>
        <w:t>取得相应成就的同时，太仓市知识产权工作仍存在不少问题和短板，主要表现为：</w:t>
      </w:r>
      <w:r>
        <w:rPr>
          <w:rFonts w:eastAsia="仿宋_GB2312" w:cs="Times New Roman" w:hint="eastAsia"/>
          <w:b/>
          <w:bCs/>
          <w:sz w:val="32"/>
          <w:szCs w:val="32"/>
        </w:rPr>
        <w:t>一是在知识产权创造层面</w:t>
      </w:r>
      <w:r>
        <w:rPr>
          <w:rFonts w:eastAsia="仿宋_GB2312" w:cs="Times New Roman" w:hint="eastAsia"/>
          <w:sz w:val="32"/>
          <w:szCs w:val="32"/>
        </w:rPr>
        <w:t>，高价值知识产权产出不足，国家级、省级项目与奖项申报数量不多，专利授权量、商标注册量整体偏少。</w:t>
      </w:r>
      <w:r>
        <w:rPr>
          <w:rFonts w:eastAsia="仿宋_GB2312" w:cs="Times New Roman" w:hint="eastAsia"/>
          <w:b/>
          <w:bCs/>
          <w:sz w:val="32"/>
          <w:szCs w:val="32"/>
        </w:rPr>
        <w:t>二是在知识产权运用层面，</w:t>
      </w:r>
      <w:r>
        <w:rPr>
          <w:rFonts w:eastAsia="仿宋_GB2312" w:cs="Times New Roman" w:hint="eastAsia"/>
          <w:sz w:val="32"/>
          <w:szCs w:val="32"/>
        </w:rPr>
        <w:t>知识产权运用能力有待提升，知识产权价值转化效率较低。</w:t>
      </w:r>
      <w:r>
        <w:rPr>
          <w:rFonts w:eastAsia="仿宋_GB2312" w:cs="Times New Roman" w:hint="eastAsia"/>
          <w:b/>
          <w:bCs/>
          <w:sz w:val="32"/>
          <w:szCs w:val="32"/>
        </w:rPr>
        <w:t>三是在知识产权保护层面，</w:t>
      </w:r>
      <w:r>
        <w:rPr>
          <w:rFonts w:eastAsia="仿宋_GB2312" w:cs="Times New Roman" w:hint="eastAsia"/>
          <w:sz w:val="32"/>
          <w:szCs w:val="32"/>
        </w:rPr>
        <w:t>知识产权侵权手段不断翻新，维权难问题仍然存在。</w:t>
      </w:r>
      <w:r>
        <w:rPr>
          <w:rFonts w:eastAsia="仿宋_GB2312" w:cs="Times New Roman" w:hint="eastAsia"/>
          <w:b/>
          <w:bCs/>
          <w:sz w:val="32"/>
          <w:szCs w:val="32"/>
        </w:rPr>
        <w:t>四是在知识产权管理层面，</w:t>
      </w:r>
      <w:r>
        <w:rPr>
          <w:rFonts w:eastAsia="仿宋_GB2312" w:cs="Times New Roman" w:hint="eastAsia"/>
          <w:sz w:val="32"/>
          <w:szCs w:val="32"/>
        </w:rPr>
        <w:t>企业知识产权管理意识薄弱，知识产权执法能力有待提升。</w:t>
      </w:r>
      <w:r>
        <w:rPr>
          <w:rFonts w:eastAsia="仿宋_GB2312" w:cs="Times New Roman" w:hint="eastAsia"/>
          <w:b/>
          <w:bCs/>
          <w:sz w:val="32"/>
          <w:szCs w:val="32"/>
        </w:rPr>
        <w:t>五是在知识产权服务层面，</w:t>
      </w:r>
      <w:r>
        <w:rPr>
          <w:rFonts w:eastAsia="仿宋_GB2312" w:cs="Times New Roman" w:hint="eastAsia"/>
          <w:sz w:val="32"/>
          <w:szCs w:val="32"/>
        </w:rPr>
        <w:t>品牌化知识产权服务机构缺乏，高端知识产权人才供给不足。</w:t>
      </w:r>
    </w:p>
    <w:p w:rsidR="00833E93" w:rsidRPr="00E53BDD" w:rsidRDefault="00E53BDD">
      <w:pPr>
        <w:pStyle w:val="2"/>
        <w:ind w:firstLine="640"/>
        <w:rPr>
          <w:rFonts w:eastAsia="楷体_GB2312"/>
        </w:rPr>
      </w:pPr>
      <w:bookmarkStart w:id="112" w:name="_Toc25427"/>
      <w:bookmarkStart w:id="113" w:name="_Toc2300"/>
      <w:bookmarkStart w:id="114" w:name="_Toc29699"/>
      <w:bookmarkStart w:id="115" w:name="_Toc4975"/>
      <w:bookmarkStart w:id="116" w:name="_Toc1477"/>
      <w:bookmarkStart w:id="117" w:name="_Toc20302"/>
      <w:bookmarkStart w:id="118" w:name="_Toc27626"/>
      <w:bookmarkStart w:id="119" w:name="_Toc28153"/>
      <w:bookmarkStart w:id="120" w:name="_Toc845"/>
      <w:r w:rsidRPr="00E53BDD">
        <w:rPr>
          <w:rFonts w:eastAsia="楷体_GB2312" w:hint="eastAsia"/>
        </w:rPr>
        <w:t>机遇与挑战</w:t>
      </w:r>
      <w:bookmarkEnd w:id="112"/>
      <w:bookmarkEnd w:id="113"/>
      <w:bookmarkEnd w:id="114"/>
      <w:bookmarkEnd w:id="115"/>
      <w:bookmarkEnd w:id="116"/>
      <w:bookmarkEnd w:id="117"/>
      <w:bookmarkEnd w:id="118"/>
      <w:bookmarkEnd w:id="119"/>
      <w:bookmarkEnd w:id="120"/>
    </w:p>
    <w:p w:rsidR="00833E93" w:rsidRPr="00E53BDD" w:rsidRDefault="00E53BDD">
      <w:pPr>
        <w:adjustRightInd w:val="0"/>
        <w:snapToGrid w:val="0"/>
        <w:spacing w:line="560" w:lineRule="exact"/>
        <w:ind w:firstLine="640"/>
        <w:rPr>
          <w:rFonts w:eastAsia="仿宋_GB2312" w:cs="仿宋"/>
          <w:sz w:val="32"/>
          <w:szCs w:val="32"/>
        </w:rPr>
      </w:pPr>
      <w:r w:rsidRPr="00E53BDD">
        <w:rPr>
          <w:rFonts w:eastAsia="仿宋_GB2312" w:cs="仿宋" w:hint="eastAsia"/>
          <w:sz w:val="32"/>
          <w:szCs w:val="32"/>
        </w:rPr>
        <w:t>“十四五”时期，世界正经历百年未有之大变局，我国正迈入社会主义现代化建设新征程，也是知识产权强国建设全面建设的重要时期，知识产权事业发展面临着新形势与新问题，机遇与挑战并存。</w:t>
      </w:r>
    </w:p>
    <w:p w:rsidR="00833E93" w:rsidRPr="00E53BDD" w:rsidRDefault="00E53BDD">
      <w:pPr>
        <w:adjustRightInd w:val="0"/>
        <w:snapToGrid w:val="0"/>
        <w:spacing w:line="560" w:lineRule="exact"/>
        <w:ind w:firstLine="643"/>
        <w:rPr>
          <w:rFonts w:eastAsia="仿宋_GB2312" w:cs="仿宋"/>
          <w:sz w:val="32"/>
          <w:szCs w:val="32"/>
        </w:rPr>
      </w:pPr>
      <w:r w:rsidRPr="00E53BDD">
        <w:rPr>
          <w:rFonts w:ascii="楷体" w:eastAsia="楷体_GB2312" w:hAnsi="楷体" w:cs="楷体" w:hint="eastAsia"/>
          <w:b/>
          <w:bCs/>
          <w:sz w:val="32"/>
          <w:szCs w:val="32"/>
        </w:rPr>
        <w:t>从国际看，</w:t>
      </w:r>
      <w:r w:rsidRPr="00E53BDD">
        <w:rPr>
          <w:rFonts w:eastAsia="仿宋_GB2312" w:cs="仿宋" w:hint="eastAsia"/>
          <w:sz w:val="32"/>
          <w:szCs w:val="32"/>
        </w:rPr>
        <w:t>新一轮科技革命和产业变革加快重塑全球经济格局，知识产权俨然成为经济全球化时代国际竞争力的核心要素和全球重要的贸易资源。新冠疫情影响广泛深远，经济全球化也正遭遇逆流，知识产权国际竞争激烈程度空前加剧，国际知识产权规则和制度发生巨大的调整和创新，国际经贸秩序与治理体系正在重构，我国知识产权事业发展与经</w:t>
      </w:r>
      <w:r w:rsidRPr="00E53BDD">
        <w:rPr>
          <w:rFonts w:eastAsia="仿宋_GB2312" w:cs="仿宋" w:hint="eastAsia"/>
          <w:sz w:val="32"/>
          <w:szCs w:val="32"/>
        </w:rPr>
        <w:lastRenderedPageBreak/>
        <w:t>济社会发展面临严峻挑战。积极融入知识产权全球治理体系，强化新兴领域知识产权保护与合作，也成为新时期我国知识产权发展领域的重要任务与战略举措。</w:t>
      </w:r>
    </w:p>
    <w:p w:rsidR="00833E93" w:rsidRPr="00E53BDD" w:rsidRDefault="00E53BDD">
      <w:pPr>
        <w:adjustRightInd w:val="0"/>
        <w:snapToGrid w:val="0"/>
        <w:spacing w:line="560" w:lineRule="exact"/>
        <w:ind w:firstLine="643"/>
        <w:rPr>
          <w:rFonts w:eastAsia="仿宋_GB2312" w:cs="仿宋"/>
          <w:sz w:val="32"/>
          <w:szCs w:val="32"/>
        </w:rPr>
      </w:pPr>
      <w:r w:rsidRPr="00E53BDD">
        <w:rPr>
          <w:rFonts w:ascii="楷体" w:eastAsia="楷体_GB2312" w:hAnsi="楷体" w:cs="楷体" w:hint="eastAsia"/>
          <w:b/>
          <w:bCs/>
          <w:sz w:val="32"/>
          <w:szCs w:val="32"/>
        </w:rPr>
        <w:t>从国内看，</w:t>
      </w:r>
      <w:r w:rsidRPr="00E53BDD">
        <w:rPr>
          <w:rFonts w:eastAsia="仿宋_GB2312" w:cs="仿宋" w:hint="eastAsia"/>
          <w:sz w:val="32"/>
          <w:szCs w:val="32"/>
        </w:rPr>
        <w:t>“十四五”时期是全面落实习近平总书记关于知识产权工作的重要指示论述和对江苏、对苏州工作的重要指示精神的重要时期，也是贯彻实施</w:t>
      </w:r>
      <w:r w:rsidRPr="00E53BDD">
        <w:rPr>
          <w:rFonts w:ascii="仿宋" w:eastAsia="仿宋_GB2312" w:hAnsi="仿宋" w:cs="仿宋" w:hint="eastAsia"/>
          <w:sz w:val="32"/>
          <w:szCs w:val="32"/>
        </w:rPr>
        <w:t>《知识产权强国建设纲要（</w:t>
      </w:r>
      <w:r w:rsidRPr="00E53BDD">
        <w:rPr>
          <w:rFonts w:ascii="仿宋" w:eastAsia="仿宋_GB2312" w:hAnsi="仿宋" w:cs="仿宋" w:hint="eastAsia"/>
          <w:sz w:val="32"/>
          <w:szCs w:val="32"/>
        </w:rPr>
        <w:t>2021-2035</w:t>
      </w:r>
      <w:r w:rsidRPr="00E53BDD">
        <w:rPr>
          <w:rFonts w:ascii="仿宋" w:eastAsia="仿宋_GB2312" w:hAnsi="仿宋" w:cs="仿宋" w:hint="eastAsia"/>
          <w:sz w:val="32"/>
          <w:szCs w:val="32"/>
        </w:rPr>
        <w:t>年）》第一个五年计划的关键时期。</w:t>
      </w:r>
      <w:r w:rsidRPr="00E53BDD">
        <w:rPr>
          <w:rFonts w:eastAsia="仿宋_GB2312" w:cs="仿宋" w:hint="eastAsia"/>
          <w:sz w:val="32"/>
          <w:szCs w:val="32"/>
        </w:rPr>
        <w:t>当前我国正在由知识产权大国向知识产权强国转变，推动知识产权高质量发展成为保持国民经济持续健康发展的必然选择。</w:t>
      </w:r>
    </w:p>
    <w:p w:rsidR="00833E93" w:rsidRPr="00E53BDD" w:rsidRDefault="00E53BDD">
      <w:pPr>
        <w:adjustRightInd w:val="0"/>
        <w:snapToGrid w:val="0"/>
        <w:spacing w:line="560" w:lineRule="exact"/>
        <w:ind w:firstLine="643"/>
        <w:rPr>
          <w:rFonts w:eastAsia="仿宋_GB2312" w:cs="仿宋"/>
          <w:sz w:val="32"/>
          <w:szCs w:val="32"/>
        </w:rPr>
      </w:pPr>
      <w:r w:rsidRPr="00E53BDD">
        <w:rPr>
          <w:rFonts w:ascii="楷体" w:eastAsia="楷体_GB2312" w:hAnsi="楷体" w:cs="楷体" w:hint="eastAsia"/>
          <w:b/>
          <w:bCs/>
          <w:sz w:val="32"/>
          <w:szCs w:val="32"/>
        </w:rPr>
        <w:t>从自身看，</w:t>
      </w:r>
      <w:r w:rsidRPr="00E53BDD">
        <w:rPr>
          <w:rFonts w:eastAsia="仿宋_GB2312" w:cs="仿宋" w:hint="eastAsia"/>
          <w:sz w:val="32"/>
          <w:szCs w:val="32"/>
        </w:rPr>
        <w:t>太仓作为苏州各板块经济发展最活跃地区之一，知识产权县域竞争力排行常居全国十强行列，但是相较于知识产权发展势头强劲地区仍有一定差距。从“十三五”工作基础来看，知识产权示范创建效果不明显，高价值知识产权数量偏少，知识产权转化、许可、运营不够活跃，知识产权保护成效不够明显，知识产权载体建设薄弱，知识产权高端人才较为匮乏，知识产权公共服务存在短板。</w:t>
      </w:r>
    </w:p>
    <w:p w:rsidR="00833E93" w:rsidRDefault="00E53BDD">
      <w:pPr>
        <w:pStyle w:val="1"/>
        <w:adjustRightInd w:val="0"/>
        <w:ind w:firstLine="640"/>
      </w:pPr>
      <w:bookmarkStart w:id="121" w:name="_Toc15784"/>
      <w:bookmarkStart w:id="122" w:name="_Toc25948"/>
      <w:bookmarkStart w:id="123" w:name="_Toc15661"/>
      <w:bookmarkStart w:id="124" w:name="_Toc1036"/>
      <w:bookmarkStart w:id="125" w:name="_Toc7471"/>
      <w:bookmarkStart w:id="126" w:name="_Toc6830"/>
      <w:bookmarkStart w:id="127" w:name="_Toc8861"/>
      <w:bookmarkStart w:id="128" w:name="_Toc30506"/>
      <w:bookmarkStart w:id="129" w:name="_Toc19023"/>
      <w:r>
        <w:rPr>
          <w:rFonts w:hint="eastAsia"/>
        </w:rPr>
        <w:t>指导思想与发展目标</w:t>
      </w:r>
      <w:bookmarkEnd w:id="121"/>
      <w:bookmarkEnd w:id="122"/>
      <w:bookmarkEnd w:id="123"/>
      <w:bookmarkEnd w:id="124"/>
      <w:bookmarkEnd w:id="125"/>
      <w:bookmarkEnd w:id="126"/>
      <w:bookmarkEnd w:id="127"/>
      <w:bookmarkEnd w:id="128"/>
      <w:bookmarkEnd w:id="129"/>
    </w:p>
    <w:p w:rsidR="00833E93" w:rsidRPr="00E53BDD" w:rsidRDefault="00E53BDD">
      <w:pPr>
        <w:pStyle w:val="2"/>
        <w:ind w:firstLine="640"/>
        <w:rPr>
          <w:rFonts w:eastAsia="楷体_GB2312"/>
        </w:rPr>
      </w:pPr>
      <w:bookmarkStart w:id="130" w:name="_Toc21720"/>
      <w:bookmarkStart w:id="131" w:name="_Toc19148"/>
      <w:bookmarkStart w:id="132" w:name="_Toc12366"/>
      <w:bookmarkStart w:id="133" w:name="_Toc21729"/>
      <w:bookmarkStart w:id="134" w:name="_Toc14000"/>
      <w:bookmarkStart w:id="135" w:name="_Toc16333"/>
      <w:bookmarkStart w:id="136" w:name="_Toc20204"/>
      <w:bookmarkStart w:id="137" w:name="_Toc1367"/>
      <w:bookmarkStart w:id="138" w:name="_Toc28344"/>
      <w:r w:rsidRPr="00E53BDD">
        <w:rPr>
          <w:rFonts w:eastAsia="楷体_GB2312"/>
        </w:rPr>
        <w:t>指导思想</w:t>
      </w:r>
      <w:bookmarkEnd w:id="130"/>
      <w:bookmarkEnd w:id="131"/>
      <w:bookmarkEnd w:id="132"/>
      <w:bookmarkEnd w:id="133"/>
      <w:bookmarkEnd w:id="134"/>
      <w:bookmarkEnd w:id="135"/>
      <w:bookmarkEnd w:id="136"/>
      <w:bookmarkEnd w:id="137"/>
      <w:bookmarkEnd w:id="138"/>
    </w:p>
    <w:p w:rsidR="00833E93" w:rsidRPr="00E53BDD" w:rsidRDefault="00E53BDD">
      <w:pPr>
        <w:pStyle w:val="ad"/>
        <w:ind w:firstLine="640"/>
        <w:rPr>
          <w:rFonts w:eastAsia="仿宋_GB2312" w:hint="default"/>
        </w:rPr>
      </w:pPr>
      <w:r w:rsidRPr="00E53BDD">
        <w:rPr>
          <w:rFonts w:eastAsia="仿宋_GB2312"/>
        </w:rPr>
        <w:t>坚持</w:t>
      </w:r>
      <w:r w:rsidRPr="00E53BDD">
        <w:rPr>
          <w:rFonts w:eastAsia="仿宋_GB2312" w:hint="default"/>
        </w:rPr>
        <w:t>以习近平新时代中国特色社会主义思想为指导，深入贯彻党的十九大和十九届历次全会精神，严格遵循党的基本路线、基本方略，全面落实习近平总书记关于知识产权工作的重要指示论述和对江苏、对苏州工作的重要指示精神，立足新发展阶段，贯彻新发展理念，构建新发展格局，以实现</w:t>
      </w:r>
      <w:r w:rsidRPr="00E53BDD">
        <w:rPr>
          <w:rFonts w:eastAsia="仿宋_GB2312"/>
        </w:rPr>
        <w:t>知识产权高质量发展为导向</w:t>
      </w:r>
      <w:r w:rsidRPr="00E53BDD">
        <w:rPr>
          <w:rFonts w:eastAsia="仿宋_GB2312" w:hint="default"/>
        </w:rPr>
        <w:t>，打通知识产权创造、保护、</w:t>
      </w:r>
      <w:r w:rsidRPr="00E53BDD">
        <w:rPr>
          <w:rFonts w:eastAsia="仿宋_GB2312" w:hint="default"/>
        </w:rPr>
        <w:lastRenderedPageBreak/>
        <w:t>运用、管理、服务全链条，推动</w:t>
      </w:r>
      <w:r w:rsidRPr="00E53BDD">
        <w:rPr>
          <w:rFonts w:eastAsia="仿宋_GB2312"/>
        </w:rPr>
        <w:t>太仓</w:t>
      </w:r>
      <w:r w:rsidRPr="00E53BDD">
        <w:rPr>
          <w:rFonts w:eastAsia="仿宋_GB2312" w:hint="default"/>
        </w:rPr>
        <w:t>知识产权高质量创造、高标准保护、高效益运用、高品质服务和高水平合作</w:t>
      </w:r>
      <w:r w:rsidRPr="00E53BDD">
        <w:rPr>
          <w:rFonts w:eastAsia="仿宋_GB2312"/>
        </w:rPr>
        <w:t>，奋力开启太仓知识产权强市建设新时代。</w:t>
      </w:r>
    </w:p>
    <w:p w:rsidR="00833E93" w:rsidRPr="00E53BDD" w:rsidRDefault="00E53BDD">
      <w:pPr>
        <w:pStyle w:val="2"/>
        <w:ind w:firstLine="640"/>
        <w:rPr>
          <w:rFonts w:eastAsia="楷体_GB2312"/>
        </w:rPr>
      </w:pPr>
      <w:bookmarkStart w:id="139" w:name="_Toc13787"/>
      <w:bookmarkStart w:id="140" w:name="_Toc23609"/>
      <w:bookmarkStart w:id="141" w:name="_Toc6121"/>
      <w:bookmarkStart w:id="142" w:name="_Toc2689"/>
      <w:bookmarkStart w:id="143" w:name="_Toc21092"/>
      <w:bookmarkStart w:id="144" w:name="_Toc24075"/>
      <w:bookmarkStart w:id="145" w:name="_Toc4392"/>
      <w:bookmarkStart w:id="146" w:name="_Toc23433"/>
      <w:bookmarkStart w:id="147" w:name="_Toc12018"/>
      <w:r w:rsidRPr="00E53BDD">
        <w:rPr>
          <w:rFonts w:eastAsia="楷体_GB2312"/>
        </w:rPr>
        <w:t>基本原则</w:t>
      </w:r>
      <w:bookmarkEnd w:id="139"/>
      <w:bookmarkEnd w:id="140"/>
      <w:bookmarkEnd w:id="141"/>
      <w:bookmarkEnd w:id="142"/>
      <w:bookmarkEnd w:id="143"/>
      <w:bookmarkEnd w:id="144"/>
      <w:bookmarkEnd w:id="145"/>
      <w:bookmarkEnd w:id="146"/>
      <w:bookmarkEnd w:id="147"/>
    </w:p>
    <w:p w:rsidR="00833E93" w:rsidRPr="00E53BDD" w:rsidRDefault="00E53BDD">
      <w:pPr>
        <w:pStyle w:val="ad"/>
        <w:ind w:firstLine="643"/>
        <w:rPr>
          <w:rFonts w:eastAsia="仿宋_GB2312" w:hint="default"/>
        </w:rPr>
      </w:pPr>
      <w:r w:rsidRPr="00E53BDD">
        <w:rPr>
          <w:rFonts w:eastAsia="仿宋_GB2312" w:hint="default"/>
          <w:b/>
          <w:bCs/>
        </w:rPr>
        <w:t>坚持</w:t>
      </w:r>
      <w:r w:rsidRPr="00E53BDD">
        <w:rPr>
          <w:rFonts w:eastAsia="仿宋_GB2312"/>
          <w:b/>
          <w:bCs/>
        </w:rPr>
        <w:t>改革创新</w:t>
      </w:r>
      <w:r w:rsidRPr="00E53BDD">
        <w:rPr>
          <w:rFonts w:eastAsia="仿宋_GB2312" w:hint="default"/>
          <w:b/>
          <w:bCs/>
        </w:rPr>
        <w:t>。</w:t>
      </w:r>
      <w:r w:rsidRPr="00E53BDD">
        <w:rPr>
          <w:rFonts w:eastAsia="仿宋_GB2312"/>
        </w:rPr>
        <w:t>坚持以改革创新为根本动力，以国家知识产权战略为关键导向，深化知识产权创新与治理机制改革，不断探索和完善符合太仓特色知识产权发展路径，贯彻新发展理念、服务构建新发展格局，推动知识产权事业向好发展。</w:t>
      </w:r>
    </w:p>
    <w:p w:rsidR="00833E93" w:rsidRPr="00E53BDD" w:rsidRDefault="00E53BDD">
      <w:pPr>
        <w:pStyle w:val="ad"/>
        <w:ind w:firstLine="643"/>
        <w:rPr>
          <w:rFonts w:eastAsia="仿宋_GB2312" w:hint="default"/>
        </w:rPr>
      </w:pPr>
      <w:r w:rsidRPr="00E53BDD">
        <w:rPr>
          <w:rFonts w:eastAsia="仿宋_GB2312" w:hint="default"/>
          <w:b/>
          <w:bCs/>
        </w:rPr>
        <w:t>坚持系统协同。</w:t>
      </w:r>
      <w:r w:rsidRPr="00E53BDD">
        <w:rPr>
          <w:rFonts w:eastAsia="仿宋_GB2312" w:hint="default"/>
        </w:rPr>
        <w:t>加强全市知识产权工作统筹谋划、</w:t>
      </w:r>
      <w:r w:rsidRPr="00E53BDD">
        <w:rPr>
          <w:rFonts w:eastAsia="仿宋_GB2312"/>
        </w:rPr>
        <w:t>完善部门协作联动机制</w:t>
      </w:r>
      <w:r w:rsidRPr="00E53BDD">
        <w:rPr>
          <w:rFonts w:eastAsia="仿宋_GB2312" w:hint="default"/>
        </w:rPr>
        <w:t>，强化知识产权资源配置，加强</w:t>
      </w:r>
      <w:r w:rsidRPr="00E53BDD">
        <w:rPr>
          <w:rFonts w:eastAsia="仿宋_GB2312"/>
        </w:rPr>
        <w:t>跨</w:t>
      </w:r>
      <w:r w:rsidRPr="00E53BDD">
        <w:rPr>
          <w:rFonts w:eastAsia="仿宋_GB2312" w:hint="default"/>
        </w:rPr>
        <w:t>区域</w:t>
      </w:r>
      <w:r w:rsidRPr="00E53BDD">
        <w:rPr>
          <w:rFonts w:eastAsia="仿宋_GB2312"/>
        </w:rPr>
        <w:t>知识产权</w:t>
      </w:r>
      <w:r w:rsidRPr="00E53BDD">
        <w:rPr>
          <w:rFonts w:eastAsia="仿宋_GB2312" w:hint="default"/>
        </w:rPr>
        <w:t>合作，</w:t>
      </w:r>
      <w:r w:rsidRPr="00E53BDD">
        <w:rPr>
          <w:rFonts w:eastAsia="仿宋_GB2312"/>
        </w:rPr>
        <w:t>推进公共服务与社会服务共同支撑创新驱动发展，</w:t>
      </w:r>
      <w:r w:rsidRPr="00E53BDD">
        <w:rPr>
          <w:rFonts w:eastAsia="仿宋_GB2312" w:hint="default"/>
        </w:rPr>
        <w:t>促进知识产权</w:t>
      </w:r>
      <w:r w:rsidRPr="00E53BDD">
        <w:rPr>
          <w:rFonts w:eastAsia="仿宋_GB2312"/>
        </w:rPr>
        <w:t>高价值创造、</w:t>
      </w:r>
      <w:r w:rsidRPr="00E53BDD">
        <w:rPr>
          <w:rFonts w:eastAsia="仿宋_GB2312" w:hint="default"/>
        </w:rPr>
        <w:t>高效益运用、高效能管理、</w:t>
      </w:r>
      <w:r w:rsidRPr="00E53BDD">
        <w:rPr>
          <w:rFonts w:eastAsia="仿宋_GB2312"/>
        </w:rPr>
        <w:t>高标准保护、</w:t>
      </w:r>
      <w:r w:rsidRPr="00E53BDD">
        <w:rPr>
          <w:rFonts w:eastAsia="仿宋_GB2312" w:hint="default"/>
        </w:rPr>
        <w:t>高水平服务，全方位护航</w:t>
      </w:r>
      <w:r w:rsidRPr="00E53BDD">
        <w:rPr>
          <w:rFonts w:eastAsia="仿宋_GB2312"/>
        </w:rPr>
        <w:t>社会经济</w:t>
      </w:r>
      <w:r w:rsidRPr="00E53BDD">
        <w:rPr>
          <w:rFonts w:eastAsia="仿宋_GB2312" w:hint="default"/>
        </w:rPr>
        <w:t>高质量发展。</w:t>
      </w:r>
    </w:p>
    <w:p w:rsidR="00833E93" w:rsidRPr="00E53BDD" w:rsidRDefault="00E53BDD">
      <w:pPr>
        <w:pStyle w:val="ad"/>
        <w:ind w:firstLine="643"/>
        <w:rPr>
          <w:rFonts w:eastAsia="仿宋_GB2312" w:hint="default"/>
        </w:rPr>
      </w:pPr>
      <w:r w:rsidRPr="00E53BDD">
        <w:rPr>
          <w:rFonts w:eastAsia="仿宋_GB2312" w:hint="default"/>
          <w:b/>
          <w:bCs/>
        </w:rPr>
        <w:t>坚持</w:t>
      </w:r>
      <w:r w:rsidRPr="00E53BDD">
        <w:rPr>
          <w:rFonts w:eastAsia="仿宋_GB2312"/>
          <w:b/>
          <w:bCs/>
        </w:rPr>
        <w:t>量质并重。</w:t>
      </w:r>
      <w:r w:rsidRPr="00E53BDD">
        <w:rPr>
          <w:rFonts w:eastAsia="仿宋_GB2312" w:hint="default"/>
        </w:rPr>
        <w:t>加快太仓优势主导产业、战略性新兴产业关键领域知识产权布局</w:t>
      </w:r>
      <w:r w:rsidRPr="00E53BDD">
        <w:rPr>
          <w:rFonts w:eastAsia="仿宋_GB2312"/>
        </w:rPr>
        <w:t>，坚持需求导向，突出企业主体地位，鼓励创新主体自主研发、生产，实现知识产权创造量质齐升，</w:t>
      </w:r>
      <w:r w:rsidRPr="00E53BDD">
        <w:rPr>
          <w:rFonts w:eastAsia="仿宋_GB2312" w:hint="default"/>
        </w:rPr>
        <w:t>推动技术、资本、人才、政策等创新要素支撑知识产权事业发展</w:t>
      </w:r>
      <w:r w:rsidRPr="00E53BDD">
        <w:rPr>
          <w:rFonts w:eastAsia="仿宋_GB2312"/>
        </w:rPr>
        <w:t>，塑造知识产权引领创新发展新优势。</w:t>
      </w:r>
    </w:p>
    <w:p w:rsidR="00833E93" w:rsidRPr="00E53BDD" w:rsidRDefault="00E53BDD">
      <w:pPr>
        <w:pStyle w:val="2"/>
        <w:ind w:firstLine="640"/>
        <w:rPr>
          <w:rFonts w:eastAsia="楷体_GB2312"/>
        </w:rPr>
      </w:pPr>
      <w:bookmarkStart w:id="148" w:name="_Toc5331"/>
      <w:bookmarkStart w:id="149" w:name="_Toc15801"/>
      <w:bookmarkStart w:id="150" w:name="_Toc13031"/>
      <w:bookmarkStart w:id="151" w:name="_Toc793"/>
      <w:bookmarkStart w:id="152" w:name="_Toc15641"/>
      <w:bookmarkStart w:id="153" w:name="_Toc22435"/>
      <w:bookmarkStart w:id="154" w:name="_Toc11988"/>
      <w:bookmarkStart w:id="155" w:name="_Toc27103"/>
      <w:bookmarkStart w:id="156" w:name="_Toc26293"/>
      <w:r w:rsidRPr="00E53BDD">
        <w:rPr>
          <w:rFonts w:eastAsia="楷体_GB2312" w:hint="eastAsia"/>
        </w:rPr>
        <w:t>发展目标</w:t>
      </w:r>
      <w:bookmarkEnd w:id="148"/>
      <w:bookmarkEnd w:id="149"/>
      <w:bookmarkEnd w:id="150"/>
      <w:bookmarkEnd w:id="151"/>
      <w:bookmarkEnd w:id="152"/>
      <w:bookmarkEnd w:id="153"/>
      <w:bookmarkEnd w:id="154"/>
      <w:bookmarkEnd w:id="155"/>
      <w:bookmarkEnd w:id="156"/>
    </w:p>
    <w:p w:rsidR="00833E93" w:rsidRPr="00E53BDD" w:rsidRDefault="00E53BDD">
      <w:pPr>
        <w:pStyle w:val="ad"/>
        <w:ind w:firstLine="640"/>
        <w:rPr>
          <w:rFonts w:eastAsia="仿宋_GB2312" w:hint="default"/>
        </w:rPr>
      </w:pPr>
      <w:r w:rsidRPr="00E53BDD">
        <w:rPr>
          <w:rFonts w:eastAsia="仿宋_GB2312"/>
        </w:rPr>
        <w:t>到</w:t>
      </w:r>
      <w:r w:rsidRPr="00E53BDD">
        <w:rPr>
          <w:rFonts w:eastAsia="仿宋_GB2312"/>
        </w:rPr>
        <w:t>2025</w:t>
      </w:r>
      <w:r w:rsidRPr="00E53BDD">
        <w:rPr>
          <w:rFonts w:eastAsia="仿宋_GB2312"/>
        </w:rPr>
        <w:t>年，知识产权综合实力居于全国县级城市领先行列，建成综合实力突出的江苏知识产权强省建设区域示范。促进</w:t>
      </w:r>
      <w:r w:rsidRPr="00E53BDD">
        <w:rPr>
          <w:rFonts w:eastAsia="仿宋_GB2312" w:hint="default"/>
        </w:rPr>
        <w:t>知识产权</w:t>
      </w:r>
      <w:r w:rsidRPr="00E53BDD">
        <w:rPr>
          <w:rFonts w:eastAsia="仿宋_GB2312"/>
        </w:rPr>
        <w:t>高价值创造、</w:t>
      </w:r>
      <w:r w:rsidRPr="00E53BDD">
        <w:rPr>
          <w:rFonts w:eastAsia="仿宋_GB2312" w:hint="default"/>
        </w:rPr>
        <w:t>高效益运用、高效能管理、</w:t>
      </w:r>
      <w:r w:rsidRPr="00E53BDD">
        <w:rPr>
          <w:rFonts w:eastAsia="仿宋_GB2312"/>
        </w:rPr>
        <w:t>高标准保护、</w:t>
      </w:r>
      <w:r w:rsidRPr="00E53BDD">
        <w:rPr>
          <w:rFonts w:eastAsia="仿宋_GB2312" w:hint="default"/>
        </w:rPr>
        <w:t>高水平服务，</w:t>
      </w:r>
      <w:r w:rsidRPr="00E53BDD">
        <w:rPr>
          <w:rFonts w:eastAsia="仿宋_GB2312"/>
        </w:rPr>
        <w:t>致力于实现知识产权治理体系更加完备、要素更加集聚、运用更加高效、保护更加严格、服务更</w:t>
      </w:r>
      <w:r w:rsidRPr="00E53BDD">
        <w:rPr>
          <w:rFonts w:eastAsia="仿宋_GB2312"/>
        </w:rPr>
        <w:lastRenderedPageBreak/>
        <w:t>加完善、人才更加齐备六大发展目标，全面发挥知识产权支撑创新驱动发展作用。</w:t>
      </w:r>
    </w:p>
    <w:p w:rsidR="00833E93" w:rsidRPr="00E53BDD" w:rsidRDefault="00E53BDD">
      <w:pPr>
        <w:spacing w:line="560" w:lineRule="exact"/>
        <w:ind w:firstLine="643"/>
        <w:rPr>
          <w:rFonts w:ascii="仿宋" w:eastAsia="仿宋_GB2312" w:hAnsi="仿宋" w:cs="仿宋"/>
          <w:sz w:val="32"/>
          <w:szCs w:val="32"/>
        </w:rPr>
      </w:pPr>
      <w:r w:rsidRPr="00E53BDD">
        <w:rPr>
          <w:rFonts w:ascii="仿宋" w:eastAsia="仿宋_GB2312" w:hAnsi="仿宋" w:cs="仿宋" w:hint="eastAsia"/>
          <w:b/>
          <w:bCs/>
          <w:sz w:val="32"/>
          <w:szCs w:val="32"/>
        </w:rPr>
        <w:t>——知识产权治理体系更加完备。</w:t>
      </w:r>
      <w:r w:rsidRPr="00E53BDD">
        <w:rPr>
          <w:rFonts w:ascii="仿宋" w:eastAsia="仿宋_GB2312" w:hAnsi="仿宋" w:cs="仿宋" w:hint="eastAsia"/>
          <w:sz w:val="32"/>
          <w:szCs w:val="32"/>
        </w:rPr>
        <w:t>系统谋划知识产权工作布局，完善知识产权联席会议制度，推进区镇知识产权执法体制改革，探索知识产权治理与数字化、网络化、智能化深度融合。</w:t>
      </w:r>
    </w:p>
    <w:p w:rsidR="00833E93" w:rsidRPr="00E53BDD" w:rsidRDefault="00E53BDD">
      <w:pPr>
        <w:spacing w:line="560" w:lineRule="exact"/>
        <w:ind w:firstLine="643"/>
        <w:rPr>
          <w:rFonts w:ascii="仿宋" w:eastAsia="仿宋_GB2312" w:hAnsi="仿宋" w:cs="Times New Roman"/>
          <w:sz w:val="32"/>
          <w:szCs w:val="32"/>
        </w:rPr>
      </w:pPr>
      <w:r w:rsidRPr="00E53BDD">
        <w:rPr>
          <w:rFonts w:ascii="仿宋" w:eastAsia="仿宋_GB2312" w:hAnsi="仿宋" w:cs="仿宋" w:hint="eastAsia"/>
          <w:b/>
          <w:bCs/>
          <w:sz w:val="32"/>
          <w:szCs w:val="32"/>
        </w:rPr>
        <w:t>——知识产权要素更加集聚。</w:t>
      </w:r>
      <w:r w:rsidRPr="00E53BDD">
        <w:rPr>
          <w:rFonts w:ascii="仿宋" w:eastAsia="仿宋_GB2312" w:hAnsi="仿宋" w:cs="仿宋" w:hint="eastAsia"/>
          <w:sz w:val="32"/>
          <w:szCs w:val="32"/>
        </w:rPr>
        <w:t>至</w:t>
      </w:r>
      <w:r w:rsidRPr="00E53BDD">
        <w:rPr>
          <w:rFonts w:ascii="仿宋" w:eastAsia="仿宋_GB2312" w:hAnsi="仿宋" w:cs="仿宋" w:hint="eastAsia"/>
          <w:sz w:val="32"/>
          <w:szCs w:val="32"/>
        </w:rPr>
        <w:t>2025</w:t>
      </w:r>
      <w:r w:rsidRPr="00E53BDD">
        <w:rPr>
          <w:rFonts w:ascii="仿宋" w:eastAsia="仿宋_GB2312" w:hAnsi="仿宋" w:cs="仿宋" w:hint="eastAsia"/>
          <w:sz w:val="32"/>
          <w:szCs w:val="32"/>
        </w:rPr>
        <w:t>年底，</w:t>
      </w:r>
      <w:r w:rsidRPr="00E53BDD">
        <w:rPr>
          <w:rFonts w:ascii="仿宋" w:eastAsia="仿宋_GB2312" w:hAnsi="仿宋" w:cs="Times New Roman" w:hint="eastAsia"/>
          <w:sz w:val="32"/>
          <w:szCs w:val="32"/>
        </w:rPr>
        <w:t>全市拥有高价值发明专利</w:t>
      </w:r>
      <w:r w:rsidRPr="00E53BDD">
        <w:rPr>
          <w:rFonts w:ascii="仿宋" w:eastAsia="仿宋_GB2312" w:hAnsi="仿宋" w:cs="Times New Roman" w:hint="eastAsia"/>
          <w:sz w:val="32"/>
          <w:szCs w:val="32"/>
        </w:rPr>
        <w:t>2600</w:t>
      </w:r>
      <w:r w:rsidRPr="00E53BDD">
        <w:rPr>
          <w:rFonts w:ascii="仿宋" w:eastAsia="仿宋_GB2312" w:hAnsi="仿宋" w:cs="Times New Roman" w:hint="eastAsia"/>
          <w:sz w:val="32"/>
          <w:szCs w:val="32"/>
        </w:rPr>
        <w:t>件以上，</w:t>
      </w:r>
      <w:r w:rsidRPr="00E53BDD">
        <w:rPr>
          <w:rFonts w:ascii="仿宋" w:eastAsia="仿宋_GB2312" w:hAnsi="仿宋" w:hint="eastAsia"/>
          <w:sz w:val="32"/>
          <w:szCs w:val="32"/>
        </w:rPr>
        <w:t>万人有效发明专利拥有量超</w:t>
      </w:r>
      <w:r w:rsidRPr="00E53BDD">
        <w:rPr>
          <w:rFonts w:ascii="仿宋" w:eastAsia="仿宋_GB2312" w:hAnsi="仿宋" w:hint="eastAsia"/>
          <w:sz w:val="32"/>
          <w:szCs w:val="32"/>
        </w:rPr>
        <w:t>80</w:t>
      </w:r>
      <w:r w:rsidRPr="00E53BDD">
        <w:rPr>
          <w:rFonts w:ascii="仿宋" w:eastAsia="仿宋_GB2312" w:hAnsi="仿宋" w:hint="eastAsia"/>
          <w:sz w:val="32"/>
          <w:szCs w:val="32"/>
        </w:rPr>
        <w:t>件</w:t>
      </w:r>
      <w:r w:rsidRPr="00E53BDD">
        <w:rPr>
          <w:rFonts w:ascii="仿宋" w:eastAsia="仿宋_GB2312" w:hAnsi="仿宋" w:cs="Times New Roman" w:hint="eastAsia"/>
          <w:sz w:val="32"/>
          <w:szCs w:val="32"/>
        </w:rPr>
        <w:t>，万人高价值发明专利达</w:t>
      </w:r>
      <w:r w:rsidRPr="00E53BDD">
        <w:rPr>
          <w:rFonts w:ascii="仿宋" w:eastAsia="仿宋_GB2312" w:hAnsi="仿宋" w:cs="Times New Roman" w:hint="eastAsia"/>
          <w:sz w:val="32"/>
          <w:szCs w:val="32"/>
        </w:rPr>
        <w:t>40</w:t>
      </w:r>
      <w:r w:rsidRPr="00E53BDD">
        <w:rPr>
          <w:rFonts w:ascii="仿宋" w:eastAsia="仿宋_GB2312" w:hAnsi="仿宋" w:cs="Times New Roman" w:hint="eastAsia"/>
          <w:sz w:val="32"/>
          <w:szCs w:val="32"/>
        </w:rPr>
        <w:t>件，新增海外发明授权量</w:t>
      </w:r>
      <w:r w:rsidRPr="00E53BDD">
        <w:rPr>
          <w:rFonts w:ascii="仿宋" w:eastAsia="仿宋_GB2312" w:hAnsi="仿宋" w:cs="Times New Roman" w:hint="eastAsia"/>
          <w:sz w:val="32"/>
          <w:szCs w:val="32"/>
        </w:rPr>
        <w:t>200</w:t>
      </w:r>
      <w:r w:rsidRPr="00E53BDD">
        <w:rPr>
          <w:rFonts w:ascii="仿宋" w:eastAsia="仿宋_GB2312" w:hAnsi="仿宋" w:cs="Times New Roman" w:hint="eastAsia"/>
          <w:sz w:val="32"/>
          <w:szCs w:val="32"/>
        </w:rPr>
        <w:t>件，企业通过专利快速预审申请专利达</w:t>
      </w:r>
      <w:r w:rsidRPr="00E53BDD">
        <w:rPr>
          <w:rFonts w:ascii="仿宋" w:eastAsia="仿宋_GB2312" w:hAnsi="仿宋" w:cs="Times New Roman" w:hint="eastAsia"/>
          <w:sz w:val="32"/>
          <w:szCs w:val="32"/>
        </w:rPr>
        <w:t>200</w:t>
      </w:r>
      <w:r w:rsidRPr="00E53BDD">
        <w:rPr>
          <w:rFonts w:ascii="仿宋" w:eastAsia="仿宋_GB2312" w:hAnsi="仿宋" w:cs="Times New Roman" w:hint="eastAsia"/>
          <w:sz w:val="32"/>
          <w:szCs w:val="32"/>
        </w:rPr>
        <w:t>件。</w:t>
      </w:r>
      <w:r w:rsidRPr="00E53BDD">
        <w:rPr>
          <w:rFonts w:ascii="仿宋" w:eastAsia="仿宋_GB2312" w:hAnsi="仿宋" w:hint="eastAsia"/>
          <w:sz w:val="32"/>
          <w:szCs w:val="32"/>
        </w:rPr>
        <w:t>加强商标品牌建设，“十四五”期间，</w:t>
      </w:r>
      <w:r w:rsidRPr="00E53BDD">
        <w:rPr>
          <w:rFonts w:ascii="仿宋" w:eastAsia="仿宋_GB2312" w:hAnsi="仿宋" w:cs="Times New Roman" w:hint="eastAsia"/>
          <w:sz w:val="32"/>
          <w:szCs w:val="32"/>
        </w:rPr>
        <w:t>累计马德里商标注册量达</w:t>
      </w:r>
      <w:r w:rsidRPr="00E53BDD">
        <w:rPr>
          <w:rFonts w:ascii="仿宋" w:eastAsia="仿宋_GB2312" w:hAnsi="仿宋" w:cs="Times New Roman" w:hint="eastAsia"/>
          <w:sz w:val="32"/>
          <w:szCs w:val="32"/>
        </w:rPr>
        <w:t>150</w:t>
      </w:r>
      <w:r w:rsidRPr="00E53BDD">
        <w:rPr>
          <w:rFonts w:ascii="仿宋" w:eastAsia="仿宋_GB2312" w:hAnsi="仿宋" w:cs="Times New Roman" w:hint="eastAsia"/>
          <w:sz w:val="32"/>
          <w:szCs w:val="32"/>
        </w:rPr>
        <w:t>件。新增一般作品著作权登记量达</w:t>
      </w:r>
      <w:r w:rsidRPr="00E53BDD">
        <w:rPr>
          <w:rFonts w:ascii="仿宋" w:eastAsia="仿宋_GB2312" w:hAnsi="仿宋" w:cs="Times New Roman" w:hint="eastAsia"/>
          <w:sz w:val="32"/>
          <w:szCs w:val="32"/>
        </w:rPr>
        <w:t>5000</w:t>
      </w:r>
      <w:r w:rsidRPr="00E53BDD">
        <w:rPr>
          <w:rFonts w:ascii="仿宋" w:eastAsia="仿宋_GB2312" w:hAnsi="仿宋" w:cs="Times New Roman" w:hint="eastAsia"/>
          <w:sz w:val="32"/>
          <w:szCs w:val="32"/>
        </w:rPr>
        <w:t>件。</w:t>
      </w:r>
    </w:p>
    <w:p w:rsidR="00833E93" w:rsidRPr="00E53BDD" w:rsidRDefault="00E53BDD">
      <w:pPr>
        <w:spacing w:line="560" w:lineRule="exact"/>
        <w:ind w:firstLine="643"/>
        <w:rPr>
          <w:rFonts w:ascii="仿宋" w:eastAsia="仿宋_GB2312" w:hAnsi="仿宋" w:cs="Times New Roman"/>
          <w:sz w:val="32"/>
          <w:szCs w:val="32"/>
        </w:rPr>
      </w:pPr>
      <w:r w:rsidRPr="00E53BDD">
        <w:rPr>
          <w:rFonts w:ascii="仿宋" w:eastAsia="仿宋_GB2312" w:hAnsi="仿宋" w:cs="仿宋" w:hint="eastAsia"/>
          <w:b/>
          <w:bCs/>
          <w:sz w:val="32"/>
          <w:szCs w:val="32"/>
        </w:rPr>
        <w:t>——知识产权运用更加高效。</w:t>
      </w:r>
      <w:r w:rsidRPr="00E53BDD">
        <w:rPr>
          <w:rFonts w:ascii="仿宋" w:eastAsia="仿宋_GB2312" w:hAnsi="仿宋" w:cs="仿宋" w:hint="eastAsia"/>
          <w:sz w:val="32"/>
          <w:szCs w:val="32"/>
        </w:rPr>
        <w:t>至</w:t>
      </w:r>
      <w:r w:rsidRPr="00E53BDD">
        <w:rPr>
          <w:rFonts w:ascii="仿宋" w:eastAsia="仿宋_GB2312" w:hAnsi="仿宋" w:cs="仿宋" w:hint="eastAsia"/>
          <w:sz w:val="32"/>
          <w:szCs w:val="32"/>
        </w:rPr>
        <w:t>2025</w:t>
      </w:r>
      <w:r w:rsidRPr="00E53BDD">
        <w:rPr>
          <w:rFonts w:ascii="仿宋" w:eastAsia="仿宋_GB2312" w:hAnsi="仿宋" w:cs="仿宋" w:hint="eastAsia"/>
          <w:sz w:val="32"/>
          <w:szCs w:val="32"/>
        </w:rPr>
        <w:t>年底，培育</w:t>
      </w:r>
      <w:r w:rsidRPr="00E53BDD">
        <w:rPr>
          <w:rFonts w:ascii="仿宋" w:eastAsia="仿宋_GB2312" w:hAnsi="仿宋" w:cs="Times New Roman" w:hint="eastAsia"/>
          <w:sz w:val="32"/>
          <w:szCs w:val="32"/>
        </w:rPr>
        <w:t>知识产权密集型企业</w:t>
      </w:r>
      <w:r w:rsidRPr="00E53BDD">
        <w:rPr>
          <w:rFonts w:ascii="仿宋" w:eastAsia="仿宋_GB2312" w:hAnsi="仿宋" w:cs="Times New Roman" w:hint="eastAsia"/>
          <w:sz w:val="32"/>
          <w:szCs w:val="32"/>
        </w:rPr>
        <w:t>350</w:t>
      </w:r>
      <w:r w:rsidRPr="00E53BDD">
        <w:rPr>
          <w:rFonts w:ascii="仿宋" w:eastAsia="仿宋_GB2312" w:hAnsi="仿宋" w:cs="Times New Roman" w:hint="eastAsia"/>
          <w:sz w:val="32"/>
          <w:szCs w:val="32"/>
        </w:rPr>
        <w:t>家</w:t>
      </w:r>
      <w:r w:rsidRPr="00E53BDD">
        <w:rPr>
          <w:rFonts w:ascii="仿宋" w:eastAsia="仿宋_GB2312" w:hAnsi="仿宋" w:cs="仿宋" w:hint="eastAsia"/>
          <w:sz w:val="32"/>
          <w:szCs w:val="32"/>
        </w:rPr>
        <w:t>以上</w:t>
      </w:r>
      <w:r w:rsidRPr="00E53BDD">
        <w:rPr>
          <w:rFonts w:ascii="仿宋" w:eastAsia="仿宋_GB2312" w:hAnsi="仿宋" w:hint="eastAsia"/>
          <w:sz w:val="32"/>
          <w:szCs w:val="32"/>
        </w:rPr>
        <w:t>，累计知识产权示范优势企业达</w:t>
      </w:r>
      <w:r w:rsidRPr="00E53BDD">
        <w:rPr>
          <w:rFonts w:ascii="仿宋" w:eastAsia="仿宋_GB2312" w:hAnsi="仿宋" w:hint="eastAsia"/>
          <w:sz w:val="32"/>
          <w:szCs w:val="32"/>
        </w:rPr>
        <w:t>25</w:t>
      </w:r>
      <w:r w:rsidRPr="00E53BDD">
        <w:rPr>
          <w:rFonts w:ascii="仿宋" w:eastAsia="仿宋_GB2312" w:hAnsi="仿宋" w:hint="eastAsia"/>
          <w:sz w:val="32"/>
          <w:szCs w:val="32"/>
        </w:rPr>
        <w:t>家，新增知识产权贯标企事业单位</w:t>
      </w:r>
      <w:r w:rsidRPr="00E53BDD">
        <w:rPr>
          <w:rFonts w:ascii="仿宋" w:eastAsia="仿宋_GB2312" w:hAnsi="仿宋" w:hint="eastAsia"/>
          <w:sz w:val="32"/>
          <w:szCs w:val="32"/>
        </w:rPr>
        <w:t>100</w:t>
      </w:r>
      <w:r w:rsidRPr="00E53BDD">
        <w:rPr>
          <w:rFonts w:ascii="仿宋" w:eastAsia="仿宋_GB2312" w:hAnsi="仿宋" w:hint="eastAsia"/>
          <w:sz w:val="32"/>
          <w:szCs w:val="32"/>
        </w:rPr>
        <w:t>家，累计苏州市知识产权强企培育工程入库企业</w:t>
      </w:r>
      <w:r w:rsidRPr="00E53BDD">
        <w:rPr>
          <w:rFonts w:ascii="仿宋" w:eastAsia="仿宋_GB2312" w:hAnsi="仿宋" w:hint="eastAsia"/>
          <w:sz w:val="32"/>
          <w:szCs w:val="32"/>
        </w:rPr>
        <w:t>100</w:t>
      </w:r>
      <w:r w:rsidRPr="00E53BDD">
        <w:rPr>
          <w:rFonts w:ascii="仿宋" w:eastAsia="仿宋_GB2312" w:hAnsi="仿宋" w:hint="eastAsia"/>
          <w:sz w:val="32"/>
          <w:szCs w:val="32"/>
        </w:rPr>
        <w:t>家，全市重点产业知识产权实力显著提升。加快地理标志培育，实现新突破。促进知识产权转化运用，“十四五”期间，</w:t>
      </w:r>
      <w:r w:rsidRPr="00E53BDD">
        <w:rPr>
          <w:rFonts w:ascii="仿宋" w:eastAsia="仿宋_GB2312" w:hAnsi="仿宋" w:cs="Times New Roman" w:hint="eastAsia"/>
          <w:sz w:val="32"/>
          <w:szCs w:val="32"/>
        </w:rPr>
        <w:t>知识产权服务业营业收入超</w:t>
      </w:r>
      <w:r w:rsidRPr="00E53BDD">
        <w:rPr>
          <w:rFonts w:ascii="仿宋" w:eastAsia="仿宋_GB2312" w:hAnsi="仿宋" w:cs="Times New Roman" w:hint="eastAsia"/>
          <w:sz w:val="32"/>
          <w:szCs w:val="32"/>
        </w:rPr>
        <w:t>2</w:t>
      </w:r>
      <w:r w:rsidRPr="00E53BDD">
        <w:rPr>
          <w:rFonts w:ascii="仿宋" w:eastAsia="仿宋_GB2312" w:hAnsi="仿宋" w:cs="Times New Roman" w:hint="eastAsia"/>
          <w:sz w:val="32"/>
          <w:szCs w:val="32"/>
        </w:rPr>
        <w:t>亿元，知识产权质押融资登记金额达</w:t>
      </w:r>
      <w:r w:rsidRPr="00E53BDD">
        <w:rPr>
          <w:rFonts w:ascii="仿宋" w:eastAsia="仿宋_GB2312" w:hAnsi="仿宋" w:cs="Times New Roman" w:hint="eastAsia"/>
          <w:sz w:val="32"/>
          <w:szCs w:val="32"/>
        </w:rPr>
        <w:t>15</w:t>
      </w:r>
      <w:r w:rsidRPr="00E53BDD">
        <w:rPr>
          <w:rFonts w:ascii="仿宋" w:eastAsia="仿宋_GB2312" w:hAnsi="仿宋" w:cs="Times New Roman" w:hint="eastAsia"/>
          <w:sz w:val="32"/>
          <w:szCs w:val="32"/>
        </w:rPr>
        <w:t>亿元。</w:t>
      </w:r>
    </w:p>
    <w:p w:rsidR="00833E93" w:rsidRDefault="00E53BDD">
      <w:pPr>
        <w:spacing w:line="560" w:lineRule="exact"/>
        <w:ind w:firstLine="643"/>
      </w:pPr>
      <w:r w:rsidRPr="00E53BDD">
        <w:rPr>
          <w:rFonts w:ascii="仿宋" w:eastAsia="仿宋_GB2312" w:hAnsi="仿宋" w:cs="仿宋" w:hint="eastAsia"/>
          <w:b/>
          <w:bCs/>
          <w:sz w:val="32"/>
          <w:szCs w:val="32"/>
        </w:rPr>
        <w:t>——知识产权保护更加严格。</w:t>
      </w:r>
      <w:r w:rsidRPr="00E53BDD">
        <w:rPr>
          <w:rFonts w:ascii="仿宋" w:eastAsia="仿宋_GB2312" w:hAnsi="仿宋" w:hint="eastAsia"/>
          <w:sz w:val="32"/>
          <w:szCs w:val="32"/>
        </w:rPr>
        <w:t>完善知识产权保护体系，知识产权行政执法、司法案件办理效率和质量明显提升，知识产权民事一审案件服判息诉率达到</w:t>
      </w:r>
      <w:r w:rsidRPr="00E53BDD">
        <w:rPr>
          <w:rFonts w:ascii="仿宋" w:eastAsia="仿宋_GB2312" w:hAnsi="仿宋" w:hint="eastAsia"/>
          <w:sz w:val="32"/>
          <w:szCs w:val="32"/>
        </w:rPr>
        <w:t>93%</w:t>
      </w:r>
      <w:r w:rsidRPr="00E53BDD">
        <w:rPr>
          <w:rFonts w:ascii="仿宋" w:eastAsia="仿宋_GB2312" w:hAnsi="仿宋" w:hint="eastAsia"/>
          <w:sz w:val="32"/>
          <w:szCs w:val="32"/>
        </w:rPr>
        <w:t>，知识产权保护社会满意度达</w:t>
      </w:r>
      <w:r w:rsidRPr="00E53BDD">
        <w:rPr>
          <w:rFonts w:ascii="仿宋" w:eastAsia="仿宋_GB2312" w:hAnsi="仿宋" w:hint="eastAsia"/>
          <w:sz w:val="32"/>
          <w:szCs w:val="32"/>
        </w:rPr>
        <w:t>85</w:t>
      </w:r>
      <w:r w:rsidRPr="00E53BDD">
        <w:rPr>
          <w:rFonts w:ascii="仿宋" w:eastAsia="仿宋_GB2312" w:hAnsi="仿宋" w:hint="eastAsia"/>
          <w:sz w:val="32"/>
          <w:szCs w:val="32"/>
        </w:rPr>
        <w:t>分以上。加强商标品牌保护，促进太仓市商标品牌发展。增加知识产权保护（维权）机构</w:t>
      </w:r>
      <w:r w:rsidRPr="00E53BDD">
        <w:rPr>
          <w:rFonts w:ascii="仿宋" w:eastAsia="仿宋_GB2312" w:hAnsi="仿宋" w:hint="eastAsia"/>
          <w:sz w:val="32"/>
          <w:szCs w:val="32"/>
        </w:rPr>
        <w:t>1-2</w:t>
      </w:r>
      <w:r w:rsidRPr="00E53BDD">
        <w:rPr>
          <w:rFonts w:ascii="仿宋" w:eastAsia="仿宋_GB2312" w:hAnsi="仿宋" w:hint="eastAsia"/>
          <w:sz w:val="32"/>
          <w:szCs w:val="32"/>
        </w:rPr>
        <w:t>个，提升</w:t>
      </w:r>
      <w:r w:rsidRPr="00E53BDD">
        <w:rPr>
          <w:rFonts w:ascii="仿宋" w:eastAsia="仿宋_GB2312" w:hAnsi="仿宋" w:hint="eastAsia"/>
          <w:sz w:val="32"/>
          <w:szCs w:val="32"/>
        </w:rPr>
        <w:lastRenderedPageBreak/>
        <w:t>企业知识产权海外维权能力。</w:t>
      </w:r>
    </w:p>
    <w:p w:rsidR="00833E93" w:rsidRPr="00E53BDD" w:rsidRDefault="00E53BDD">
      <w:pPr>
        <w:spacing w:line="560" w:lineRule="exact"/>
        <w:ind w:firstLine="643"/>
        <w:rPr>
          <w:rFonts w:ascii="仿宋" w:eastAsia="仿宋_GB2312" w:hAnsi="仿宋"/>
          <w:sz w:val="32"/>
          <w:szCs w:val="32"/>
        </w:rPr>
      </w:pPr>
      <w:r>
        <w:rPr>
          <w:rFonts w:ascii="黑体" w:eastAsia="黑体" w:hAnsi="黑体" w:cs="楷体" w:hint="eastAsia"/>
          <w:b/>
          <w:sz w:val="32"/>
          <w:szCs w:val="32"/>
        </w:rPr>
        <w:t>——</w:t>
      </w:r>
      <w:r w:rsidRPr="00E53BDD">
        <w:rPr>
          <w:rFonts w:ascii="仿宋" w:eastAsia="仿宋_GB2312" w:hAnsi="仿宋" w:hint="eastAsia"/>
          <w:b/>
          <w:sz w:val="32"/>
          <w:szCs w:val="32"/>
        </w:rPr>
        <w:t>知识产权服务更加完善。</w:t>
      </w:r>
      <w:r w:rsidRPr="00E53BDD">
        <w:rPr>
          <w:rFonts w:ascii="仿宋" w:eastAsia="仿宋_GB2312" w:hAnsi="仿宋" w:hint="eastAsia"/>
          <w:sz w:val="32"/>
          <w:szCs w:val="32"/>
        </w:rPr>
        <w:t>培育一批专业化知识产权从业人员，引进和培育全链条知识产权服务机构，改善知识产权服务大环境。知识产权服务机构从业人员超</w:t>
      </w:r>
      <w:r w:rsidRPr="00E53BDD">
        <w:rPr>
          <w:rFonts w:ascii="仿宋" w:eastAsia="仿宋_GB2312" w:hAnsi="仿宋" w:hint="eastAsia"/>
          <w:sz w:val="32"/>
          <w:szCs w:val="32"/>
        </w:rPr>
        <w:t>1000</w:t>
      </w:r>
      <w:r w:rsidRPr="00E53BDD">
        <w:rPr>
          <w:rFonts w:ascii="仿宋" w:eastAsia="仿宋_GB2312" w:hAnsi="仿宋" w:hint="eastAsia"/>
          <w:sz w:val="32"/>
          <w:szCs w:val="32"/>
        </w:rPr>
        <w:t>人，建设知识产权公共服务平台</w:t>
      </w:r>
      <w:r w:rsidRPr="00E53BDD">
        <w:rPr>
          <w:rFonts w:ascii="仿宋" w:eastAsia="仿宋_GB2312" w:hAnsi="仿宋" w:hint="eastAsia"/>
          <w:sz w:val="32"/>
          <w:szCs w:val="32"/>
        </w:rPr>
        <w:t>3</w:t>
      </w:r>
      <w:r w:rsidRPr="00E53BDD">
        <w:rPr>
          <w:rFonts w:ascii="仿宋" w:eastAsia="仿宋_GB2312" w:hAnsi="仿宋" w:hint="eastAsia"/>
          <w:sz w:val="32"/>
          <w:szCs w:val="32"/>
        </w:rPr>
        <w:t>个。</w:t>
      </w:r>
    </w:p>
    <w:p w:rsidR="00833E93" w:rsidRPr="00E53BDD" w:rsidRDefault="00E53BDD">
      <w:pPr>
        <w:pStyle w:val="ad"/>
        <w:ind w:firstLine="643"/>
        <w:rPr>
          <w:rFonts w:ascii="仿宋" w:eastAsia="仿宋_GB2312" w:hAnsi="仿宋" w:hint="default"/>
        </w:rPr>
      </w:pPr>
      <w:r>
        <w:rPr>
          <w:rFonts w:ascii="黑体" w:eastAsia="黑体" w:hAnsi="黑体" w:cs="楷体"/>
          <w:b/>
        </w:rPr>
        <w:t>——</w:t>
      </w:r>
      <w:r w:rsidRPr="00E53BDD">
        <w:rPr>
          <w:rFonts w:ascii="仿宋" w:eastAsia="仿宋_GB2312" w:hAnsi="仿宋"/>
          <w:b/>
        </w:rPr>
        <w:t>知识产权人才更加齐备。</w:t>
      </w:r>
      <w:r w:rsidRPr="00E53BDD">
        <w:rPr>
          <w:rFonts w:ascii="仿宋" w:eastAsia="仿宋_GB2312" w:hAnsi="仿宋"/>
        </w:rPr>
        <w:t>激发知识产权人才创新活力，加强知识产权人才体系与能力建设。新增知识产权高层次人才</w:t>
      </w:r>
      <w:r w:rsidRPr="00E53BDD">
        <w:rPr>
          <w:rFonts w:ascii="仿宋" w:eastAsia="仿宋_GB2312" w:hAnsi="仿宋"/>
        </w:rPr>
        <w:t>15</w:t>
      </w:r>
      <w:r w:rsidRPr="00E53BDD">
        <w:rPr>
          <w:rFonts w:ascii="仿宋" w:eastAsia="仿宋_GB2312" w:hAnsi="仿宋"/>
        </w:rPr>
        <w:t>人，新增</w:t>
      </w:r>
      <w:r>
        <w:rPr>
          <w:rFonts w:eastAsia="仿宋_GB2312"/>
          <w:kern w:val="0"/>
          <w:lang w:val="zh-CN"/>
        </w:rPr>
        <w:t>太仓科技领军人才</w:t>
      </w:r>
      <w:r>
        <w:rPr>
          <w:rFonts w:eastAsia="仿宋_GB2312"/>
          <w:kern w:val="0"/>
        </w:rPr>
        <w:t>200</w:t>
      </w:r>
      <w:r>
        <w:rPr>
          <w:rFonts w:eastAsia="仿宋_GB2312"/>
          <w:kern w:val="0"/>
        </w:rPr>
        <w:t>人，</w:t>
      </w:r>
      <w:r w:rsidRPr="00E53BDD">
        <w:rPr>
          <w:rFonts w:ascii="仿宋" w:eastAsia="仿宋_GB2312" w:hAnsi="仿宋"/>
        </w:rPr>
        <w:t>新增获得国家专利代理师资格人数</w:t>
      </w:r>
      <w:r w:rsidRPr="00E53BDD">
        <w:rPr>
          <w:rFonts w:ascii="仿宋" w:eastAsia="仿宋_GB2312" w:hAnsi="仿宋"/>
        </w:rPr>
        <w:t>20</w:t>
      </w:r>
      <w:r w:rsidRPr="00E53BDD">
        <w:rPr>
          <w:rFonts w:ascii="仿宋" w:eastAsia="仿宋_GB2312" w:hAnsi="仿宋"/>
        </w:rPr>
        <w:t>人，培训知识产权管理和执法人员、企业高管、知识产权工程师等各类人员</w:t>
      </w:r>
      <w:r w:rsidRPr="00E53BDD">
        <w:rPr>
          <w:rFonts w:ascii="仿宋" w:eastAsia="仿宋_GB2312" w:hAnsi="仿宋"/>
        </w:rPr>
        <w:t>1000</w:t>
      </w:r>
      <w:r w:rsidRPr="00E53BDD">
        <w:rPr>
          <w:rFonts w:ascii="仿宋" w:eastAsia="仿宋_GB2312" w:hAnsi="仿宋"/>
        </w:rPr>
        <w:t>人次。</w:t>
      </w:r>
    </w:p>
    <w:p w:rsidR="00833E93" w:rsidRDefault="00E53BDD">
      <w:pPr>
        <w:pStyle w:val="ad"/>
        <w:ind w:firstLineChars="0" w:firstLine="0"/>
        <w:jc w:val="center"/>
        <w:rPr>
          <w:rFonts w:ascii="黑体" w:eastAsia="黑体" w:hAnsi="黑体" w:cs="黑体" w:hint="default"/>
          <w:sz w:val="28"/>
          <w:szCs w:val="28"/>
        </w:rPr>
      </w:pPr>
      <w:r>
        <w:rPr>
          <w:rFonts w:ascii="黑体" w:eastAsia="黑体" w:hAnsi="黑体" w:cs="黑体"/>
          <w:sz w:val="28"/>
          <w:szCs w:val="28"/>
        </w:rPr>
        <w:t>表2 太仓市“十四五”知识产权发展规划主要指标</w:t>
      </w:r>
    </w:p>
    <w:tbl>
      <w:tblPr>
        <w:tblStyle w:val="aa"/>
        <w:tblW w:w="8519"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86"/>
        <w:gridCol w:w="2125"/>
        <w:gridCol w:w="4653"/>
        <w:gridCol w:w="1155"/>
      </w:tblGrid>
      <w:tr w:rsidR="00833E93">
        <w:trPr>
          <w:trHeight w:val="23"/>
          <w:tblHeader/>
          <w:jc w:val="center"/>
        </w:trPr>
        <w:tc>
          <w:tcPr>
            <w:tcW w:w="586" w:type="dxa"/>
            <w:tcBorders>
              <w:tl2br w:val="nil"/>
              <w:tr2bl w:val="nil"/>
            </w:tcBorders>
            <w:vAlign w:val="center"/>
          </w:tcPr>
          <w:p w:rsidR="00833E93" w:rsidRDefault="00E53BDD">
            <w:pPr>
              <w:ind w:firstLineChars="0" w:firstLine="0"/>
              <w:jc w:val="center"/>
              <w:rPr>
                <w:rFonts w:ascii="仿宋" w:eastAsia="仿宋" w:hAnsi="仿宋" w:cs="仿宋"/>
                <w:b/>
                <w:kern w:val="0"/>
                <w:sz w:val="18"/>
                <w:szCs w:val="18"/>
              </w:rPr>
            </w:pPr>
            <w:r w:rsidRPr="00E53BDD">
              <w:rPr>
                <w:rFonts w:ascii="仿宋" w:eastAsia="仿宋_GB2312" w:hAnsi="仿宋" w:cs="仿宋" w:hint="eastAsia"/>
                <w:b/>
                <w:kern w:val="0"/>
                <w:sz w:val="18"/>
                <w:szCs w:val="18"/>
              </w:rPr>
              <w:t>序号</w:t>
            </w:r>
          </w:p>
        </w:tc>
        <w:tc>
          <w:tcPr>
            <w:tcW w:w="2125" w:type="dxa"/>
            <w:tcBorders>
              <w:tl2br w:val="nil"/>
              <w:tr2bl w:val="nil"/>
            </w:tcBorders>
            <w:vAlign w:val="center"/>
          </w:tcPr>
          <w:p w:rsidR="00833E93" w:rsidRDefault="00E53BDD">
            <w:pPr>
              <w:ind w:firstLineChars="0" w:firstLine="0"/>
              <w:jc w:val="center"/>
              <w:rPr>
                <w:rFonts w:ascii="仿宋" w:eastAsia="仿宋" w:hAnsi="仿宋" w:cs="仿宋"/>
                <w:b/>
                <w:kern w:val="0"/>
                <w:sz w:val="18"/>
                <w:szCs w:val="18"/>
              </w:rPr>
            </w:pPr>
            <w:r w:rsidRPr="00E53BDD">
              <w:rPr>
                <w:rFonts w:ascii="仿宋" w:eastAsia="仿宋_GB2312" w:hAnsi="仿宋" w:cs="仿宋" w:hint="eastAsia"/>
                <w:b/>
                <w:kern w:val="0"/>
                <w:sz w:val="18"/>
                <w:szCs w:val="18"/>
              </w:rPr>
              <w:t>项目</w:t>
            </w:r>
          </w:p>
        </w:tc>
        <w:tc>
          <w:tcPr>
            <w:tcW w:w="4653" w:type="dxa"/>
            <w:tcBorders>
              <w:tl2br w:val="nil"/>
              <w:tr2bl w:val="nil"/>
            </w:tcBorders>
            <w:vAlign w:val="center"/>
          </w:tcPr>
          <w:p w:rsidR="00833E93" w:rsidRDefault="00E53BDD">
            <w:pPr>
              <w:ind w:firstLineChars="0" w:firstLine="0"/>
              <w:jc w:val="center"/>
              <w:rPr>
                <w:rFonts w:ascii="仿宋" w:eastAsia="仿宋" w:hAnsi="仿宋" w:cs="仿宋"/>
                <w:b/>
                <w:kern w:val="0"/>
                <w:sz w:val="18"/>
                <w:szCs w:val="18"/>
              </w:rPr>
            </w:pPr>
            <w:r w:rsidRPr="00E53BDD">
              <w:rPr>
                <w:rFonts w:ascii="仿宋" w:eastAsia="仿宋_GB2312" w:hAnsi="仿宋" w:cs="仿宋" w:hint="eastAsia"/>
                <w:b/>
                <w:kern w:val="0"/>
                <w:sz w:val="18"/>
                <w:szCs w:val="18"/>
              </w:rPr>
              <w:t>核心指标（单位）</w:t>
            </w:r>
          </w:p>
        </w:tc>
        <w:tc>
          <w:tcPr>
            <w:tcW w:w="1155" w:type="dxa"/>
            <w:tcBorders>
              <w:tl2br w:val="nil"/>
              <w:tr2bl w:val="nil"/>
            </w:tcBorders>
            <w:vAlign w:val="center"/>
          </w:tcPr>
          <w:p w:rsidR="00833E93" w:rsidRPr="00E53BDD" w:rsidRDefault="00E53BDD">
            <w:pPr>
              <w:ind w:firstLineChars="0" w:firstLine="0"/>
              <w:jc w:val="center"/>
              <w:rPr>
                <w:rFonts w:ascii="仿宋" w:eastAsia="仿宋_GB2312" w:hAnsi="仿宋" w:cs="仿宋"/>
                <w:b/>
                <w:kern w:val="0"/>
                <w:sz w:val="18"/>
                <w:szCs w:val="18"/>
              </w:rPr>
            </w:pPr>
            <w:r w:rsidRPr="00E53BDD">
              <w:rPr>
                <w:rFonts w:ascii="仿宋" w:eastAsia="仿宋_GB2312" w:hAnsi="仿宋" w:cs="仿宋" w:hint="eastAsia"/>
                <w:b/>
                <w:kern w:val="0"/>
                <w:sz w:val="18"/>
                <w:szCs w:val="18"/>
              </w:rPr>
              <w:t>目标值</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w:t>
            </w:r>
          </w:p>
        </w:tc>
        <w:tc>
          <w:tcPr>
            <w:tcW w:w="2125" w:type="dxa"/>
            <w:vMerge w:val="restart"/>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lang w:val="zh-TW"/>
              </w:rPr>
              <w:t>知识产权创造</w:t>
            </w: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rPr>
              <w:t>万人</w:t>
            </w:r>
            <w:r w:rsidRPr="00E53BDD">
              <w:rPr>
                <w:rFonts w:ascii="仿宋" w:eastAsia="仿宋_GB2312" w:hAnsi="仿宋" w:cs="仿宋" w:hint="eastAsia"/>
                <w:sz w:val="18"/>
                <w:szCs w:val="18"/>
                <w:lang w:val="zh-TW"/>
              </w:rPr>
              <w:t>高价值发明专利（件）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40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2</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rPr>
              <w:t>新增海外</w:t>
            </w:r>
            <w:r w:rsidRPr="00E53BDD">
              <w:rPr>
                <w:rFonts w:ascii="仿宋" w:eastAsia="仿宋_GB2312" w:hAnsi="仿宋" w:cs="仿宋" w:hint="eastAsia"/>
                <w:sz w:val="18"/>
                <w:szCs w:val="18"/>
                <w:lang w:val="zh-TW"/>
              </w:rPr>
              <w:t>发明授权量</w:t>
            </w:r>
            <w:r w:rsidRPr="00E53BDD">
              <w:rPr>
                <w:rFonts w:ascii="仿宋" w:eastAsia="仿宋_GB2312" w:hAnsi="仿宋" w:cs="仿宋" w:hint="eastAsia"/>
                <w:sz w:val="18"/>
                <w:szCs w:val="18"/>
                <w:lang w:val="zh-TW" w:eastAsia="zh-TW"/>
              </w:rPr>
              <w:t>（件）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200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3</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eastAsia="zh-TW"/>
              </w:rPr>
              <w:t>累计马德里商标注册量（件）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150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4</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新增一般作品著作权登记量（件）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5000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6</w:t>
            </w:r>
          </w:p>
        </w:tc>
        <w:tc>
          <w:tcPr>
            <w:tcW w:w="2125" w:type="dxa"/>
            <w:vMerge w:val="restart"/>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知识产权运用</w:t>
            </w: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知识产权示范优势企业数量</w:t>
            </w:r>
            <w:r w:rsidRPr="00E53BDD">
              <w:rPr>
                <w:rFonts w:ascii="仿宋" w:eastAsia="仿宋_GB2312" w:hAnsi="仿宋" w:cs="仿宋" w:hint="eastAsia"/>
                <w:sz w:val="18"/>
                <w:szCs w:val="18"/>
                <w:lang w:val="zh-TW"/>
              </w:rPr>
              <w:t>（家）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25</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7</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新增知识产权贯标单位数（家）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100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8</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累计知识产权强企培育工程入库企业（家）</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100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kern w:val="0"/>
                <w:sz w:val="18"/>
                <w:szCs w:val="18"/>
              </w:rPr>
              <w:t>9</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知识产权</w:t>
            </w:r>
            <w:r w:rsidRPr="00E53BDD">
              <w:rPr>
                <w:rFonts w:ascii="仿宋" w:eastAsia="仿宋_GB2312" w:hAnsi="仿宋" w:cs="仿宋" w:hint="eastAsia"/>
                <w:sz w:val="18"/>
                <w:szCs w:val="18"/>
                <w:lang w:val="zh-TW" w:eastAsia="zh-TW"/>
              </w:rPr>
              <w:t>质押</w:t>
            </w:r>
            <w:r w:rsidRPr="00E53BDD">
              <w:rPr>
                <w:rFonts w:ascii="仿宋" w:eastAsia="仿宋_GB2312" w:hAnsi="仿宋" w:cs="仿宋" w:hint="eastAsia"/>
                <w:sz w:val="18"/>
                <w:szCs w:val="18"/>
              </w:rPr>
              <w:t>融资登记</w:t>
            </w:r>
            <w:r w:rsidRPr="00E53BDD">
              <w:rPr>
                <w:rFonts w:ascii="仿宋" w:eastAsia="仿宋_GB2312" w:hAnsi="仿宋" w:cs="仿宋" w:hint="eastAsia"/>
                <w:sz w:val="18"/>
                <w:szCs w:val="18"/>
                <w:lang w:val="zh-TW" w:eastAsia="zh-TW"/>
              </w:rPr>
              <w:t>金额（亿元）</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15</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10</w:t>
            </w:r>
          </w:p>
        </w:tc>
        <w:tc>
          <w:tcPr>
            <w:tcW w:w="2125" w:type="dxa"/>
            <w:vMerge w:val="restart"/>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知识产权保护</w:t>
            </w: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知识产权保护</w:t>
            </w:r>
            <w:r w:rsidRPr="00E53BDD">
              <w:rPr>
                <w:rFonts w:ascii="仿宋" w:eastAsia="仿宋_GB2312" w:hAnsi="仿宋" w:cs="仿宋" w:hint="eastAsia"/>
                <w:sz w:val="18"/>
                <w:szCs w:val="18"/>
                <w:lang w:val="zh-TW"/>
              </w:rPr>
              <w:t>社会</w:t>
            </w:r>
            <w:r w:rsidRPr="00E53BDD">
              <w:rPr>
                <w:rFonts w:ascii="仿宋" w:eastAsia="仿宋_GB2312" w:hAnsi="仿宋" w:cs="仿宋" w:hint="eastAsia"/>
                <w:sz w:val="18"/>
                <w:szCs w:val="18"/>
                <w:lang w:val="zh-TW" w:eastAsia="zh-TW"/>
              </w:rPr>
              <w:t>满意度（</w:t>
            </w:r>
            <w:r w:rsidRPr="00E53BDD">
              <w:rPr>
                <w:rFonts w:ascii="仿宋" w:eastAsia="仿宋_GB2312" w:hAnsi="仿宋" w:cs="仿宋" w:hint="eastAsia"/>
                <w:sz w:val="18"/>
                <w:szCs w:val="18"/>
              </w:rPr>
              <w:t>分</w:t>
            </w:r>
            <w:r w:rsidRPr="00E53BDD">
              <w:rPr>
                <w:rFonts w:ascii="仿宋" w:eastAsia="仿宋_GB2312" w:hAnsi="仿宋" w:cs="仿宋" w:hint="eastAsia"/>
                <w:sz w:val="18"/>
                <w:szCs w:val="18"/>
                <w:lang w:val="zh-TW" w:eastAsia="zh-TW"/>
              </w:rPr>
              <w:t>）</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w:t>
            </w:r>
            <w:r w:rsidRPr="00E53BDD">
              <w:rPr>
                <w:rFonts w:ascii="仿宋" w:eastAsia="仿宋_GB2312" w:hAnsi="仿宋" w:cs="仿宋" w:hint="eastAsia"/>
                <w:kern w:val="0"/>
                <w:sz w:val="18"/>
                <w:szCs w:val="18"/>
              </w:rPr>
              <w:t>85</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11</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rPr>
              <w:t>知识产权民事一审案件服判息诉率（</w:t>
            </w:r>
            <w:r w:rsidRPr="00E53BDD">
              <w:rPr>
                <w:rFonts w:ascii="仿宋" w:eastAsia="仿宋_GB2312" w:hAnsi="仿宋" w:cs="仿宋" w:hint="eastAsia"/>
                <w:sz w:val="18"/>
                <w:szCs w:val="18"/>
              </w:rPr>
              <w:t>%</w:t>
            </w:r>
            <w:r w:rsidRPr="00E53BDD">
              <w:rPr>
                <w:rFonts w:ascii="仿宋" w:eastAsia="仿宋_GB2312" w:hAnsi="仿宋" w:cs="仿宋" w:hint="eastAsia"/>
                <w:sz w:val="18"/>
                <w:szCs w:val="18"/>
              </w:rPr>
              <w:t>）</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w:t>
            </w:r>
            <w:r w:rsidRPr="00E53BDD">
              <w:rPr>
                <w:rFonts w:ascii="仿宋" w:eastAsia="仿宋_GB2312" w:hAnsi="仿宋" w:cs="仿宋" w:hint="eastAsia"/>
                <w:kern w:val="0"/>
                <w:sz w:val="18"/>
                <w:szCs w:val="18"/>
              </w:rPr>
              <w:t>93</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12</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kern w:val="0"/>
                <w:sz w:val="18"/>
                <w:szCs w:val="18"/>
              </w:rPr>
              <w:t>知识产权行政执法案件办结率（</w:t>
            </w:r>
            <w:r w:rsidRPr="00E53BDD">
              <w:rPr>
                <w:rFonts w:ascii="仿宋" w:eastAsia="仿宋_GB2312" w:hAnsi="仿宋" w:cs="仿宋" w:hint="eastAsia"/>
                <w:kern w:val="0"/>
                <w:sz w:val="18"/>
                <w:szCs w:val="18"/>
              </w:rPr>
              <w:t>%</w:t>
            </w:r>
            <w:r w:rsidRPr="00E53BDD">
              <w:rPr>
                <w:rFonts w:ascii="仿宋" w:eastAsia="仿宋_GB2312" w:hAnsi="仿宋" w:cs="仿宋" w:hint="eastAsia"/>
                <w:kern w:val="0"/>
                <w:sz w:val="18"/>
                <w:szCs w:val="18"/>
              </w:rPr>
              <w:t>）</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100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13</w:t>
            </w:r>
          </w:p>
        </w:tc>
        <w:tc>
          <w:tcPr>
            <w:tcW w:w="2125" w:type="dxa"/>
            <w:vMerge w:val="restart"/>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知识产权服务</w:t>
            </w: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rPr>
              <w:t>新增获得国家专利代理师资格（人）</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20</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14</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知识产权服务机构主营业务收入</w:t>
            </w:r>
            <w:r w:rsidRPr="00E53BDD">
              <w:rPr>
                <w:rFonts w:ascii="仿宋" w:eastAsia="仿宋_GB2312" w:hAnsi="仿宋" w:cs="仿宋" w:hint="eastAsia"/>
                <w:sz w:val="18"/>
                <w:szCs w:val="18"/>
                <w:lang w:val="zh-TW"/>
              </w:rPr>
              <w:t>（亿元）</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2</w:t>
            </w:r>
          </w:p>
        </w:tc>
      </w:tr>
      <w:tr w:rsidR="00833E93">
        <w:trPr>
          <w:trHeight w:val="23"/>
          <w:jc w:val="center"/>
        </w:trPr>
        <w:tc>
          <w:tcPr>
            <w:tcW w:w="586" w:type="dxa"/>
            <w:tcBorders>
              <w:tl2br w:val="nil"/>
              <w:tr2bl w:val="nil"/>
            </w:tcBorders>
            <w:vAlign w:val="center"/>
          </w:tcPr>
          <w:p w:rsidR="00833E93" w:rsidRDefault="00E53BDD">
            <w:pPr>
              <w:adjustRightInd w:val="0"/>
              <w:ind w:firstLineChars="0" w:firstLine="0"/>
              <w:jc w:val="center"/>
              <w:rPr>
                <w:rFonts w:ascii="仿宋" w:eastAsia="仿宋" w:hAnsi="仿宋" w:cs="仿宋"/>
                <w:kern w:val="0"/>
                <w:sz w:val="18"/>
                <w:szCs w:val="18"/>
              </w:rPr>
            </w:pPr>
            <w:r w:rsidRPr="00E53BDD">
              <w:rPr>
                <w:rFonts w:ascii="仿宋" w:eastAsia="仿宋_GB2312" w:hAnsi="仿宋" w:cs="仿宋" w:hint="eastAsia"/>
                <w:sz w:val="18"/>
                <w:szCs w:val="18"/>
              </w:rPr>
              <w:t>15</w:t>
            </w:r>
          </w:p>
        </w:tc>
        <w:tc>
          <w:tcPr>
            <w:tcW w:w="2125" w:type="dxa"/>
            <w:vMerge/>
            <w:tcBorders>
              <w:tl2br w:val="nil"/>
              <w:tr2bl w:val="nil"/>
            </w:tcBorders>
            <w:vAlign w:val="center"/>
          </w:tcPr>
          <w:p w:rsidR="00833E93" w:rsidRDefault="00833E93">
            <w:pPr>
              <w:adjustRightInd w:val="0"/>
              <w:ind w:firstLineChars="0" w:firstLine="0"/>
              <w:jc w:val="center"/>
              <w:rPr>
                <w:rFonts w:ascii="仿宋" w:eastAsia="仿宋" w:hAnsi="仿宋" w:cs="仿宋"/>
                <w:kern w:val="0"/>
                <w:sz w:val="18"/>
                <w:szCs w:val="18"/>
              </w:rPr>
            </w:pPr>
          </w:p>
        </w:tc>
        <w:tc>
          <w:tcPr>
            <w:tcW w:w="4653" w:type="dxa"/>
            <w:tcBorders>
              <w:tl2br w:val="nil"/>
              <w:tr2bl w:val="nil"/>
            </w:tcBorders>
            <w:vAlign w:val="center"/>
          </w:tcPr>
          <w:p w:rsidR="00833E93" w:rsidRDefault="00E53BDD">
            <w:pPr>
              <w:adjustRightInd w:val="0"/>
              <w:ind w:firstLineChars="0" w:firstLine="0"/>
              <w:rPr>
                <w:rFonts w:ascii="仿宋" w:eastAsia="仿宋" w:hAnsi="仿宋" w:cs="仿宋"/>
                <w:kern w:val="0"/>
                <w:sz w:val="18"/>
                <w:szCs w:val="18"/>
              </w:rPr>
            </w:pPr>
            <w:r w:rsidRPr="00E53BDD">
              <w:rPr>
                <w:rFonts w:ascii="仿宋" w:eastAsia="仿宋_GB2312" w:hAnsi="仿宋" w:cs="仿宋" w:hint="eastAsia"/>
                <w:sz w:val="18"/>
                <w:szCs w:val="18"/>
                <w:lang w:val="zh-TW" w:eastAsia="zh-TW"/>
              </w:rPr>
              <w:t>知识产权公共服务平台</w:t>
            </w:r>
            <w:r w:rsidRPr="00E53BDD">
              <w:rPr>
                <w:rFonts w:ascii="仿宋" w:eastAsia="仿宋_GB2312" w:hAnsi="仿宋" w:cs="仿宋" w:hint="eastAsia"/>
                <w:sz w:val="18"/>
                <w:szCs w:val="18"/>
                <w:lang w:val="zh-TW"/>
              </w:rPr>
              <w:t>（个）</w:t>
            </w:r>
          </w:p>
        </w:tc>
        <w:tc>
          <w:tcPr>
            <w:tcW w:w="1155" w:type="dxa"/>
            <w:tcBorders>
              <w:tl2br w:val="nil"/>
              <w:tr2bl w:val="nil"/>
            </w:tcBorders>
            <w:vAlign w:val="center"/>
          </w:tcPr>
          <w:p w:rsidR="00833E93" w:rsidRPr="00E53BDD" w:rsidRDefault="00E53BDD">
            <w:pPr>
              <w:adjustRightInd w:val="0"/>
              <w:ind w:firstLineChars="0" w:firstLine="0"/>
              <w:jc w:val="center"/>
              <w:rPr>
                <w:rFonts w:ascii="仿宋" w:eastAsia="仿宋_GB2312" w:hAnsi="仿宋" w:cs="仿宋"/>
                <w:kern w:val="0"/>
                <w:sz w:val="18"/>
                <w:szCs w:val="18"/>
              </w:rPr>
            </w:pPr>
            <w:r w:rsidRPr="00E53BDD">
              <w:rPr>
                <w:rFonts w:ascii="仿宋" w:eastAsia="仿宋_GB2312" w:hAnsi="仿宋" w:cs="仿宋" w:hint="eastAsia"/>
                <w:kern w:val="0"/>
                <w:sz w:val="18"/>
                <w:szCs w:val="18"/>
              </w:rPr>
              <w:t>3</w:t>
            </w:r>
          </w:p>
        </w:tc>
      </w:tr>
    </w:tbl>
    <w:p w:rsidR="00833E93" w:rsidRDefault="00E53BDD">
      <w:pPr>
        <w:pStyle w:val="1"/>
        <w:ind w:firstLine="640"/>
      </w:pPr>
      <w:bookmarkStart w:id="157" w:name="_Toc14988"/>
      <w:bookmarkStart w:id="158" w:name="_Toc29878"/>
      <w:bookmarkStart w:id="159" w:name="_Toc29682"/>
      <w:bookmarkStart w:id="160" w:name="_Toc25213"/>
      <w:bookmarkStart w:id="161" w:name="_Toc19718"/>
      <w:bookmarkStart w:id="162" w:name="_Toc13928"/>
      <w:bookmarkStart w:id="163" w:name="_Toc26698"/>
      <w:bookmarkStart w:id="164" w:name="_Toc31891"/>
      <w:bookmarkStart w:id="165" w:name="_Toc13676"/>
      <w:r>
        <w:rPr>
          <w:rFonts w:hint="eastAsia"/>
        </w:rPr>
        <w:lastRenderedPageBreak/>
        <w:t>主要任务</w:t>
      </w:r>
      <w:bookmarkEnd w:id="157"/>
      <w:bookmarkEnd w:id="158"/>
      <w:bookmarkEnd w:id="159"/>
      <w:bookmarkEnd w:id="160"/>
      <w:bookmarkEnd w:id="161"/>
      <w:bookmarkEnd w:id="162"/>
      <w:bookmarkEnd w:id="163"/>
      <w:bookmarkEnd w:id="164"/>
      <w:bookmarkEnd w:id="165"/>
    </w:p>
    <w:p w:rsidR="00833E93" w:rsidRPr="00E53BDD" w:rsidRDefault="00E53BDD">
      <w:pPr>
        <w:pStyle w:val="2"/>
        <w:ind w:firstLine="640"/>
        <w:rPr>
          <w:rFonts w:eastAsia="楷体_GB2312"/>
        </w:rPr>
      </w:pPr>
      <w:bookmarkStart w:id="166" w:name="_Toc26482"/>
      <w:bookmarkStart w:id="167" w:name="_Toc9885"/>
      <w:bookmarkStart w:id="168" w:name="_Toc3513"/>
      <w:bookmarkStart w:id="169" w:name="_Toc7767"/>
      <w:bookmarkStart w:id="170" w:name="_Toc5268"/>
      <w:bookmarkStart w:id="171" w:name="_Toc14847"/>
      <w:bookmarkStart w:id="172" w:name="_Toc10361"/>
      <w:bookmarkStart w:id="173" w:name="_Toc21431"/>
      <w:bookmarkStart w:id="174" w:name="_Toc136"/>
      <w:r w:rsidRPr="00E53BDD">
        <w:rPr>
          <w:rFonts w:eastAsia="楷体_GB2312"/>
        </w:rPr>
        <w:t>构建现代化知识产权治理体系</w:t>
      </w:r>
      <w:bookmarkEnd w:id="166"/>
      <w:bookmarkEnd w:id="167"/>
      <w:bookmarkEnd w:id="168"/>
      <w:bookmarkEnd w:id="169"/>
      <w:bookmarkEnd w:id="170"/>
      <w:bookmarkEnd w:id="171"/>
      <w:bookmarkEnd w:id="172"/>
      <w:bookmarkEnd w:id="173"/>
      <w:bookmarkEnd w:id="174"/>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175" w:name="_Toc13902"/>
      <w:bookmarkStart w:id="176" w:name="_Toc3598"/>
      <w:bookmarkStart w:id="177" w:name="_Toc8950"/>
      <w:bookmarkStart w:id="178" w:name="_Toc23268"/>
      <w:bookmarkStart w:id="179" w:name="_Toc26552"/>
      <w:bookmarkStart w:id="180" w:name="_Toc5625"/>
      <w:bookmarkStart w:id="181" w:name="_Toc3883"/>
      <w:bookmarkStart w:id="182" w:name="_Toc2266"/>
      <w:bookmarkStart w:id="183" w:name="_Toc1808"/>
      <w:r w:rsidRPr="00E53BDD">
        <w:rPr>
          <w:rFonts w:ascii="Times New Roman" w:eastAsia="仿宋_GB2312" w:hAnsi="Times New Roman" w:cs="仿宋" w:hint="eastAsia"/>
          <w:b/>
          <w:bCs/>
          <w:szCs w:val="32"/>
        </w:rPr>
        <w:t>1.</w:t>
      </w:r>
      <w:r w:rsidRPr="00E53BDD">
        <w:rPr>
          <w:rFonts w:ascii="Times New Roman" w:eastAsia="仿宋_GB2312" w:hAnsi="Times New Roman" w:cs="仿宋" w:hint="eastAsia"/>
          <w:b/>
          <w:bCs/>
          <w:szCs w:val="32"/>
        </w:rPr>
        <w:t>推进知</w:t>
      </w:r>
      <w:r w:rsidRPr="00E53BDD">
        <w:rPr>
          <w:rFonts w:ascii="Times New Roman" w:eastAsia="仿宋_GB2312" w:hAnsi="Times New Roman" w:cs="仿宋"/>
          <w:b/>
          <w:bCs/>
          <w:szCs w:val="32"/>
        </w:rPr>
        <w:t>识产权</w:t>
      </w:r>
      <w:r w:rsidRPr="00E53BDD">
        <w:rPr>
          <w:rFonts w:ascii="Times New Roman" w:eastAsia="仿宋_GB2312" w:hAnsi="Times New Roman" w:cs="仿宋" w:hint="eastAsia"/>
          <w:b/>
          <w:bCs/>
          <w:szCs w:val="32"/>
        </w:rPr>
        <w:t>法规政策落实</w:t>
      </w:r>
      <w:bookmarkEnd w:id="175"/>
      <w:bookmarkEnd w:id="176"/>
      <w:bookmarkEnd w:id="177"/>
      <w:bookmarkEnd w:id="178"/>
      <w:bookmarkEnd w:id="179"/>
      <w:bookmarkEnd w:id="180"/>
      <w:bookmarkEnd w:id="181"/>
      <w:bookmarkEnd w:id="182"/>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严格执行知识产权政策法规，高标准实施《江苏省知识产权促进和保护条例》，全面落实国家《关于知识产权保护的意见》和江苏省、苏州市《关于强化知识产权保护的实施意见》等政策文件，进一步完善《太仓市知识产权高质量发展若干政策暂行办法》《太仓市专利代理机构绩效评价管理办法（试行）》等政策，推进知识产权法规政策有效落实。做好与省、市知识产权政策衔接，形成在科技、产业、人才、金融、税收等方面知识产权政策叠加优势。建立健全知识产权政策合法性和公平竞争审查制度，建立知识产权公共政策评估机制。</w:t>
      </w:r>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184" w:name="_Toc6569"/>
      <w:bookmarkStart w:id="185" w:name="_Toc2767"/>
      <w:bookmarkStart w:id="186" w:name="_Toc5957"/>
      <w:bookmarkStart w:id="187" w:name="_Toc22884"/>
      <w:bookmarkStart w:id="188" w:name="_Toc15989"/>
      <w:bookmarkStart w:id="189" w:name="_Toc29221"/>
      <w:bookmarkStart w:id="190" w:name="_Toc30648"/>
      <w:bookmarkStart w:id="191" w:name="_Toc24179"/>
      <w:r w:rsidRPr="00E53BDD">
        <w:rPr>
          <w:rFonts w:ascii="Times New Roman" w:eastAsia="仿宋_GB2312" w:hAnsi="Times New Roman" w:cs="仿宋" w:hint="eastAsia"/>
          <w:b/>
          <w:bCs/>
          <w:szCs w:val="32"/>
        </w:rPr>
        <w:t>2.</w:t>
      </w:r>
      <w:r w:rsidRPr="00E53BDD">
        <w:rPr>
          <w:rFonts w:ascii="Times New Roman" w:eastAsia="仿宋_GB2312" w:hAnsi="Times New Roman" w:cs="仿宋" w:hint="eastAsia"/>
          <w:b/>
          <w:bCs/>
          <w:szCs w:val="32"/>
        </w:rPr>
        <w:t>完善知识产权管理工作机制</w:t>
      </w:r>
      <w:bookmarkEnd w:id="184"/>
      <w:bookmarkEnd w:id="185"/>
      <w:bookmarkEnd w:id="186"/>
      <w:bookmarkEnd w:id="187"/>
      <w:bookmarkEnd w:id="188"/>
      <w:bookmarkEnd w:id="189"/>
      <w:bookmarkEnd w:id="190"/>
      <w:bookmarkEnd w:id="191"/>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完善知识产权高效协同管理体系，积极推进知识产权联席会议。推进区镇知识产权执法管理体制改革，形成职责清晰、管理统一、运行高效的知识产权管理模式。系统谋划太仓知识产权工作布局，重点实施知识产权要素配置、运营深化、强企培育、产业促进、保护强化、服务提升、人才支撑和环境优化等八大工程，打通知识产权创造、运用、管理、保护、服务全链条。</w:t>
      </w:r>
    </w:p>
    <w:p w:rsidR="00833E93" w:rsidRPr="00E53BDD" w:rsidRDefault="00E53BDD">
      <w:pPr>
        <w:pStyle w:val="2"/>
        <w:ind w:firstLine="640"/>
        <w:rPr>
          <w:rFonts w:eastAsia="楷体_GB2312"/>
        </w:rPr>
      </w:pPr>
      <w:bookmarkStart w:id="192" w:name="_Toc20626"/>
      <w:bookmarkStart w:id="193" w:name="_Toc11428"/>
      <w:bookmarkStart w:id="194" w:name="_Toc16705"/>
      <w:bookmarkStart w:id="195" w:name="_Toc30082"/>
      <w:bookmarkStart w:id="196" w:name="_Toc19915"/>
      <w:bookmarkStart w:id="197" w:name="_Toc30195"/>
      <w:bookmarkStart w:id="198" w:name="_Toc4944"/>
      <w:bookmarkStart w:id="199" w:name="_Toc26166"/>
      <w:bookmarkStart w:id="200" w:name="_Toc32715"/>
      <w:bookmarkEnd w:id="183"/>
      <w:r w:rsidRPr="00E53BDD">
        <w:rPr>
          <w:rFonts w:eastAsia="楷体_GB2312" w:hint="eastAsia"/>
        </w:rPr>
        <w:t>推动知识产权高质量创造</w:t>
      </w:r>
      <w:bookmarkEnd w:id="192"/>
      <w:bookmarkEnd w:id="193"/>
      <w:bookmarkEnd w:id="194"/>
      <w:bookmarkEnd w:id="195"/>
      <w:bookmarkEnd w:id="196"/>
      <w:bookmarkEnd w:id="197"/>
      <w:bookmarkEnd w:id="198"/>
      <w:bookmarkEnd w:id="199"/>
      <w:bookmarkEnd w:id="200"/>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201" w:name="_Toc9221"/>
      <w:bookmarkStart w:id="202" w:name="_Toc2672"/>
      <w:bookmarkStart w:id="203" w:name="_Toc9385"/>
      <w:bookmarkStart w:id="204" w:name="_Toc21611"/>
      <w:bookmarkStart w:id="205" w:name="_Toc9877"/>
      <w:bookmarkStart w:id="206" w:name="_Toc5440"/>
      <w:bookmarkStart w:id="207" w:name="_Toc17462"/>
      <w:bookmarkStart w:id="208" w:name="_Toc12569"/>
      <w:bookmarkStart w:id="209" w:name="_Toc26108"/>
      <w:r w:rsidRPr="00E53BDD">
        <w:rPr>
          <w:rFonts w:ascii="Times New Roman" w:eastAsia="仿宋_GB2312" w:hAnsi="Times New Roman" w:cs="仿宋" w:hint="eastAsia"/>
          <w:b/>
          <w:bCs/>
          <w:szCs w:val="32"/>
        </w:rPr>
        <w:t>3.</w:t>
      </w:r>
      <w:r w:rsidRPr="00E53BDD">
        <w:rPr>
          <w:rFonts w:ascii="Times New Roman" w:eastAsia="仿宋_GB2312" w:hAnsi="Times New Roman" w:cs="仿宋" w:hint="eastAsia"/>
          <w:b/>
          <w:bCs/>
          <w:szCs w:val="32"/>
        </w:rPr>
        <w:t>实施高价值知识产权培育工程</w:t>
      </w:r>
      <w:bookmarkEnd w:id="201"/>
      <w:bookmarkEnd w:id="202"/>
      <w:bookmarkEnd w:id="203"/>
      <w:bookmarkEnd w:id="204"/>
      <w:bookmarkEnd w:id="205"/>
      <w:bookmarkEnd w:id="206"/>
      <w:bookmarkEnd w:id="207"/>
      <w:bookmarkEnd w:id="208"/>
      <w:bookmarkEnd w:id="209"/>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制定高价值专利培育计划，打造高价值专利创造新高地。</w:t>
      </w:r>
      <w:r w:rsidRPr="00E53BDD">
        <w:rPr>
          <w:rFonts w:eastAsia="仿宋_GB2312" w:cs="仿宋" w:hint="eastAsia"/>
          <w:sz w:val="32"/>
          <w:szCs w:val="32"/>
        </w:rPr>
        <w:lastRenderedPageBreak/>
        <w:t>鼓励企业参与区域协同创新，依托“两校多院”等重大创新载体，支持高校、科研院所、企业加强基础研究和原始创新，产出一批原创性、基础性专利。深入推进核心技术领域知识产权战略实施，围绕高端装备、先进材料、智能制造等重点产业，开展核心技术与断链断供技术攻关，建立高价值专利培育库，培育一批自主可控的高价值专利。开展专利布局，聚焦生物医药、航空航天等特色产业创新集群和标志性产业链，布局一批具有核心竞争力的高价值专利和专利组合。</w:t>
      </w:r>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实施高知名度品牌战略，推进“苏州制造”品牌建设太仓三年行动计划，围绕优势产业、重点领域，发挥“苏州制造”品牌标杆的示范作用，强化企业自主品牌意识，引导和鼓励规模优势明显的品牌企业聚焦产业链关键环节和创新资源，打造具有市场影响力和竞争力的区域品牌。实施地理标志品牌培育计划，加强农业种质资源知识产权保护，支持地理标志协会和骨干企业加快发展，打造一批特色农业品牌和特色产品，带动形成一体化发展产业链。</w:t>
      </w:r>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强化高影响力版权作品培育，推出一批观众叫好、市场叫座的版权精品。开展优秀版权作品创作扶持行动，加大传统文化资源挖掘力度，形成一批具有太仓特色的优秀版权作品。加强现代信息技术运用与文化内容结合，产出一批游戏、动漫、电影等优秀版权作品。鼓励工业制造和文化内容两大领域的原始创作和衍生开发，培育一批文化内涵深厚、原创设计独特、产业转化“双效俱佳”的优秀版权作品。</w:t>
      </w:r>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210" w:name="_Toc21759"/>
      <w:bookmarkStart w:id="211" w:name="_Toc19143"/>
      <w:bookmarkStart w:id="212" w:name="_Toc24006"/>
      <w:bookmarkStart w:id="213" w:name="_Toc10926"/>
      <w:bookmarkStart w:id="214" w:name="_Toc10539"/>
      <w:bookmarkStart w:id="215" w:name="_Toc1444"/>
      <w:bookmarkStart w:id="216" w:name="_Toc10602"/>
      <w:bookmarkStart w:id="217" w:name="_Toc12961"/>
      <w:r w:rsidRPr="00E53BDD">
        <w:rPr>
          <w:rFonts w:ascii="Times New Roman" w:eastAsia="仿宋_GB2312" w:hAnsi="Times New Roman" w:cs="仿宋" w:hint="eastAsia"/>
          <w:b/>
          <w:bCs/>
          <w:szCs w:val="32"/>
        </w:rPr>
        <w:lastRenderedPageBreak/>
        <w:t>4.</w:t>
      </w:r>
      <w:r w:rsidRPr="00E53BDD">
        <w:rPr>
          <w:rFonts w:ascii="Times New Roman" w:eastAsia="仿宋_GB2312" w:hAnsi="Times New Roman" w:cs="仿宋" w:hint="eastAsia"/>
          <w:b/>
          <w:bCs/>
          <w:szCs w:val="32"/>
        </w:rPr>
        <w:t>加快知识产权密集型企业培育</w:t>
      </w:r>
      <w:bookmarkEnd w:id="210"/>
      <w:bookmarkEnd w:id="211"/>
      <w:bookmarkEnd w:id="212"/>
      <w:bookmarkEnd w:id="213"/>
      <w:bookmarkEnd w:id="214"/>
      <w:bookmarkEnd w:id="215"/>
      <w:bookmarkEnd w:id="216"/>
      <w:bookmarkEnd w:id="217"/>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实施知识产权密集型企业培育工程，健全高新技术企业、创新领军企业、专精特新等重点企业知识产权培育体系。鼓励创新主体提升知识产权要素集聚度，促进企业从技术密集型向知识产权密集型转变。建设企业知识产权工作站，提供知识产权信息检索、法律咨询、管理规范等方面业务指导，提升企业知识产权战略运用能力与核心竞争力。加强知识产权密集型企业统计监测，研究制定知识产权密集型企业培育目录，引导其向知识产权密集型企业发展。联合区镇产业园管理部门，集成知识产权资源促进产业园和园内企业发展，培育知识产权密集型产业园区。探索设立“苏州中德产业知识产权运营中心”，大力培育发展具有国际竞争力、自主可控的知识产权密集型产业，努力打造“立足太仓、辐射苏州、连通中德”的知识产权创新发展体系。</w:t>
      </w:r>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218" w:name="_Toc5434"/>
      <w:bookmarkStart w:id="219" w:name="_Toc27240"/>
      <w:bookmarkStart w:id="220" w:name="_Toc23876"/>
      <w:bookmarkStart w:id="221" w:name="_Toc11711"/>
      <w:bookmarkStart w:id="222" w:name="_Toc25057"/>
      <w:bookmarkStart w:id="223" w:name="_Toc16175"/>
      <w:bookmarkStart w:id="224" w:name="_Toc21349"/>
      <w:bookmarkStart w:id="225" w:name="_Toc1373"/>
      <w:r w:rsidRPr="00E53BDD">
        <w:rPr>
          <w:rFonts w:ascii="Times New Roman" w:eastAsia="仿宋_GB2312" w:hAnsi="Times New Roman" w:cs="仿宋" w:hint="eastAsia"/>
          <w:b/>
          <w:bCs/>
          <w:szCs w:val="32"/>
        </w:rPr>
        <w:t>5.</w:t>
      </w:r>
      <w:r w:rsidRPr="00E53BDD">
        <w:rPr>
          <w:rFonts w:ascii="Times New Roman" w:eastAsia="仿宋_GB2312" w:hAnsi="Times New Roman" w:cs="仿宋" w:hint="eastAsia"/>
          <w:b/>
          <w:bCs/>
          <w:szCs w:val="32"/>
        </w:rPr>
        <w:t>加快新兴产业知识产权布局</w:t>
      </w:r>
      <w:bookmarkEnd w:id="218"/>
      <w:bookmarkEnd w:id="219"/>
      <w:bookmarkEnd w:id="220"/>
      <w:bookmarkEnd w:id="221"/>
      <w:bookmarkEnd w:id="222"/>
      <w:bookmarkEnd w:id="223"/>
      <w:bookmarkEnd w:id="224"/>
      <w:bookmarkEnd w:id="225"/>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强化新兴产业技术创新的知识产权导向，加大对生物医药、航空航天等新兴产业研发投入，将新兴产业知识产权作为科技立项、项目验收、成果评价与奖励的重要依据，支持企业通过自主创新和持续创新获得知识产权。围绕新兴产业，在专利产业化、专利数据库建设等方面给予重点支持。引导新兴产业知识产权科学布局，推动生物医药及健康产业、航空航天产业高质量发展（专栏</w:t>
      </w:r>
      <w:r w:rsidRPr="00E53BDD">
        <w:rPr>
          <w:rFonts w:eastAsia="仿宋_GB2312" w:cs="仿宋" w:hint="eastAsia"/>
          <w:sz w:val="32"/>
          <w:szCs w:val="32"/>
        </w:rPr>
        <w:t>1</w:t>
      </w:r>
      <w:r w:rsidRPr="00E53BDD">
        <w:rPr>
          <w:rFonts w:eastAsia="仿宋_GB2312" w:cs="仿宋" w:hint="eastAsia"/>
          <w:sz w:val="32"/>
          <w:szCs w:val="32"/>
        </w:rPr>
        <w:t>），密切跟踪新兴产业市场竞争和专利技术动向，适时发布新兴产业知识产权动态信息。制定新兴产业的知识产权发展战略，培育一批知识产权战略</w:t>
      </w:r>
      <w:r w:rsidRPr="00E53BDD">
        <w:rPr>
          <w:rFonts w:eastAsia="仿宋_GB2312" w:cs="仿宋" w:hint="eastAsia"/>
          <w:sz w:val="32"/>
          <w:szCs w:val="32"/>
        </w:rPr>
        <w:lastRenderedPageBreak/>
        <w:t>发展意识强、知识产权制度运用高效、知识产权综合管理规范、知识产权优势明显、引领支撑新兴产业发展的知识产权引领型企业，为新兴产业快速健康发展提供有力支撑。</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0"/>
      </w:tblGrid>
      <w:tr w:rsidR="00833E93">
        <w:trPr>
          <w:trHeight w:val="690"/>
          <w:jc w:val="center"/>
        </w:trPr>
        <w:tc>
          <w:tcPr>
            <w:tcW w:w="8290" w:type="dxa"/>
            <w:noWrap/>
            <w:vAlign w:val="center"/>
          </w:tcPr>
          <w:p w:rsidR="00833E93" w:rsidRDefault="00E53BDD">
            <w:pPr>
              <w:adjustRightInd w:val="0"/>
              <w:spacing w:line="560" w:lineRule="exact"/>
              <w:ind w:firstLineChars="0" w:firstLine="0"/>
              <w:jc w:val="center"/>
              <w:rPr>
                <w:rFonts w:ascii="方正黑体_GBK" w:eastAsia="黑体"/>
              </w:rPr>
            </w:pPr>
            <w:r>
              <w:rPr>
                <w:rFonts w:ascii="黑体" w:eastAsia="黑体" w:hAnsi="黑体" w:cs="黑体" w:hint="eastAsia"/>
                <w:sz w:val="28"/>
                <w:szCs w:val="28"/>
              </w:rPr>
              <w:t>专栏1加快生物医药及健康产业、航空航天产业知识产权布局</w:t>
            </w:r>
          </w:p>
        </w:tc>
      </w:tr>
      <w:tr w:rsidR="00833E93">
        <w:trPr>
          <w:trHeight w:val="416"/>
          <w:jc w:val="center"/>
        </w:trPr>
        <w:tc>
          <w:tcPr>
            <w:tcW w:w="8290" w:type="dxa"/>
            <w:noWrap/>
            <w:vAlign w:val="center"/>
          </w:tcPr>
          <w:p w:rsidR="00833E93" w:rsidRDefault="00E53BDD">
            <w:pPr>
              <w:adjustRightInd w:val="0"/>
              <w:spacing w:line="400" w:lineRule="exact"/>
              <w:ind w:firstLine="480"/>
              <w:rPr>
                <w:rFonts w:ascii="仿宋_GB2312" w:eastAsia="仿宋_GB2312" w:hAnsi="楷体_GB2312" w:cs="楷体_GB2312"/>
              </w:rPr>
            </w:pPr>
            <w:r>
              <w:rPr>
                <w:rFonts w:ascii="仿宋_GB2312" w:eastAsia="仿宋_GB2312" w:hAnsi="楷体_GB2312" w:cs="楷体_GB2312" w:hint="eastAsia"/>
              </w:rPr>
              <w:t>推进太仓生物医药及健康产业知识产权布局。围绕创新药物、前沿诊疗技术、高端医疗器械、公共卫生应急管理、生物制品及健康促进产品等重点发展方向，加快建设太仓市生物医药及健康产业。打造核心产业链，突破技术高峰，培育企业梯队，构建产业生态，加强技术创新与知识产权的融合，为企业提供具有前瞻性的专利布局和品牌布局，为企业的高价值专利培育提供专业化指导，着力提升太仓市生物医药及健康产业高质量发展，力争在十年内打造成为国际知名的生物医药健康产业基地。</w:t>
            </w:r>
          </w:p>
          <w:p w:rsidR="00833E93" w:rsidRDefault="00E53BDD">
            <w:pPr>
              <w:adjustRightInd w:val="0"/>
              <w:spacing w:line="400" w:lineRule="exact"/>
              <w:ind w:firstLine="480"/>
            </w:pPr>
            <w:r>
              <w:rPr>
                <w:rFonts w:ascii="仿宋_GB2312" w:eastAsia="仿宋_GB2312" w:hAnsi="楷体_GB2312" w:cs="楷体_GB2312" w:hint="eastAsia"/>
              </w:rPr>
              <w:t>推进太仓航空航天产业知识产权布局集约化。支持航空航天产业集群建设，根据产业集群布局创新链，通过创新链反哺产业链，达到创新与产业内生循环。围绕国家大飞机工程、两机专项、航天工程等产业链重大项目展开专利布局。推动航空航天产业创新成果提质，鼓励技术创新与关键技术攻关，支持产业链发展延伸，发挥知识产权强链、固链、补链作用。实现航空航天产业创新生态提优，加快专业人才引育、拓宽知识产权融资渠道，鼓励保险机构丰富并优化知识产权保险产品，强化知识产权支撑产业发展作用。</w:t>
            </w:r>
          </w:p>
        </w:tc>
      </w:tr>
    </w:tbl>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226" w:name="_Toc16548"/>
      <w:bookmarkStart w:id="227" w:name="_Toc31648"/>
      <w:bookmarkStart w:id="228" w:name="_Toc1328"/>
      <w:bookmarkStart w:id="229" w:name="_Toc8519"/>
      <w:bookmarkStart w:id="230" w:name="_Toc1879"/>
      <w:bookmarkStart w:id="231" w:name="_Toc3244"/>
      <w:bookmarkStart w:id="232" w:name="_Toc8557"/>
      <w:bookmarkStart w:id="233" w:name="_Toc20694"/>
      <w:bookmarkStart w:id="234" w:name="_Toc18454"/>
      <w:r w:rsidRPr="00E53BDD">
        <w:rPr>
          <w:rFonts w:ascii="Times New Roman" w:eastAsia="仿宋_GB2312" w:hAnsi="Times New Roman" w:cs="仿宋" w:hint="eastAsia"/>
          <w:b/>
          <w:bCs/>
          <w:szCs w:val="32"/>
        </w:rPr>
        <w:t>6.</w:t>
      </w:r>
      <w:r w:rsidRPr="00E53BDD">
        <w:rPr>
          <w:rFonts w:ascii="Times New Roman" w:eastAsia="仿宋_GB2312" w:hAnsi="Times New Roman" w:cs="仿宋" w:hint="eastAsia"/>
          <w:b/>
          <w:bCs/>
          <w:szCs w:val="32"/>
        </w:rPr>
        <w:t>加强文化产业知识产权创新</w:t>
      </w:r>
      <w:bookmarkEnd w:id="226"/>
      <w:bookmarkEnd w:id="227"/>
      <w:bookmarkEnd w:id="228"/>
      <w:bookmarkEnd w:id="229"/>
      <w:bookmarkEnd w:id="230"/>
      <w:bookmarkEnd w:id="231"/>
      <w:bookmarkEnd w:id="232"/>
      <w:bookmarkEnd w:id="233"/>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提高文化产业知识产权创新能力，推动文化产业持续健康发展。营造文化创新社会环境，大力倡导尊重知识、崇尚创新的知识产权文化，为文化企业发展提供适宜的环境、相对健全的制度和人才保障机制，形成知识产权创造的良好氛围。加强知识产权文化与传统文化、创新文化深度融合，挖掘整合太仓优秀传统文化、创新文化资源，结合太仓发展优势、行业特点、地区和资源优势，加强创新能力建设，提高文化产业的核心竞争力。开展优秀传统文化产业改造提升工程，支持太仓肉松、太仓糟油、红木雕刻、双凤龙狮制作等</w:t>
      </w:r>
      <w:r w:rsidRPr="00E53BDD">
        <w:rPr>
          <w:rFonts w:eastAsia="仿宋_GB2312" w:cs="仿宋" w:hint="eastAsia"/>
          <w:sz w:val="32"/>
          <w:szCs w:val="32"/>
        </w:rPr>
        <w:lastRenderedPageBreak/>
        <w:t>有江南特色的技艺及相关企业改善条件、拓展经营、创新发展，支持传统工艺企业创意设计提升，支持老字号、老工艺、土特产、传统美食创新开发“‘江海造物’太仓文创”。形成文化产业创新发展的产业群，以知识产权创造为目标，选择关键的文化产业、重点的文化企业作为突破口，建立一批有代表性的文化创意产业群，推进数字文化与相关产业融合发展，支持文化产业园区调整结构、转型升级，形成自主版权和自主品牌。制定文化产业保护机制和规则，提升知识产权保护能力和水平，以知识产权法治建设的完善推动文化产业发展。</w:t>
      </w:r>
    </w:p>
    <w:p w:rsidR="00833E93" w:rsidRPr="00E53BDD" w:rsidRDefault="00E53BDD">
      <w:pPr>
        <w:pStyle w:val="2"/>
        <w:ind w:firstLine="640"/>
        <w:rPr>
          <w:rFonts w:eastAsia="楷体_GB2312"/>
        </w:rPr>
      </w:pPr>
      <w:bookmarkStart w:id="235" w:name="_Toc8962"/>
      <w:bookmarkStart w:id="236" w:name="_Toc20434"/>
      <w:bookmarkStart w:id="237" w:name="_Toc25956"/>
      <w:bookmarkStart w:id="238" w:name="_Toc6429"/>
      <w:bookmarkStart w:id="239" w:name="_Toc4972"/>
      <w:bookmarkStart w:id="240" w:name="_Toc29894"/>
      <w:bookmarkStart w:id="241" w:name="_Toc3794"/>
      <w:bookmarkStart w:id="242" w:name="_Toc9051"/>
      <w:bookmarkStart w:id="243" w:name="_Toc7450"/>
      <w:bookmarkEnd w:id="234"/>
      <w:r w:rsidRPr="00E53BDD">
        <w:rPr>
          <w:rFonts w:eastAsia="楷体_GB2312" w:hint="eastAsia"/>
        </w:rPr>
        <w:t>促进知识产权多元化运营</w:t>
      </w:r>
      <w:bookmarkEnd w:id="235"/>
      <w:bookmarkEnd w:id="236"/>
      <w:bookmarkEnd w:id="237"/>
      <w:bookmarkEnd w:id="238"/>
      <w:bookmarkEnd w:id="239"/>
      <w:bookmarkEnd w:id="240"/>
      <w:bookmarkEnd w:id="241"/>
      <w:bookmarkEnd w:id="242"/>
      <w:bookmarkEnd w:id="243"/>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244" w:name="_Toc31129"/>
      <w:bookmarkStart w:id="245" w:name="_Toc14773"/>
      <w:bookmarkStart w:id="246" w:name="_Toc18248"/>
      <w:bookmarkStart w:id="247" w:name="_Toc20819"/>
      <w:bookmarkStart w:id="248" w:name="_Toc29744"/>
      <w:bookmarkStart w:id="249" w:name="_Toc22064"/>
      <w:bookmarkStart w:id="250" w:name="_Toc11017"/>
      <w:bookmarkStart w:id="251" w:name="_Toc15113"/>
      <w:bookmarkStart w:id="252" w:name="_Toc4111"/>
      <w:r w:rsidRPr="00E53BDD">
        <w:rPr>
          <w:rFonts w:ascii="Times New Roman" w:eastAsia="仿宋_GB2312" w:hAnsi="Times New Roman" w:cs="仿宋" w:hint="eastAsia"/>
          <w:b/>
          <w:bCs/>
          <w:szCs w:val="32"/>
        </w:rPr>
        <w:t>7.</w:t>
      </w:r>
      <w:r w:rsidRPr="00E53BDD">
        <w:rPr>
          <w:rFonts w:ascii="Times New Roman" w:eastAsia="仿宋_GB2312" w:hAnsi="Times New Roman" w:cs="仿宋" w:hint="eastAsia"/>
          <w:b/>
          <w:bCs/>
          <w:szCs w:val="32"/>
        </w:rPr>
        <w:t>完善知识产权运营机制</w:t>
      </w:r>
      <w:bookmarkEnd w:id="244"/>
      <w:bookmarkEnd w:id="245"/>
      <w:bookmarkEnd w:id="246"/>
      <w:bookmarkEnd w:id="247"/>
      <w:bookmarkEnd w:id="248"/>
      <w:bookmarkEnd w:id="249"/>
      <w:bookmarkEnd w:id="250"/>
      <w:bookmarkEnd w:id="251"/>
      <w:bookmarkEnd w:id="252"/>
    </w:p>
    <w:p w:rsidR="00833E93" w:rsidRDefault="00E53BDD">
      <w:pPr>
        <w:spacing w:line="560" w:lineRule="exact"/>
        <w:ind w:firstLine="640"/>
      </w:pPr>
      <w:r w:rsidRPr="00E53BDD">
        <w:rPr>
          <w:rFonts w:eastAsia="仿宋_GB2312" w:cs="仿宋" w:hint="eastAsia"/>
          <w:sz w:val="32"/>
          <w:szCs w:val="32"/>
        </w:rPr>
        <w:t>完善落实知识产权金融扶持政策措施，建立健全工作体系和服务机制，优化知识产权金融发展环境，促进企业创新发展。加强对企业知识产权融资的指导和服务，开展针对企业知识产权质押融资的宣讲和培训，使企业深入了解相关扶持政策、融资渠道等信息。探索设立产业知识产权联盟、专利池共享机制及相互许可机制，充分利用各地产业发展优势，集中产业链上中下游企业，实现企业之间高价值专利资源互通，在新形势下激活产业知识产权运营新要素。</w:t>
      </w:r>
    </w:p>
    <w:p w:rsidR="00833E93" w:rsidRPr="00E53BDD" w:rsidRDefault="00E53BDD">
      <w:pPr>
        <w:pStyle w:val="2"/>
        <w:numPr>
          <w:ilvl w:val="1"/>
          <w:numId w:val="0"/>
        </w:numPr>
        <w:ind w:firstLineChars="200" w:firstLine="643"/>
        <w:rPr>
          <w:rFonts w:ascii="Times New Roman" w:eastAsia="仿宋_GB2312" w:hAnsi="Times New Roman" w:cs="仿宋"/>
          <w:b/>
          <w:bCs/>
          <w:szCs w:val="32"/>
        </w:rPr>
      </w:pPr>
      <w:bookmarkStart w:id="253" w:name="_Toc20001"/>
      <w:bookmarkStart w:id="254" w:name="_Toc14373"/>
      <w:bookmarkStart w:id="255" w:name="_Toc4965"/>
      <w:bookmarkStart w:id="256" w:name="_Toc23484"/>
      <w:bookmarkStart w:id="257" w:name="_Toc19473"/>
      <w:bookmarkStart w:id="258" w:name="_Toc10901"/>
      <w:bookmarkStart w:id="259" w:name="_Toc30320"/>
      <w:bookmarkStart w:id="260" w:name="_Toc25225"/>
      <w:bookmarkStart w:id="261" w:name="_Toc2289"/>
      <w:r w:rsidRPr="00E53BDD">
        <w:rPr>
          <w:rFonts w:ascii="Times New Roman" w:eastAsia="仿宋_GB2312" w:hAnsi="Times New Roman" w:cs="仿宋" w:hint="eastAsia"/>
          <w:b/>
          <w:bCs/>
          <w:szCs w:val="32"/>
        </w:rPr>
        <w:t>8.</w:t>
      </w:r>
      <w:r w:rsidRPr="00E53BDD">
        <w:rPr>
          <w:rFonts w:ascii="Times New Roman" w:eastAsia="仿宋_GB2312" w:hAnsi="Times New Roman" w:cs="仿宋" w:hint="eastAsia"/>
          <w:b/>
          <w:bCs/>
          <w:szCs w:val="32"/>
        </w:rPr>
        <w:t>推动知识产权与资本融合</w:t>
      </w:r>
      <w:bookmarkEnd w:id="253"/>
      <w:bookmarkEnd w:id="254"/>
      <w:bookmarkEnd w:id="255"/>
      <w:bookmarkEnd w:id="256"/>
      <w:bookmarkEnd w:id="257"/>
      <w:bookmarkEnd w:id="258"/>
      <w:bookmarkEnd w:id="259"/>
      <w:bookmarkEnd w:id="260"/>
      <w:bookmarkEnd w:id="261"/>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引导银行、保险、担保、融资等金融服务机构创新知识产权金融产品，拓宽知识产权融资业务，扩大金融服务供给。支持金融服务机构探索知识产权质押融资、保险、证券化等</w:t>
      </w:r>
      <w:r w:rsidRPr="00E53BDD">
        <w:rPr>
          <w:rFonts w:eastAsia="仿宋_GB2312" w:cs="仿宋" w:hint="eastAsia"/>
          <w:sz w:val="32"/>
          <w:szCs w:val="32"/>
        </w:rPr>
        <w:lastRenderedPageBreak/>
        <w:t>知识产权融资模式，进一步拓宽企业融资渠道，减轻企业融资成本，助力企业解决融资难题。开展知识产权金融“入园惠企”行动，组织银企对接活动，畅通银行和企业的信息交流渠道，加强信息共享，激发企业知识产权工作积极性。结合太仓市重点产业企业需求，推动保险公司开展知识产权海外侵权责任险和境外展会专利纠纷险等新业务。大力推动知识产权资本化，鼓励权利人以知识产权作价入股，引导企业对拥有知识产权的企业进行收购并购，帮助企业拓宽融资渠道。</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262" w:name="_Toc3178"/>
      <w:bookmarkStart w:id="263" w:name="_Toc12050"/>
      <w:bookmarkStart w:id="264" w:name="_Toc12773"/>
      <w:bookmarkStart w:id="265" w:name="_Toc18932"/>
      <w:bookmarkStart w:id="266" w:name="_Toc24183"/>
      <w:bookmarkStart w:id="267" w:name="_Toc21076"/>
      <w:bookmarkStart w:id="268" w:name="_Toc15873"/>
      <w:bookmarkStart w:id="269" w:name="_Toc18315"/>
      <w:bookmarkStart w:id="270" w:name="_Toc12391"/>
      <w:r w:rsidRPr="00E53BDD">
        <w:rPr>
          <w:rFonts w:ascii="Times New Roman" w:eastAsia="仿宋_GB2312" w:hAnsi="Times New Roman" w:cs="仿宋" w:hint="eastAsia"/>
          <w:b/>
          <w:bCs/>
          <w:sz w:val="30"/>
          <w:szCs w:val="30"/>
        </w:rPr>
        <w:t>9.</w:t>
      </w:r>
      <w:r w:rsidRPr="00E53BDD">
        <w:rPr>
          <w:rFonts w:ascii="Times New Roman" w:eastAsia="仿宋_GB2312" w:hAnsi="Times New Roman" w:cs="仿宋" w:hint="eastAsia"/>
          <w:b/>
          <w:bCs/>
          <w:sz w:val="30"/>
          <w:szCs w:val="30"/>
        </w:rPr>
        <w:t>促进知识产权成果转化</w:t>
      </w:r>
      <w:bookmarkEnd w:id="262"/>
      <w:bookmarkEnd w:id="263"/>
      <w:bookmarkEnd w:id="264"/>
      <w:bookmarkEnd w:id="265"/>
      <w:bookmarkEnd w:id="266"/>
      <w:bookmarkEnd w:id="267"/>
      <w:bookmarkEnd w:id="268"/>
      <w:bookmarkEnd w:id="269"/>
      <w:bookmarkEnd w:id="270"/>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依托西北工业大学长三角研究院等高校资源，建立知识产权产学研服协同发展新机制，培育高价值专利，强化重点产业和企业专利布局。引导企业与高校院所建立深度合作，发挥高校、科研院所的人才优势，激发企业创新发展需求，促进科技成果向现实生产力转化。引导国内外高校院所、科研机构项目落户太仓，开展专利自由实施许可，提高转化实施的精准性和成功率。</w:t>
      </w:r>
    </w:p>
    <w:p w:rsidR="00833E93" w:rsidRPr="00E53BDD" w:rsidRDefault="00E53BDD">
      <w:pPr>
        <w:pStyle w:val="2"/>
        <w:ind w:firstLine="640"/>
        <w:rPr>
          <w:rFonts w:eastAsia="楷体_GB2312"/>
        </w:rPr>
      </w:pPr>
      <w:bookmarkStart w:id="271" w:name="_Toc24772"/>
      <w:bookmarkStart w:id="272" w:name="_Toc12001"/>
      <w:bookmarkStart w:id="273" w:name="_Toc31641"/>
      <w:bookmarkStart w:id="274" w:name="_Toc12643"/>
      <w:bookmarkStart w:id="275" w:name="_Toc5247"/>
      <w:bookmarkStart w:id="276" w:name="_Toc24880"/>
      <w:bookmarkStart w:id="277" w:name="_Toc16180"/>
      <w:bookmarkStart w:id="278" w:name="_Toc32593"/>
      <w:bookmarkStart w:id="279" w:name="_Toc4318"/>
      <w:r w:rsidRPr="00E53BDD">
        <w:rPr>
          <w:rFonts w:eastAsia="楷体_GB2312"/>
        </w:rPr>
        <w:t>强化知识产权</w:t>
      </w:r>
      <w:r w:rsidRPr="00E53BDD">
        <w:rPr>
          <w:rFonts w:eastAsia="楷体_GB2312" w:hint="eastAsia"/>
        </w:rPr>
        <w:t>全链条</w:t>
      </w:r>
      <w:r w:rsidRPr="00E53BDD">
        <w:rPr>
          <w:rFonts w:eastAsia="楷体_GB2312"/>
        </w:rPr>
        <w:t>保护</w:t>
      </w:r>
      <w:bookmarkEnd w:id="271"/>
      <w:bookmarkEnd w:id="272"/>
      <w:bookmarkEnd w:id="273"/>
      <w:bookmarkEnd w:id="274"/>
      <w:bookmarkEnd w:id="275"/>
      <w:bookmarkEnd w:id="276"/>
      <w:bookmarkEnd w:id="277"/>
      <w:bookmarkEnd w:id="278"/>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280" w:name="_Toc14388"/>
      <w:bookmarkStart w:id="281" w:name="_Toc282"/>
      <w:bookmarkStart w:id="282" w:name="_Toc6617"/>
      <w:bookmarkStart w:id="283" w:name="_Toc5483"/>
      <w:bookmarkStart w:id="284" w:name="_Toc29566"/>
      <w:bookmarkStart w:id="285" w:name="_Toc6358"/>
      <w:bookmarkStart w:id="286" w:name="_Toc2786"/>
      <w:bookmarkStart w:id="287" w:name="_Toc31912"/>
      <w:r w:rsidRPr="00E53BDD">
        <w:rPr>
          <w:rFonts w:ascii="Times New Roman" w:eastAsia="仿宋_GB2312" w:hAnsi="Times New Roman" w:cs="仿宋" w:hint="eastAsia"/>
          <w:b/>
          <w:bCs/>
          <w:sz w:val="30"/>
          <w:szCs w:val="30"/>
        </w:rPr>
        <w:t>10.</w:t>
      </w:r>
      <w:r w:rsidRPr="00E53BDD">
        <w:rPr>
          <w:rFonts w:ascii="Times New Roman" w:eastAsia="仿宋_GB2312" w:hAnsi="Times New Roman" w:cs="仿宋" w:hint="eastAsia"/>
          <w:b/>
          <w:bCs/>
          <w:sz w:val="30"/>
          <w:szCs w:val="30"/>
        </w:rPr>
        <w:t>完善知识产权大保护机制</w:t>
      </w:r>
      <w:bookmarkEnd w:id="280"/>
      <w:bookmarkEnd w:id="281"/>
      <w:bookmarkEnd w:id="282"/>
      <w:bookmarkEnd w:id="283"/>
      <w:bookmarkEnd w:id="284"/>
      <w:bookmarkEnd w:id="285"/>
      <w:bookmarkEnd w:id="286"/>
      <w:bookmarkEnd w:id="287"/>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构建</w:t>
      </w:r>
      <w:r w:rsidRPr="00E53BDD">
        <w:rPr>
          <w:rFonts w:eastAsia="仿宋_GB2312" w:cs="仿宋"/>
          <w:sz w:val="32"/>
          <w:szCs w:val="32"/>
        </w:rPr>
        <w:t>全市整体协调、上下联动、互为补充、多位一体</w:t>
      </w:r>
      <w:r w:rsidRPr="00E53BDD">
        <w:rPr>
          <w:rFonts w:eastAsia="仿宋_GB2312" w:cs="仿宋" w:hint="eastAsia"/>
          <w:sz w:val="32"/>
          <w:szCs w:val="32"/>
        </w:rPr>
        <w:t>的知识产权</w:t>
      </w:r>
      <w:r w:rsidRPr="00E53BDD">
        <w:rPr>
          <w:rFonts w:eastAsia="仿宋_GB2312" w:cs="仿宋"/>
          <w:sz w:val="32"/>
          <w:szCs w:val="32"/>
        </w:rPr>
        <w:t>联动</w:t>
      </w:r>
      <w:r w:rsidRPr="00E53BDD">
        <w:rPr>
          <w:rFonts w:eastAsia="仿宋_GB2312" w:cs="仿宋" w:hint="eastAsia"/>
          <w:sz w:val="32"/>
          <w:szCs w:val="32"/>
        </w:rPr>
        <w:t>保护体系，深化市场监管、法院、检察院、公安等部门协同合作。加快苏州知识产权保护中心太仓分中心与区镇、产业园区知识产权指导工作站建设步伐，形成覆盖全市、深入全面的知识产权保护网络。推动社会力量参与知</w:t>
      </w:r>
      <w:r w:rsidRPr="00E53BDD">
        <w:rPr>
          <w:rFonts w:eastAsia="仿宋_GB2312" w:cs="仿宋" w:hint="eastAsia"/>
          <w:sz w:val="32"/>
          <w:szCs w:val="32"/>
        </w:rPr>
        <w:lastRenderedPageBreak/>
        <w:t>识产权保护工作，构建知识产权行政执法、司法审判、仲裁调解、社会保护系统工程，“十四五”期间知识产权保护社会满意度达</w:t>
      </w:r>
      <w:r w:rsidRPr="00E53BDD">
        <w:rPr>
          <w:rFonts w:eastAsia="仿宋_GB2312" w:cs="仿宋" w:hint="eastAsia"/>
          <w:sz w:val="32"/>
          <w:szCs w:val="32"/>
        </w:rPr>
        <w:t>85</w:t>
      </w:r>
      <w:r w:rsidRPr="00E53BDD">
        <w:rPr>
          <w:rFonts w:eastAsia="仿宋_GB2312" w:cs="仿宋" w:hint="eastAsia"/>
          <w:sz w:val="32"/>
          <w:szCs w:val="32"/>
        </w:rPr>
        <w:t>分以上。推进江苏知识产权强省建设区域示范工作，确保示范创建工作顺利验收。</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288" w:name="_Toc3205"/>
      <w:bookmarkStart w:id="289" w:name="_Toc20032"/>
      <w:bookmarkStart w:id="290" w:name="_Toc4051"/>
      <w:bookmarkStart w:id="291" w:name="_Toc4276"/>
      <w:bookmarkStart w:id="292" w:name="_Toc32278"/>
      <w:bookmarkStart w:id="293" w:name="_Toc22031"/>
      <w:bookmarkStart w:id="294" w:name="_Toc2151"/>
      <w:bookmarkStart w:id="295" w:name="_Toc774"/>
      <w:r w:rsidRPr="00E53BDD">
        <w:rPr>
          <w:rFonts w:ascii="Times New Roman" w:eastAsia="仿宋_GB2312" w:hAnsi="Times New Roman" w:cs="仿宋" w:hint="eastAsia"/>
          <w:b/>
          <w:bCs/>
          <w:sz w:val="30"/>
          <w:szCs w:val="30"/>
        </w:rPr>
        <w:t>11.</w:t>
      </w:r>
      <w:r w:rsidRPr="00E53BDD">
        <w:rPr>
          <w:rFonts w:ascii="Times New Roman" w:eastAsia="仿宋_GB2312" w:hAnsi="Times New Roman" w:cs="仿宋" w:hint="eastAsia"/>
          <w:b/>
          <w:bCs/>
          <w:sz w:val="30"/>
          <w:szCs w:val="30"/>
        </w:rPr>
        <w:t>提升知识产权保护</w:t>
      </w:r>
      <w:bookmarkEnd w:id="288"/>
      <w:bookmarkEnd w:id="289"/>
      <w:bookmarkEnd w:id="290"/>
      <w:bookmarkEnd w:id="291"/>
      <w:bookmarkEnd w:id="292"/>
      <w:bookmarkEnd w:id="293"/>
      <w:r w:rsidRPr="00E53BDD">
        <w:rPr>
          <w:rFonts w:ascii="Times New Roman" w:eastAsia="仿宋_GB2312" w:hAnsi="Times New Roman" w:cs="仿宋" w:hint="eastAsia"/>
          <w:b/>
          <w:bCs/>
          <w:sz w:val="30"/>
          <w:szCs w:val="30"/>
        </w:rPr>
        <w:t>效能</w:t>
      </w:r>
      <w:bookmarkEnd w:id="294"/>
      <w:bookmarkEnd w:id="295"/>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完善知识产权“两法衔接”工作机制建设，依托检察院、法院派驻市场监管局“检察室”、巡回审判点，探索知识产权司法与行政联动保护工作机制。严格知识产权行政保护，高质量实施《江苏省知识产权行政保护工作方案》，加强反不正当竞争执法工作，严厉打击侵犯商业秘密、商标假冒侵权等行为整治力度，加大对知识产权侵权集中领域和风险易发领域监督检查，推进专利纠纷行政裁决、商标执法查办向上请示等机制常态化运行。加大知识产权司法保护力度，在个案中合理分配举证责任，以知识产权市场价格为指引，充分关注侵权人主观过错程度，体现法定赔偿中的惩罚性考量因素，增强权利人维权获得感，“十四五”期间知识产权民事一审案件服判息诉率达</w:t>
      </w:r>
      <w:r w:rsidRPr="00E53BDD">
        <w:rPr>
          <w:rFonts w:eastAsia="仿宋_GB2312" w:cs="仿宋" w:hint="eastAsia"/>
          <w:sz w:val="32"/>
          <w:szCs w:val="32"/>
        </w:rPr>
        <w:t>93%</w:t>
      </w:r>
      <w:r w:rsidRPr="00E53BDD">
        <w:rPr>
          <w:rFonts w:eastAsia="仿宋_GB2312" w:cs="仿宋" w:hint="eastAsia"/>
          <w:sz w:val="32"/>
          <w:szCs w:val="32"/>
        </w:rPr>
        <w:t>，提升知识产权审判质效，锻造高水平办案团队。</w:t>
      </w:r>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强化商业秘密保护“民、行、刑”协作</w:t>
      </w:r>
      <w:r w:rsidRPr="00E53BDD">
        <w:rPr>
          <w:rFonts w:eastAsia="仿宋_GB2312" w:cs="仿宋" w:hint="eastAsia"/>
          <w:sz w:val="32"/>
          <w:szCs w:val="32"/>
        </w:rPr>
        <w:t>,</w:t>
      </w:r>
      <w:r w:rsidRPr="00E53BDD">
        <w:rPr>
          <w:rFonts w:eastAsia="仿宋_GB2312" w:cs="仿宋" w:hint="eastAsia"/>
          <w:sz w:val="32"/>
          <w:szCs w:val="32"/>
        </w:rPr>
        <w:t>开展商业秘密保护示范点、保护基地建设，积极对接各类社会资源，推进知识产权侵权纠纷技术检验鉴定工作。支持企业积极申报《苏州市知识产权重点企业保护名录》，加强重点企业知识产权保护监测。推进地理标志保护与乡村振兴战略深度融合，实现地理标志赋能地方特色经济发展。</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296" w:name="_Toc17115"/>
      <w:bookmarkStart w:id="297" w:name="_Toc16337"/>
      <w:bookmarkStart w:id="298" w:name="_Toc22255"/>
      <w:bookmarkStart w:id="299" w:name="_Toc23314"/>
      <w:bookmarkStart w:id="300" w:name="_Toc2097"/>
      <w:bookmarkStart w:id="301" w:name="_Toc32685"/>
      <w:bookmarkStart w:id="302" w:name="_Toc31047"/>
      <w:bookmarkStart w:id="303" w:name="_Toc17549"/>
      <w:r w:rsidRPr="00E53BDD">
        <w:rPr>
          <w:rFonts w:ascii="Times New Roman" w:eastAsia="仿宋_GB2312" w:hAnsi="Times New Roman" w:cs="仿宋" w:hint="eastAsia"/>
          <w:b/>
          <w:bCs/>
          <w:sz w:val="30"/>
          <w:szCs w:val="30"/>
        </w:rPr>
        <w:lastRenderedPageBreak/>
        <w:t>12.</w:t>
      </w:r>
      <w:r w:rsidRPr="00E53BDD">
        <w:rPr>
          <w:rFonts w:ascii="Times New Roman" w:eastAsia="仿宋_GB2312" w:hAnsi="Times New Roman" w:cs="仿宋" w:hint="eastAsia"/>
          <w:b/>
          <w:bCs/>
          <w:sz w:val="30"/>
          <w:szCs w:val="30"/>
        </w:rPr>
        <w:t>构建知识产权长效保护机制</w:t>
      </w:r>
      <w:bookmarkEnd w:id="296"/>
      <w:bookmarkEnd w:id="297"/>
      <w:bookmarkEnd w:id="298"/>
      <w:bookmarkEnd w:id="299"/>
      <w:bookmarkEnd w:id="300"/>
      <w:bookmarkEnd w:id="301"/>
      <w:bookmarkEnd w:id="302"/>
      <w:bookmarkEnd w:id="303"/>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探索知识产权信用监管，归集汇总知识产权行政执法、司法审判信息，形成市场主体重复侵权、恶意诉讼等违法行为“失信名单”及信用修复制度。深入推进“正版正货”承诺计划，发挥示范标杆作用，逐步形成专利、商标、著作权、商业秘密等领域知识产权不侵权承诺白名单。推进知识产权监管现代化升级，合理利用大数据、</w:t>
      </w:r>
      <w:r w:rsidRPr="00E53BDD">
        <w:rPr>
          <w:rFonts w:eastAsia="仿宋_GB2312" w:cs="仿宋" w:hint="eastAsia"/>
          <w:sz w:val="32"/>
          <w:szCs w:val="32"/>
        </w:rPr>
        <w:t>5G</w:t>
      </w:r>
      <w:r w:rsidRPr="00E53BDD">
        <w:rPr>
          <w:rFonts w:eastAsia="仿宋_GB2312" w:cs="仿宋" w:hint="eastAsia"/>
          <w:sz w:val="32"/>
          <w:szCs w:val="32"/>
        </w:rPr>
        <w:t>、区块链、人工智能等技术，优化太仓专利分析监控系统等技术平台，逐步实现商标抢注、假冒专利、作品侵权等领域智能化监管。畅通知识产权侵权投诉举报渠道，规范受理处办程序，提高核查、办结效率。</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04" w:name="_Toc7486"/>
      <w:bookmarkStart w:id="305" w:name="_Toc6385"/>
      <w:bookmarkStart w:id="306" w:name="_Toc15036"/>
      <w:bookmarkStart w:id="307" w:name="_Toc12653"/>
      <w:bookmarkStart w:id="308" w:name="_Toc9755"/>
      <w:bookmarkStart w:id="309" w:name="_Toc22113"/>
      <w:bookmarkStart w:id="310" w:name="_Toc6425"/>
      <w:bookmarkStart w:id="311" w:name="_Toc30746"/>
      <w:r w:rsidRPr="00E53BDD">
        <w:rPr>
          <w:rFonts w:ascii="Times New Roman" w:eastAsia="仿宋_GB2312" w:hAnsi="Times New Roman" w:cs="仿宋" w:hint="eastAsia"/>
          <w:b/>
          <w:bCs/>
          <w:sz w:val="30"/>
          <w:szCs w:val="30"/>
        </w:rPr>
        <w:t>13.</w:t>
      </w:r>
      <w:r w:rsidRPr="00E53BDD">
        <w:rPr>
          <w:rFonts w:ascii="Times New Roman" w:eastAsia="仿宋_GB2312" w:hAnsi="Times New Roman" w:cs="仿宋" w:hint="eastAsia"/>
          <w:b/>
          <w:bCs/>
          <w:sz w:val="30"/>
          <w:szCs w:val="30"/>
        </w:rPr>
        <w:t>健全知识产权纠纷多元化解机制</w:t>
      </w:r>
      <w:bookmarkEnd w:id="304"/>
      <w:bookmarkEnd w:id="305"/>
      <w:bookmarkEnd w:id="306"/>
      <w:bookmarkEnd w:id="307"/>
      <w:bookmarkEnd w:id="308"/>
      <w:bookmarkEnd w:id="309"/>
      <w:bookmarkEnd w:id="310"/>
      <w:bookmarkEnd w:id="311"/>
    </w:p>
    <w:p w:rsidR="00833E93" w:rsidRPr="00E53BDD" w:rsidRDefault="00E53BDD">
      <w:pPr>
        <w:pStyle w:val="ad"/>
        <w:ind w:firstLine="640"/>
        <w:rPr>
          <w:rFonts w:eastAsia="仿宋_GB2312" w:hint="default"/>
        </w:rPr>
      </w:pPr>
      <w:r w:rsidRPr="00E53BDD">
        <w:rPr>
          <w:rFonts w:eastAsia="仿宋_GB2312"/>
        </w:rPr>
        <w:t>完善知识产权纠纷人民调解制度，探索在区镇司法所开展知识产权纠纷人民调解，建立知识产权纠纷市镇两级调解工作机制，提高知识产权纠纷解决效率。成立太仓市知识产权保护协会，引导律师协会、行业协会、重点企业共同推进知识产权公益维权援助、民间调解专业队伍建设，引导社会力量参与知识产权纠纷调解工作。构建多元化知识产权纠纷非诉化解机制，畅通知识产权维权与救济渠道，提升创新主体维权与纠纷应对能力，发挥社会力量协同高效保护优势。</w:t>
      </w:r>
    </w:p>
    <w:p w:rsidR="00833E93" w:rsidRPr="00E53BDD" w:rsidRDefault="00E53BDD">
      <w:pPr>
        <w:pStyle w:val="2"/>
        <w:ind w:firstLine="640"/>
        <w:rPr>
          <w:rFonts w:eastAsia="楷体_GB2312"/>
        </w:rPr>
      </w:pPr>
      <w:bookmarkStart w:id="312" w:name="_Toc3781"/>
      <w:bookmarkStart w:id="313" w:name="_Toc13180"/>
      <w:bookmarkStart w:id="314" w:name="_Toc16487"/>
      <w:bookmarkStart w:id="315" w:name="_Toc27601"/>
      <w:bookmarkStart w:id="316" w:name="_Toc16573"/>
      <w:bookmarkStart w:id="317" w:name="_Toc28568"/>
      <w:bookmarkStart w:id="318" w:name="_Toc15743"/>
      <w:bookmarkStart w:id="319" w:name="_Toc10432"/>
      <w:r w:rsidRPr="00E53BDD">
        <w:rPr>
          <w:rFonts w:eastAsia="楷体_GB2312" w:hint="eastAsia"/>
        </w:rPr>
        <w:t>优化知识产权服务体系</w:t>
      </w:r>
      <w:bookmarkEnd w:id="279"/>
      <w:bookmarkEnd w:id="312"/>
      <w:bookmarkEnd w:id="313"/>
      <w:bookmarkEnd w:id="314"/>
      <w:bookmarkEnd w:id="315"/>
      <w:bookmarkEnd w:id="316"/>
      <w:bookmarkEnd w:id="317"/>
      <w:bookmarkEnd w:id="318"/>
      <w:bookmarkEnd w:id="319"/>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20" w:name="_Toc12613"/>
      <w:bookmarkStart w:id="321" w:name="_Toc36"/>
      <w:bookmarkStart w:id="322" w:name="_Toc23959"/>
      <w:bookmarkStart w:id="323" w:name="_Toc10971"/>
      <w:bookmarkStart w:id="324" w:name="_Toc5217"/>
      <w:bookmarkStart w:id="325" w:name="_Toc8138"/>
      <w:bookmarkStart w:id="326" w:name="_Toc856"/>
      <w:bookmarkStart w:id="327" w:name="_Toc26616"/>
      <w:bookmarkStart w:id="328" w:name="_Toc6937"/>
      <w:r w:rsidRPr="00E53BDD">
        <w:rPr>
          <w:rFonts w:ascii="Times New Roman" w:eastAsia="仿宋_GB2312" w:hAnsi="Times New Roman" w:cs="仿宋" w:hint="eastAsia"/>
          <w:b/>
          <w:bCs/>
          <w:sz w:val="30"/>
          <w:szCs w:val="30"/>
        </w:rPr>
        <w:t>14.</w:t>
      </w:r>
      <w:r w:rsidRPr="00E53BDD">
        <w:rPr>
          <w:rFonts w:ascii="Times New Roman" w:eastAsia="仿宋_GB2312" w:hAnsi="Times New Roman" w:cs="仿宋" w:hint="eastAsia"/>
          <w:b/>
          <w:bCs/>
          <w:sz w:val="30"/>
          <w:szCs w:val="30"/>
        </w:rPr>
        <w:t>完善知识产权公共服务平台</w:t>
      </w:r>
      <w:bookmarkEnd w:id="320"/>
      <w:bookmarkEnd w:id="321"/>
      <w:bookmarkEnd w:id="322"/>
      <w:bookmarkEnd w:id="323"/>
      <w:bookmarkEnd w:id="324"/>
      <w:bookmarkEnd w:id="325"/>
      <w:bookmarkEnd w:id="326"/>
      <w:bookmarkEnd w:id="327"/>
      <w:bookmarkEnd w:id="328"/>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不断优化完善知识产权公共服务能力，为创新主体提供高质量服务。建设苏州知识产权保护中心太仓分中心（专栏</w:t>
      </w:r>
      <w:r w:rsidRPr="00E53BDD">
        <w:rPr>
          <w:rFonts w:eastAsia="仿宋_GB2312" w:cs="仿宋" w:hint="eastAsia"/>
          <w:sz w:val="32"/>
          <w:szCs w:val="32"/>
        </w:rPr>
        <w:lastRenderedPageBreak/>
        <w:t>2</w:t>
      </w:r>
      <w:r w:rsidRPr="00E53BDD">
        <w:rPr>
          <w:rFonts w:eastAsia="仿宋_GB2312" w:cs="仿宋" w:hint="eastAsia"/>
          <w:sz w:val="32"/>
          <w:szCs w:val="32"/>
        </w:rPr>
        <w:t>），聚焦太仓航空航天、生物医药、智能制造等重点产业，为企业提供“一站式”知识产权纠纷快速解决方案，以及海外知识产权纠纷应对指导。围绕太仓分中心主要业务工作，设立知识产权保护指导站，加强商标、商业秘密、地理标志等知识产权保护工作，将服务工作向全市</w:t>
      </w:r>
      <w:r w:rsidRPr="00E53BDD">
        <w:rPr>
          <w:rFonts w:eastAsia="仿宋_GB2312" w:cs="仿宋" w:hint="eastAsia"/>
          <w:sz w:val="32"/>
          <w:szCs w:val="32"/>
        </w:rPr>
        <w:t>7</w:t>
      </w:r>
      <w:r w:rsidRPr="00E53BDD">
        <w:rPr>
          <w:rFonts w:eastAsia="仿宋_GB2312" w:cs="仿宋" w:hint="eastAsia"/>
          <w:sz w:val="32"/>
          <w:szCs w:val="32"/>
        </w:rPr>
        <w:t>个区镇延伸，定期开展驻点服务，形成“</w:t>
      </w:r>
      <w:r w:rsidRPr="00E53BDD">
        <w:rPr>
          <w:rFonts w:eastAsia="仿宋_GB2312" w:cs="仿宋" w:hint="eastAsia"/>
          <w:sz w:val="32"/>
          <w:szCs w:val="32"/>
        </w:rPr>
        <w:t>1+7</w:t>
      </w:r>
      <w:r w:rsidRPr="00E53BDD">
        <w:rPr>
          <w:rFonts w:eastAsia="仿宋_GB2312" w:cs="仿宋" w:hint="eastAsia"/>
          <w:sz w:val="32"/>
          <w:szCs w:val="32"/>
        </w:rPr>
        <w:t>”网络化服务模式。</w:t>
      </w:r>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成立太仓市企业上市知识产权服务中心，强化精准服务、高质量发展导向，立足企业主体地位、指导并帮助企业快速补足知识产权领域短板，推动一批创新竞争力高、行业带动性强的优质企业挂牌上市。</w:t>
      </w:r>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针对太仓市重点产业，探索建立知识产权大数据平台，为太仓市创新主体提供基础数据、行业资讯、政策指引、海外知识产权等知识产权特色化服务，为产业企业提供丰富的资源数据。</w:t>
      </w:r>
    </w:p>
    <w:tbl>
      <w:tblPr>
        <w:tblpPr w:leftFromText="180" w:rightFromText="180" w:vertAnchor="text" w:horzAnchor="page" w:tblpX="1995" w:tblpY="29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0"/>
      </w:tblGrid>
      <w:tr w:rsidR="00833E93">
        <w:trPr>
          <w:trHeight w:val="618"/>
        </w:trPr>
        <w:tc>
          <w:tcPr>
            <w:tcW w:w="8290" w:type="dxa"/>
            <w:noWrap/>
            <w:vAlign w:val="center"/>
          </w:tcPr>
          <w:p w:rsidR="00833E93" w:rsidRDefault="00E53BDD">
            <w:pPr>
              <w:adjustRightInd w:val="0"/>
              <w:spacing w:line="560" w:lineRule="exact"/>
              <w:ind w:firstLineChars="0" w:firstLine="0"/>
              <w:jc w:val="center"/>
              <w:rPr>
                <w:rFonts w:ascii="方正黑体_GBK" w:eastAsia="黑体"/>
              </w:rPr>
            </w:pPr>
            <w:r>
              <w:rPr>
                <w:rFonts w:ascii="黑体" w:eastAsia="黑体" w:hAnsi="黑体" w:cs="黑体" w:hint="eastAsia"/>
                <w:sz w:val="28"/>
                <w:szCs w:val="28"/>
              </w:rPr>
              <w:t>专栏2建设苏州知识产权保护中心太仓分中心</w:t>
            </w:r>
          </w:p>
        </w:tc>
      </w:tr>
      <w:tr w:rsidR="00833E93">
        <w:trPr>
          <w:trHeight w:val="416"/>
        </w:trPr>
        <w:tc>
          <w:tcPr>
            <w:tcW w:w="8290" w:type="dxa"/>
            <w:noWrap/>
            <w:vAlign w:val="center"/>
          </w:tcPr>
          <w:p w:rsidR="00833E93" w:rsidRPr="00E53BDD" w:rsidRDefault="00E53BDD">
            <w:pPr>
              <w:pStyle w:val="a9"/>
              <w:widowControl/>
              <w:spacing w:before="350" w:afterAutospacing="0" w:line="400" w:lineRule="exact"/>
              <w:ind w:firstLine="480"/>
              <w:rPr>
                <w:rFonts w:ascii="仿宋" w:eastAsia="仿宋_GB2312" w:hAnsi="仿宋" w:cs="仿宋"/>
                <w:kern w:val="2"/>
                <w:sz w:val="32"/>
                <w:szCs w:val="32"/>
              </w:rPr>
            </w:pPr>
            <w:r>
              <w:rPr>
                <w:rFonts w:ascii="仿宋_GB2312" w:eastAsia="仿宋_GB2312" w:hAnsi="楷体_GB2312" w:cs="楷体_GB2312" w:hint="eastAsia"/>
                <w:kern w:val="2"/>
              </w:rPr>
              <w:t>积极建设苏州知识产权保护中心太仓分中心，开展信息咨询、纠纷指导、快速维权、知识产权保护等工作，指导应对海外知识产权纠纷。在优质高效地推进各项建设工作的同时，积极探索具有行业特色、符合太仓实际的知识产权保护机制，引导太仓企业开展知识产权产业导航、知识产权运营转化等工作，促进产业高质量发展。</w:t>
            </w:r>
          </w:p>
        </w:tc>
      </w:tr>
    </w:tbl>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29" w:name="_Toc30314"/>
      <w:bookmarkStart w:id="330" w:name="_Toc4526"/>
      <w:bookmarkStart w:id="331" w:name="_Toc9860"/>
      <w:bookmarkStart w:id="332" w:name="_Toc23645"/>
      <w:bookmarkStart w:id="333" w:name="_Toc17586"/>
      <w:bookmarkStart w:id="334" w:name="_Toc16266"/>
      <w:bookmarkStart w:id="335" w:name="_Toc1979"/>
      <w:bookmarkStart w:id="336" w:name="_Toc32559"/>
      <w:bookmarkStart w:id="337" w:name="_Toc28539"/>
      <w:r w:rsidRPr="00E53BDD">
        <w:rPr>
          <w:rFonts w:ascii="Times New Roman" w:eastAsia="仿宋_GB2312" w:hAnsi="Times New Roman" w:cs="仿宋" w:hint="eastAsia"/>
          <w:b/>
          <w:bCs/>
          <w:sz w:val="30"/>
          <w:szCs w:val="30"/>
        </w:rPr>
        <w:t>15.</w:t>
      </w:r>
      <w:r w:rsidRPr="00E53BDD">
        <w:rPr>
          <w:rFonts w:ascii="Times New Roman" w:eastAsia="仿宋_GB2312" w:hAnsi="Times New Roman" w:cs="仿宋" w:hint="eastAsia"/>
          <w:b/>
          <w:bCs/>
          <w:sz w:val="30"/>
          <w:szCs w:val="30"/>
        </w:rPr>
        <w:t>增强知识产权专业服务能力</w:t>
      </w:r>
      <w:bookmarkEnd w:id="329"/>
      <w:bookmarkEnd w:id="330"/>
      <w:bookmarkEnd w:id="331"/>
      <w:bookmarkEnd w:id="332"/>
      <w:bookmarkEnd w:id="333"/>
      <w:bookmarkEnd w:id="334"/>
      <w:bookmarkEnd w:id="335"/>
      <w:bookmarkEnd w:id="336"/>
      <w:bookmarkEnd w:id="337"/>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开展知识产权服务能力提升行动，引导知识产权服务业高质量发展，促进知识产权服务机构做优做强。提升服务质量，拓展服务内容和范围，探索建立行业标准，培育一批知识产权服务优秀机构和人才。优化提升太仓市知识产权保护</w:t>
      </w:r>
      <w:r w:rsidRPr="00E53BDD">
        <w:rPr>
          <w:rFonts w:eastAsia="仿宋_GB2312" w:cs="仿宋" w:hint="eastAsia"/>
          <w:sz w:val="32"/>
          <w:szCs w:val="32"/>
        </w:rPr>
        <w:lastRenderedPageBreak/>
        <w:t>指导站建设，进一步规范知识产权管理工作，培养专业知识产权管理人员。创新知识产权服务模式，依托大数据、云计算、互联网等新技术，探索建立“线上</w:t>
      </w:r>
      <w:r w:rsidRPr="00E53BDD">
        <w:rPr>
          <w:rFonts w:eastAsia="仿宋_GB2312" w:cs="仿宋" w:hint="eastAsia"/>
          <w:sz w:val="32"/>
          <w:szCs w:val="32"/>
        </w:rPr>
        <w:t>+</w:t>
      </w:r>
      <w:r w:rsidRPr="00E53BDD">
        <w:rPr>
          <w:rFonts w:eastAsia="仿宋_GB2312" w:cs="仿宋" w:hint="eastAsia"/>
          <w:sz w:val="32"/>
          <w:szCs w:val="32"/>
        </w:rPr>
        <w:t>线下”双线服务，全面提升知识产权服务能力与水平。</w:t>
      </w:r>
    </w:p>
    <w:p w:rsidR="00833E93" w:rsidRPr="00E53BDD" w:rsidRDefault="00E53BDD">
      <w:pPr>
        <w:spacing w:line="560" w:lineRule="exact"/>
        <w:ind w:firstLine="640"/>
        <w:rPr>
          <w:rFonts w:ascii="仿宋" w:eastAsia="仿宋_GB2312" w:hAnsi="仿宋" w:cs="仿宋"/>
          <w:sz w:val="32"/>
          <w:szCs w:val="32"/>
        </w:rPr>
      </w:pPr>
      <w:r w:rsidRPr="00E53BDD">
        <w:rPr>
          <w:rFonts w:eastAsia="仿宋_GB2312" w:cs="仿宋" w:hint="eastAsia"/>
          <w:sz w:val="32"/>
          <w:szCs w:val="32"/>
        </w:rPr>
        <w:t>探索建设知识产权特色产业园区，引进国内外高端知识产权服务机构驻扎太仓，形成包括专利、商标、版权、商业秘密等知识产权代理服务、企业孵化、专利信息利用、预警分析、专利技术产业化、法律援助、宣传培训在内的较完整的知识产权服务产业链，提升高端化知识产权服务能力。</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38" w:name="_Toc4718"/>
      <w:bookmarkStart w:id="339" w:name="_Toc15232"/>
      <w:bookmarkStart w:id="340" w:name="_Toc26461"/>
      <w:bookmarkStart w:id="341" w:name="_Toc3280"/>
      <w:bookmarkStart w:id="342" w:name="_Toc630"/>
      <w:bookmarkStart w:id="343" w:name="_Toc14887"/>
      <w:bookmarkStart w:id="344" w:name="_Toc10372"/>
      <w:bookmarkStart w:id="345" w:name="_Toc14920"/>
      <w:bookmarkStart w:id="346" w:name="_Toc11626"/>
      <w:r w:rsidRPr="00E53BDD">
        <w:rPr>
          <w:rFonts w:ascii="Times New Roman" w:eastAsia="仿宋_GB2312" w:hAnsi="Times New Roman" w:cs="仿宋" w:hint="eastAsia"/>
          <w:b/>
          <w:bCs/>
          <w:sz w:val="30"/>
          <w:szCs w:val="30"/>
        </w:rPr>
        <w:t>16.</w:t>
      </w:r>
      <w:r w:rsidRPr="00E53BDD">
        <w:rPr>
          <w:rFonts w:ascii="Times New Roman" w:eastAsia="仿宋_GB2312" w:hAnsi="Times New Roman" w:cs="仿宋" w:hint="eastAsia"/>
          <w:b/>
          <w:bCs/>
          <w:sz w:val="30"/>
          <w:szCs w:val="30"/>
        </w:rPr>
        <w:t>加强知识产权服务行业监管</w:t>
      </w:r>
      <w:bookmarkEnd w:id="338"/>
      <w:bookmarkEnd w:id="339"/>
      <w:bookmarkEnd w:id="340"/>
      <w:bookmarkEnd w:id="341"/>
      <w:bookmarkEnd w:id="342"/>
      <w:bookmarkEnd w:id="343"/>
      <w:bookmarkEnd w:id="344"/>
      <w:bookmarkEnd w:id="345"/>
      <w:bookmarkEnd w:id="346"/>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规范知识产权服务机构运营，提升知识产权服务质量。认真落实《太仓市专利代理机构绩效评价管理办法》，加强知识产权服务业信用管理，积极引导服务机构依法规范开展业务，支撑服务质量和服务水平提升，促进专利代理机构规范化、品牌化建设，培育一批知识产权服务示范机构。引导服务机构成立太仓市知识产权保护协会、知识产权联盟等知识产权社会团体，动员全社会力量广泛参与。加强专利、商标代理行业发展状况统计分析，建立专利、商标代理机构评价指标体系，公开评价结果，促进专利商标代理服务质量提升。强化专利商标代理行为监管，依法打击商标恶意注册、非正常专利申请行为，促进专利商标代理市场规范、健康、有序发展。</w:t>
      </w:r>
    </w:p>
    <w:p w:rsidR="00833E93" w:rsidRPr="00E53BDD" w:rsidRDefault="00E53BDD">
      <w:pPr>
        <w:pStyle w:val="2"/>
        <w:ind w:firstLine="640"/>
        <w:rPr>
          <w:rFonts w:eastAsia="楷体_GB2312"/>
        </w:rPr>
      </w:pPr>
      <w:bookmarkStart w:id="347" w:name="_Toc7859"/>
      <w:bookmarkStart w:id="348" w:name="_Toc22217"/>
      <w:bookmarkStart w:id="349" w:name="_Toc17594"/>
      <w:bookmarkStart w:id="350" w:name="_Toc12616"/>
      <w:bookmarkStart w:id="351" w:name="_Toc1204"/>
      <w:bookmarkStart w:id="352" w:name="_Toc19211"/>
      <w:bookmarkStart w:id="353" w:name="_Toc8031"/>
      <w:bookmarkStart w:id="354" w:name="_Toc32763"/>
      <w:bookmarkStart w:id="355" w:name="_Toc22795"/>
      <w:r w:rsidRPr="00E53BDD">
        <w:rPr>
          <w:rFonts w:eastAsia="楷体_GB2312" w:hint="eastAsia"/>
        </w:rPr>
        <w:lastRenderedPageBreak/>
        <w:t>打造知识产权人才高地</w:t>
      </w:r>
      <w:bookmarkEnd w:id="347"/>
      <w:bookmarkEnd w:id="348"/>
      <w:bookmarkEnd w:id="349"/>
      <w:bookmarkEnd w:id="350"/>
      <w:bookmarkEnd w:id="351"/>
      <w:bookmarkEnd w:id="352"/>
      <w:bookmarkEnd w:id="353"/>
      <w:bookmarkEnd w:id="354"/>
      <w:bookmarkEnd w:id="355"/>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56" w:name="_Toc4760"/>
      <w:bookmarkStart w:id="357" w:name="_Toc14345"/>
      <w:bookmarkStart w:id="358" w:name="_Toc32103"/>
      <w:bookmarkStart w:id="359" w:name="_Toc3441"/>
      <w:bookmarkStart w:id="360" w:name="_Toc1659"/>
      <w:bookmarkStart w:id="361" w:name="_Toc18506"/>
      <w:bookmarkStart w:id="362" w:name="_Toc17815"/>
      <w:bookmarkStart w:id="363" w:name="_Toc14862"/>
      <w:bookmarkStart w:id="364" w:name="_Toc14843"/>
      <w:r w:rsidRPr="00E53BDD">
        <w:rPr>
          <w:rFonts w:ascii="Times New Roman" w:eastAsia="仿宋_GB2312" w:hAnsi="Times New Roman" w:cs="仿宋" w:hint="eastAsia"/>
          <w:b/>
          <w:bCs/>
          <w:sz w:val="30"/>
          <w:szCs w:val="30"/>
        </w:rPr>
        <w:t>17.</w:t>
      </w:r>
      <w:r w:rsidRPr="00E53BDD">
        <w:rPr>
          <w:rFonts w:ascii="Times New Roman" w:eastAsia="仿宋_GB2312" w:hAnsi="Times New Roman" w:cs="仿宋" w:hint="eastAsia"/>
          <w:b/>
          <w:bCs/>
          <w:sz w:val="30"/>
          <w:szCs w:val="30"/>
        </w:rPr>
        <w:t>营造知识产权人才发展环境</w:t>
      </w:r>
      <w:bookmarkEnd w:id="356"/>
      <w:bookmarkEnd w:id="357"/>
      <w:bookmarkEnd w:id="358"/>
      <w:bookmarkEnd w:id="359"/>
      <w:bookmarkEnd w:id="360"/>
      <w:bookmarkEnd w:id="361"/>
      <w:bookmarkEnd w:id="362"/>
      <w:bookmarkEnd w:id="363"/>
      <w:bookmarkEnd w:id="364"/>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推进知识产权人才服务平台建成，打造有利于人才发展与交流的公共服务平台，实施知识产权人才入库工程，加强与国家级、长三角地区、江苏省和苏州市知识产权人才库衔接，实现人才资源互通、信息共享机制，落实人才优惠扶持政策。在本市有关部门和企事业单位推行公职律师、公司律师、法律顾问制度，促进知识产权工作法治化。深入实施大院名校引才计划，加强与苏州大学王健法学院、西北工业大学太仓校区等地方高校合作，支持德国高校、科研院所在太设立分支机构，共同开展知识产权人才培养项目。利用“太湖知英”等人才对接交流服务，帮助企业、机构更好地引进知识产权高层次人才。</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65" w:name="_Toc24577"/>
      <w:bookmarkStart w:id="366" w:name="_Toc20426"/>
      <w:bookmarkStart w:id="367" w:name="_Toc26742"/>
      <w:bookmarkStart w:id="368" w:name="_Toc23009"/>
      <w:bookmarkStart w:id="369" w:name="_Toc26662"/>
      <w:bookmarkStart w:id="370" w:name="_Toc17954"/>
      <w:bookmarkStart w:id="371" w:name="_Toc18291"/>
      <w:bookmarkStart w:id="372" w:name="_Toc31907"/>
      <w:bookmarkStart w:id="373" w:name="_Toc25182"/>
      <w:r w:rsidRPr="00E53BDD">
        <w:rPr>
          <w:rFonts w:ascii="Times New Roman" w:eastAsia="仿宋_GB2312" w:hAnsi="Times New Roman" w:cs="仿宋" w:hint="eastAsia"/>
          <w:b/>
          <w:bCs/>
          <w:sz w:val="30"/>
          <w:szCs w:val="30"/>
        </w:rPr>
        <w:t>18.</w:t>
      </w:r>
      <w:r w:rsidRPr="00E53BDD">
        <w:rPr>
          <w:rFonts w:ascii="Times New Roman" w:eastAsia="仿宋_GB2312" w:hAnsi="Times New Roman" w:cs="仿宋" w:hint="eastAsia"/>
          <w:b/>
          <w:bCs/>
          <w:sz w:val="30"/>
          <w:szCs w:val="30"/>
        </w:rPr>
        <w:t>加大知识产权人才培养力度</w:t>
      </w:r>
      <w:bookmarkEnd w:id="365"/>
      <w:bookmarkEnd w:id="366"/>
      <w:bookmarkEnd w:id="367"/>
      <w:bookmarkEnd w:id="368"/>
      <w:bookmarkEnd w:id="369"/>
      <w:bookmarkEnd w:id="370"/>
      <w:bookmarkEnd w:id="371"/>
      <w:bookmarkEnd w:id="372"/>
      <w:bookmarkEnd w:id="373"/>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加大对知识产权领军人才、知识产权骨干人才等高端人才的培养力度，积极扩大经济师（知识产权师）职业资格的持有人数，加大知识产权工程师的培训力度。提升知识产权服务业从业人员的素质，增加专利代理师持证上岗人数。实施知识产权人才分层次培养，以购买服务的方式，鼓励社会机构开展知识产权相关培训，委托相关单位有计划、有重点地开展知识产权各类人才的专题培训，年组织培训</w:t>
      </w:r>
      <w:r w:rsidRPr="00E53BDD">
        <w:rPr>
          <w:rFonts w:eastAsia="仿宋_GB2312" w:cs="仿宋" w:hint="eastAsia"/>
          <w:sz w:val="32"/>
          <w:szCs w:val="32"/>
        </w:rPr>
        <w:t>200</w:t>
      </w:r>
      <w:r w:rsidRPr="00E53BDD">
        <w:rPr>
          <w:rFonts w:eastAsia="仿宋_GB2312" w:cs="仿宋" w:hint="eastAsia"/>
          <w:sz w:val="32"/>
          <w:szCs w:val="32"/>
        </w:rPr>
        <w:t>人次以上。探索建立高校、机构、企业等多方联动、定向委培的知识产权人才培养机制，培养实务型知识产权人才。</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74" w:name="_Toc16447"/>
      <w:bookmarkStart w:id="375" w:name="_Toc25497"/>
      <w:bookmarkStart w:id="376" w:name="_Toc4969"/>
      <w:bookmarkStart w:id="377" w:name="_Toc13651"/>
      <w:bookmarkStart w:id="378" w:name="_Toc8685"/>
      <w:bookmarkStart w:id="379" w:name="_Toc13669"/>
      <w:bookmarkStart w:id="380" w:name="_Toc7792"/>
      <w:bookmarkStart w:id="381" w:name="_Toc20160"/>
      <w:bookmarkStart w:id="382" w:name="_Toc20887"/>
      <w:r w:rsidRPr="00E53BDD">
        <w:rPr>
          <w:rFonts w:ascii="Times New Roman" w:eastAsia="仿宋_GB2312" w:hAnsi="Times New Roman" w:cs="仿宋" w:hint="eastAsia"/>
          <w:b/>
          <w:bCs/>
          <w:sz w:val="30"/>
          <w:szCs w:val="30"/>
        </w:rPr>
        <w:lastRenderedPageBreak/>
        <w:t>19.</w:t>
      </w:r>
      <w:r w:rsidRPr="00E53BDD">
        <w:rPr>
          <w:rFonts w:ascii="Times New Roman" w:eastAsia="仿宋_GB2312" w:hAnsi="Times New Roman" w:cs="仿宋" w:hint="eastAsia"/>
          <w:b/>
          <w:bCs/>
          <w:sz w:val="30"/>
          <w:szCs w:val="30"/>
        </w:rPr>
        <w:t>完善知识产权人才评价使用机制</w:t>
      </w:r>
      <w:bookmarkEnd w:id="374"/>
      <w:bookmarkEnd w:id="375"/>
      <w:bookmarkEnd w:id="376"/>
      <w:bookmarkEnd w:id="377"/>
      <w:bookmarkEnd w:id="378"/>
      <w:bookmarkEnd w:id="379"/>
      <w:bookmarkEnd w:id="380"/>
      <w:bookmarkEnd w:id="381"/>
      <w:bookmarkEnd w:id="382"/>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针对航空航天、生物医药等重点产业，开辟项目评审绿色通道，接轨国际人才评价标准，建立中德双方证书互认渠道，开辟海外人才评审“绿色通道”，优化引才用才制度，实现知识产权人才链与产业链精准融合。建立太仓市知识产权高质量发展智库，分别建立知识产权专家、产业专家、技术专家队伍，有效支撑知识产权理论研究、产业发展政策决策等工作。完善知识产权行政执法和司法人才岗位锻炼、岗位交流机制，健全知识产权调解、公证、社会监督等人才的选聘、管理和激励制度。建立以岗位职责为基础、品德能力为导向、工作业绩为重点的人才评价机制，充分发挥考核的刚性约束作用，确保人才工作各项政策措施落到实处。</w:t>
      </w:r>
    </w:p>
    <w:p w:rsidR="00833E93" w:rsidRPr="00E53BDD" w:rsidRDefault="00E53BDD">
      <w:pPr>
        <w:pStyle w:val="2"/>
        <w:numPr>
          <w:ilvl w:val="255"/>
          <w:numId w:val="0"/>
        </w:numPr>
        <w:ind w:firstLineChars="200" w:firstLine="640"/>
        <w:rPr>
          <w:rFonts w:eastAsia="楷体_GB2312"/>
          <w:highlight w:val="yellow"/>
        </w:rPr>
      </w:pPr>
      <w:bookmarkStart w:id="383" w:name="_Toc10795"/>
      <w:bookmarkStart w:id="384" w:name="_Toc11349"/>
      <w:bookmarkStart w:id="385" w:name="_Toc6824"/>
      <w:bookmarkStart w:id="386" w:name="_Toc20553"/>
      <w:bookmarkStart w:id="387" w:name="_Toc29299"/>
      <w:bookmarkStart w:id="388" w:name="_Toc31867"/>
      <w:bookmarkStart w:id="389" w:name="_Toc3536"/>
      <w:bookmarkStart w:id="390" w:name="_Toc20916"/>
      <w:bookmarkStart w:id="391" w:name="_Toc29216"/>
      <w:r w:rsidRPr="00E53BDD">
        <w:rPr>
          <w:rFonts w:eastAsia="楷体_GB2312" w:hint="eastAsia"/>
        </w:rPr>
        <w:t>（七）优化知识产权境外合作与防控体系</w:t>
      </w:r>
      <w:bookmarkEnd w:id="383"/>
      <w:bookmarkEnd w:id="384"/>
      <w:bookmarkEnd w:id="385"/>
      <w:bookmarkEnd w:id="386"/>
      <w:bookmarkEnd w:id="387"/>
      <w:bookmarkEnd w:id="388"/>
      <w:bookmarkEnd w:id="389"/>
      <w:bookmarkEnd w:id="390"/>
      <w:bookmarkEnd w:id="391"/>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392" w:name="_Toc6882"/>
      <w:bookmarkStart w:id="393" w:name="_Toc31228"/>
      <w:bookmarkStart w:id="394" w:name="_Toc980"/>
      <w:bookmarkStart w:id="395" w:name="_Toc5896"/>
      <w:bookmarkStart w:id="396" w:name="_Toc10153"/>
      <w:bookmarkStart w:id="397" w:name="_Toc15322"/>
      <w:bookmarkStart w:id="398" w:name="_Toc14764"/>
      <w:bookmarkStart w:id="399" w:name="_Toc11384"/>
      <w:bookmarkStart w:id="400" w:name="_Toc30438"/>
      <w:r w:rsidRPr="00E53BDD">
        <w:rPr>
          <w:rFonts w:ascii="Times New Roman" w:eastAsia="仿宋_GB2312" w:hAnsi="Times New Roman" w:cs="仿宋" w:hint="eastAsia"/>
          <w:b/>
          <w:bCs/>
          <w:sz w:val="30"/>
          <w:szCs w:val="30"/>
        </w:rPr>
        <w:t>20.</w:t>
      </w:r>
      <w:r w:rsidRPr="00E53BDD">
        <w:rPr>
          <w:rFonts w:ascii="Times New Roman" w:eastAsia="仿宋_GB2312" w:hAnsi="Times New Roman" w:cs="仿宋" w:hint="eastAsia"/>
          <w:b/>
          <w:bCs/>
          <w:sz w:val="30"/>
          <w:szCs w:val="30"/>
        </w:rPr>
        <w:t>深化中德知识产权创新合作发展</w:t>
      </w:r>
      <w:bookmarkEnd w:id="392"/>
      <w:bookmarkEnd w:id="393"/>
      <w:bookmarkEnd w:id="394"/>
      <w:bookmarkEnd w:id="395"/>
      <w:bookmarkEnd w:id="396"/>
      <w:bookmarkEnd w:id="397"/>
      <w:bookmarkEnd w:id="398"/>
      <w:bookmarkEnd w:id="399"/>
      <w:bookmarkEnd w:id="400"/>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持续深化对德经贸合作，全面提升对德合作的层次和水平，加快建设中德中小企业合作示范区。强化科技创新引领，聚焦“高精尖特”国际先进技术、产业链关键核心技术、共性技术等开展创新合作。加强双向互动交流，畅通知识产权申请流程，强化知识产权运用保护，提高</w:t>
      </w:r>
      <w:r w:rsidRPr="00E53BDD">
        <w:rPr>
          <w:rFonts w:eastAsia="仿宋_GB2312" w:cs="仿宋" w:hint="eastAsia"/>
          <w:sz w:val="32"/>
          <w:szCs w:val="32"/>
        </w:rPr>
        <w:t>PCT</w:t>
      </w:r>
      <w:r w:rsidRPr="00E53BDD">
        <w:rPr>
          <w:rFonts w:eastAsia="仿宋_GB2312" w:cs="仿宋" w:hint="eastAsia"/>
          <w:sz w:val="32"/>
          <w:szCs w:val="32"/>
        </w:rPr>
        <w:t>申报率，增强德企在太转移转化科技成果的信心。加快智能制造普及，大力培育智能制造解决方案提供商和系统集成服务商，在重点行业、重点领域形成一批智能制造示范项目。创建国家高端装备制造业标准化试点，引导德企参加国内外标准化组织活动，助推技术创新和产品市场化、产业化、国际化。</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401" w:name="_Toc22879"/>
      <w:bookmarkStart w:id="402" w:name="_Toc20816"/>
      <w:bookmarkStart w:id="403" w:name="_Toc25444"/>
      <w:bookmarkStart w:id="404" w:name="_Toc13612"/>
      <w:bookmarkStart w:id="405" w:name="_Toc29124"/>
      <w:bookmarkStart w:id="406" w:name="_Toc26181"/>
      <w:bookmarkStart w:id="407" w:name="_Toc7574"/>
      <w:bookmarkStart w:id="408" w:name="_Toc20091"/>
      <w:bookmarkStart w:id="409" w:name="_Toc29440"/>
      <w:r w:rsidRPr="00E53BDD">
        <w:rPr>
          <w:rFonts w:ascii="Times New Roman" w:eastAsia="仿宋_GB2312" w:hAnsi="Times New Roman" w:cs="仿宋" w:hint="eastAsia"/>
          <w:b/>
          <w:bCs/>
          <w:sz w:val="30"/>
          <w:szCs w:val="30"/>
        </w:rPr>
        <w:lastRenderedPageBreak/>
        <w:t>21.</w:t>
      </w:r>
      <w:bookmarkEnd w:id="401"/>
      <w:r w:rsidRPr="00E53BDD">
        <w:rPr>
          <w:rFonts w:ascii="Times New Roman" w:eastAsia="仿宋_GB2312" w:hAnsi="Times New Roman" w:cs="仿宋" w:hint="eastAsia"/>
          <w:b/>
          <w:bCs/>
          <w:sz w:val="30"/>
          <w:szCs w:val="30"/>
        </w:rPr>
        <w:t>推进知识产权国际合作交流</w:t>
      </w:r>
      <w:bookmarkEnd w:id="402"/>
      <w:bookmarkEnd w:id="403"/>
      <w:bookmarkEnd w:id="404"/>
      <w:bookmarkEnd w:id="405"/>
      <w:bookmarkEnd w:id="406"/>
      <w:bookmarkEnd w:id="407"/>
      <w:bookmarkEnd w:id="408"/>
      <w:bookmarkEnd w:id="409"/>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认真贯彻落实国家“一带一路”战略，引导企业等市场主体有效利用知识产权国际规则，重点面向主要贸易国家地区、“一带一路”沿线和</w:t>
      </w:r>
      <w:r w:rsidRPr="00E53BDD">
        <w:rPr>
          <w:rFonts w:eastAsia="仿宋_GB2312" w:cs="仿宋" w:hint="eastAsia"/>
          <w:sz w:val="32"/>
          <w:szCs w:val="32"/>
        </w:rPr>
        <w:t>RCEP</w:t>
      </w:r>
      <w:r w:rsidRPr="00E53BDD">
        <w:rPr>
          <w:rFonts w:eastAsia="仿宋_GB2312" w:cs="仿宋" w:hint="eastAsia"/>
          <w:sz w:val="32"/>
          <w:szCs w:val="32"/>
        </w:rPr>
        <w:t>国家，积极开展海外知识产权布局，拓展海外市场竞争力。建设知识产权国际服务平台，积极对接引入海外知识产权服务机构和专家资源，为企业等市场主体提供跨境知识产权申请、运用、保护、维权等方面的咨询和信息服务。</w:t>
      </w:r>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410" w:name="_Toc14720"/>
      <w:bookmarkStart w:id="411" w:name="_Toc1559"/>
      <w:bookmarkStart w:id="412" w:name="_Toc27050"/>
      <w:bookmarkStart w:id="413" w:name="_Toc19886"/>
      <w:bookmarkStart w:id="414" w:name="_Toc2349"/>
      <w:bookmarkStart w:id="415" w:name="_Toc10155"/>
      <w:bookmarkStart w:id="416" w:name="_Toc9724"/>
      <w:bookmarkStart w:id="417" w:name="_Toc25552"/>
      <w:bookmarkStart w:id="418" w:name="_Toc1364"/>
      <w:r w:rsidRPr="00E53BDD">
        <w:rPr>
          <w:rFonts w:ascii="Times New Roman" w:eastAsia="仿宋_GB2312" w:hAnsi="Times New Roman" w:cs="仿宋" w:hint="eastAsia"/>
          <w:b/>
          <w:bCs/>
          <w:sz w:val="30"/>
          <w:szCs w:val="30"/>
        </w:rPr>
        <w:t>22.</w:t>
      </w:r>
      <w:r w:rsidRPr="00E53BDD">
        <w:rPr>
          <w:rFonts w:ascii="Times New Roman" w:eastAsia="仿宋_GB2312" w:hAnsi="Times New Roman" w:cs="仿宋" w:hint="eastAsia"/>
          <w:b/>
          <w:bCs/>
          <w:sz w:val="30"/>
          <w:szCs w:val="30"/>
        </w:rPr>
        <w:t>提升企业知识产权海外纠纷应对能力</w:t>
      </w:r>
      <w:bookmarkStart w:id="419" w:name="_Toc6517"/>
      <w:bookmarkEnd w:id="410"/>
      <w:bookmarkEnd w:id="411"/>
      <w:bookmarkEnd w:id="412"/>
      <w:bookmarkEnd w:id="413"/>
      <w:bookmarkEnd w:id="414"/>
      <w:bookmarkEnd w:id="415"/>
      <w:bookmarkEnd w:id="416"/>
      <w:bookmarkEnd w:id="417"/>
      <w:bookmarkEnd w:id="418"/>
    </w:p>
    <w:p w:rsidR="00833E93" w:rsidRPr="00E53BDD" w:rsidRDefault="00E53BDD">
      <w:pPr>
        <w:spacing w:line="560" w:lineRule="exact"/>
        <w:ind w:firstLine="640"/>
        <w:rPr>
          <w:rFonts w:eastAsia="仿宋_GB2312" w:cs="仿宋"/>
          <w:sz w:val="32"/>
          <w:szCs w:val="32"/>
        </w:rPr>
      </w:pPr>
      <w:bookmarkStart w:id="420" w:name="_Toc25358"/>
      <w:bookmarkStart w:id="421" w:name="_Toc13635"/>
      <w:bookmarkStart w:id="422" w:name="_Toc14307"/>
      <w:r w:rsidRPr="00E53BDD">
        <w:rPr>
          <w:rFonts w:eastAsia="仿宋_GB2312" w:cs="仿宋" w:hint="eastAsia"/>
          <w:sz w:val="32"/>
          <w:szCs w:val="32"/>
        </w:rPr>
        <w:t>加快建设苏州知识产权保护中心太仓分中心，鼓励行业协会和知识产权服务机构加强海外知识产权维权援助服务，建立海外知识产权风险预警和应急响应机制。组建海外知识产权服务专家顾问团队，研究海外知识产权风险防范和纠纷应对策略，定期发布相关国家和地区知识产权制度环境等信息，防范知识产权国际风险，进一步加强海外知识产权纠纷应对指导，护航企业“走出去”。</w:t>
      </w:r>
      <w:bookmarkStart w:id="423" w:name="_Toc7846"/>
      <w:bookmarkStart w:id="424" w:name="_Toc24669"/>
      <w:bookmarkStart w:id="425" w:name="_Toc8562"/>
      <w:bookmarkStart w:id="426" w:name="_Toc31264"/>
      <w:bookmarkStart w:id="427" w:name="_Toc3658"/>
      <w:bookmarkStart w:id="428" w:name="_Toc1765"/>
      <w:bookmarkEnd w:id="420"/>
      <w:bookmarkEnd w:id="421"/>
      <w:bookmarkEnd w:id="422"/>
    </w:p>
    <w:p w:rsidR="00833E93" w:rsidRPr="00E53BDD" w:rsidRDefault="00E53BDD">
      <w:pPr>
        <w:pStyle w:val="2"/>
        <w:numPr>
          <w:ilvl w:val="1"/>
          <w:numId w:val="0"/>
        </w:numPr>
        <w:ind w:firstLineChars="200" w:firstLine="640"/>
        <w:rPr>
          <w:rFonts w:eastAsia="楷体_GB2312"/>
        </w:rPr>
      </w:pPr>
      <w:bookmarkStart w:id="429" w:name="_Toc12918"/>
      <w:bookmarkStart w:id="430" w:name="_Toc25953"/>
      <w:r w:rsidRPr="00E53BDD">
        <w:rPr>
          <w:rFonts w:eastAsia="楷体_GB2312" w:hint="eastAsia"/>
        </w:rPr>
        <w:t>（八）融入长三角知识产权一体化发展</w:t>
      </w:r>
      <w:bookmarkEnd w:id="423"/>
      <w:bookmarkEnd w:id="424"/>
      <w:bookmarkEnd w:id="425"/>
      <w:bookmarkEnd w:id="426"/>
      <w:bookmarkEnd w:id="427"/>
      <w:bookmarkEnd w:id="428"/>
      <w:bookmarkEnd w:id="429"/>
      <w:bookmarkEnd w:id="430"/>
    </w:p>
    <w:p w:rsidR="00833E93" w:rsidRPr="00E53BDD" w:rsidRDefault="00E53BDD">
      <w:pPr>
        <w:pStyle w:val="2"/>
        <w:numPr>
          <w:ilvl w:val="1"/>
          <w:numId w:val="0"/>
        </w:numPr>
        <w:ind w:firstLineChars="200" w:firstLine="602"/>
        <w:rPr>
          <w:rFonts w:ascii="Times New Roman" w:eastAsia="仿宋_GB2312" w:hAnsi="Times New Roman" w:cs="仿宋"/>
          <w:b/>
          <w:bCs/>
          <w:sz w:val="30"/>
          <w:szCs w:val="30"/>
        </w:rPr>
      </w:pPr>
      <w:bookmarkStart w:id="431" w:name="_Toc12594"/>
      <w:bookmarkStart w:id="432" w:name="_Toc15569"/>
      <w:bookmarkStart w:id="433" w:name="_Toc24936"/>
      <w:bookmarkStart w:id="434" w:name="_Toc16875"/>
      <w:bookmarkStart w:id="435" w:name="_Toc27305"/>
      <w:bookmarkStart w:id="436" w:name="_Toc2680"/>
      <w:bookmarkStart w:id="437" w:name="_Toc4100"/>
      <w:bookmarkStart w:id="438" w:name="_Toc31824"/>
      <w:bookmarkStart w:id="439" w:name="_Toc20268"/>
      <w:bookmarkStart w:id="440" w:name="_Toc26152"/>
      <w:bookmarkStart w:id="441" w:name="_Toc19717"/>
      <w:bookmarkStart w:id="442" w:name="_Toc19629"/>
      <w:bookmarkStart w:id="443" w:name="_Toc22986"/>
      <w:bookmarkStart w:id="444" w:name="_Toc7668"/>
      <w:r w:rsidRPr="00E53BDD">
        <w:rPr>
          <w:rFonts w:ascii="Times New Roman" w:eastAsia="仿宋_GB2312" w:hAnsi="Times New Roman" w:cs="仿宋" w:hint="eastAsia"/>
          <w:b/>
          <w:bCs/>
          <w:sz w:val="30"/>
          <w:szCs w:val="30"/>
        </w:rPr>
        <w:t>23.</w:t>
      </w:r>
      <w:r w:rsidRPr="00E53BDD">
        <w:rPr>
          <w:rFonts w:ascii="Times New Roman" w:eastAsia="仿宋_GB2312" w:hAnsi="Times New Roman" w:cs="仿宋" w:hint="eastAsia"/>
          <w:b/>
          <w:bCs/>
          <w:sz w:val="30"/>
          <w:szCs w:val="30"/>
        </w:rPr>
        <w:t>推进区域知识产权协同创新发展</w:t>
      </w:r>
      <w:bookmarkEnd w:id="431"/>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积极参与长三角一体化发展战略实施，深度落实《嘉昆太知识产权保护共同宣言》，乘“沪苏同城”东风，发挥知识产权司法保护资源叠加优势，与苏州昆山、上海嘉定合作开展知识产权协同保护机制建设，促进跨区域、跨部门知识产权联动保护，实现跨区域知识产权信息共联共享，消除“信息孤岛”，推动三地知识产权执法互助、监管互动、信息互</w:t>
      </w:r>
      <w:r w:rsidRPr="00E53BDD">
        <w:rPr>
          <w:rFonts w:eastAsia="仿宋_GB2312" w:cs="仿宋" w:hint="eastAsia"/>
          <w:sz w:val="32"/>
          <w:szCs w:val="32"/>
        </w:rPr>
        <w:lastRenderedPageBreak/>
        <w:t>通、经验互鉴，形成纠纷调解、仲裁等资源共享和业务合作。紧扣一体化和高质量两个关键，以中德创新城（娄江新城）为核心，以中德产业合作为抓手，支持各类创新主体融入长三角协同创新共同体，联合提升企业专利质量、知识产权运用能力和创新能力，强化关键技术协同攻关。</w:t>
      </w:r>
    </w:p>
    <w:p w:rsidR="00833E93" w:rsidRDefault="00E53BDD">
      <w:pPr>
        <w:pStyle w:val="1"/>
        <w:ind w:firstLine="640"/>
      </w:pPr>
      <w:bookmarkStart w:id="445" w:name="_Toc11694"/>
      <w:bookmarkStart w:id="446" w:name="_Toc13932"/>
      <w:bookmarkStart w:id="447" w:name="_Toc24831"/>
      <w:bookmarkStart w:id="448" w:name="_Toc6212"/>
      <w:bookmarkStart w:id="449" w:name="_Toc5453"/>
      <w:bookmarkStart w:id="450" w:name="_Toc11094"/>
      <w:bookmarkStart w:id="451" w:name="_Toc21334"/>
      <w:bookmarkStart w:id="452" w:name="_Toc12115"/>
      <w:bookmarkStart w:id="453" w:name="_Toc7756"/>
      <w:bookmarkEnd w:id="419"/>
      <w:bookmarkEnd w:id="432"/>
      <w:bookmarkEnd w:id="433"/>
      <w:bookmarkEnd w:id="434"/>
      <w:bookmarkEnd w:id="435"/>
      <w:bookmarkEnd w:id="436"/>
      <w:bookmarkEnd w:id="437"/>
      <w:bookmarkEnd w:id="438"/>
      <w:bookmarkEnd w:id="439"/>
      <w:bookmarkEnd w:id="440"/>
      <w:bookmarkEnd w:id="441"/>
      <w:bookmarkEnd w:id="442"/>
      <w:bookmarkEnd w:id="443"/>
      <w:bookmarkEnd w:id="444"/>
      <w:r>
        <w:t>工作保障</w:t>
      </w:r>
      <w:bookmarkEnd w:id="445"/>
      <w:bookmarkEnd w:id="446"/>
      <w:bookmarkEnd w:id="447"/>
      <w:bookmarkEnd w:id="448"/>
      <w:bookmarkEnd w:id="449"/>
      <w:bookmarkEnd w:id="450"/>
      <w:bookmarkEnd w:id="451"/>
      <w:bookmarkEnd w:id="452"/>
      <w:bookmarkEnd w:id="453"/>
    </w:p>
    <w:p w:rsidR="00833E93" w:rsidRPr="00E53BDD" w:rsidRDefault="00E53BDD">
      <w:pPr>
        <w:pStyle w:val="2"/>
        <w:numPr>
          <w:ilvl w:val="1"/>
          <w:numId w:val="0"/>
        </w:numPr>
        <w:ind w:firstLineChars="200" w:firstLine="640"/>
        <w:rPr>
          <w:rFonts w:eastAsia="楷体_GB2312"/>
        </w:rPr>
      </w:pPr>
      <w:bookmarkStart w:id="454" w:name="_Toc9164"/>
      <w:bookmarkStart w:id="455" w:name="_Toc17407"/>
      <w:bookmarkStart w:id="456" w:name="_Toc24024"/>
      <w:bookmarkStart w:id="457" w:name="_Toc11313"/>
      <w:bookmarkStart w:id="458" w:name="_Toc13782"/>
      <w:bookmarkStart w:id="459" w:name="_Toc26592"/>
      <w:bookmarkStart w:id="460" w:name="_Toc17670"/>
      <w:bookmarkStart w:id="461" w:name="_Toc7423"/>
      <w:bookmarkStart w:id="462" w:name="_Toc27009"/>
      <w:r w:rsidRPr="00E53BDD">
        <w:rPr>
          <w:rFonts w:eastAsia="楷体_GB2312" w:hint="eastAsia"/>
        </w:rPr>
        <w:t>（一）加强组织领导</w:t>
      </w:r>
      <w:bookmarkEnd w:id="454"/>
      <w:bookmarkEnd w:id="455"/>
      <w:bookmarkEnd w:id="456"/>
      <w:bookmarkEnd w:id="457"/>
      <w:bookmarkEnd w:id="458"/>
      <w:bookmarkEnd w:id="459"/>
      <w:bookmarkEnd w:id="460"/>
      <w:bookmarkEnd w:id="461"/>
      <w:bookmarkEnd w:id="462"/>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全面贯彻落实习近平新时代中国特色社会主义思想，坚持和强化党对知识产权工作的全面领导，确保知识产权事业发展方向正确。充分发挥市知识产权联席会议制度作用，统筹协调各方力量，健全知识产权综合管理体制机制，形成强大工作合力。</w:t>
      </w:r>
    </w:p>
    <w:p w:rsidR="00833E93" w:rsidRPr="00E53BDD" w:rsidRDefault="00E53BDD">
      <w:pPr>
        <w:pStyle w:val="2"/>
        <w:numPr>
          <w:ilvl w:val="1"/>
          <w:numId w:val="0"/>
        </w:numPr>
        <w:ind w:firstLineChars="200" w:firstLine="640"/>
        <w:rPr>
          <w:rFonts w:eastAsia="楷体_GB2312"/>
        </w:rPr>
      </w:pPr>
      <w:bookmarkStart w:id="463" w:name="_Toc12497"/>
      <w:bookmarkStart w:id="464" w:name="_Toc28421"/>
      <w:bookmarkStart w:id="465" w:name="_Toc5510"/>
      <w:bookmarkStart w:id="466" w:name="_Toc11081"/>
      <w:bookmarkStart w:id="467" w:name="_Toc28225"/>
      <w:bookmarkStart w:id="468" w:name="_Toc24123"/>
      <w:bookmarkStart w:id="469" w:name="_Toc27334"/>
      <w:bookmarkStart w:id="470" w:name="_Toc7122"/>
      <w:bookmarkStart w:id="471" w:name="_Toc18862"/>
      <w:r w:rsidRPr="00E53BDD">
        <w:rPr>
          <w:rFonts w:eastAsia="楷体_GB2312" w:hint="eastAsia"/>
        </w:rPr>
        <w:t>（二）加大投入力度</w:t>
      </w:r>
      <w:bookmarkEnd w:id="463"/>
      <w:bookmarkEnd w:id="464"/>
      <w:bookmarkEnd w:id="465"/>
      <w:bookmarkEnd w:id="466"/>
      <w:bookmarkEnd w:id="467"/>
      <w:bookmarkEnd w:id="468"/>
      <w:bookmarkEnd w:id="469"/>
      <w:bookmarkEnd w:id="470"/>
      <w:bookmarkEnd w:id="471"/>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建立和完善知识产权发展投入保障机制，加大政府对知识产权工作投入力度。引导和激励市场加大知识产权资金投入，形成政府财政与社会资金共同作用体系。统筹知识产权公共资源、科学编制资金使用预算，突出投入重点、优化支出结构，保障重点任务、重要举措的落实。</w:t>
      </w:r>
    </w:p>
    <w:p w:rsidR="00833E93" w:rsidRPr="00E53BDD" w:rsidRDefault="00E53BDD">
      <w:pPr>
        <w:pStyle w:val="2"/>
        <w:numPr>
          <w:ilvl w:val="1"/>
          <w:numId w:val="0"/>
        </w:numPr>
        <w:ind w:firstLineChars="200" w:firstLine="640"/>
        <w:rPr>
          <w:rFonts w:eastAsia="楷体_GB2312"/>
        </w:rPr>
      </w:pPr>
      <w:bookmarkStart w:id="472" w:name="_Toc18537"/>
      <w:r w:rsidRPr="00E53BDD">
        <w:rPr>
          <w:rFonts w:eastAsia="楷体_GB2312" w:hint="eastAsia"/>
        </w:rPr>
        <w:t>（三）强化监测评估</w:t>
      </w:r>
      <w:bookmarkEnd w:id="472"/>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加强对规划实施情况的监测评估，建立科学有效的规划实施绩效监测评价体系。引入第三方开展监测评估，健全年度监测分析、中期评估、总结评估的全过程评估体系。强化监测评估结果应用，及时总结推广规划实施过程中好的做法经验，提出规划实施的意见和建议，保障本规划科学有序实</w:t>
      </w:r>
      <w:r w:rsidRPr="00E53BDD">
        <w:rPr>
          <w:rFonts w:eastAsia="仿宋_GB2312" w:cs="仿宋" w:hint="eastAsia"/>
          <w:sz w:val="32"/>
          <w:szCs w:val="32"/>
        </w:rPr>
        <w:lastRenderedPageBreak/>
        <w:t>施。</w:t>
      </w:r>
    </w:p>
    <w:p w:rsidR="00833E93" w:rsidRPr="00E53BDD" w:rsidRDefault="00E53BDD">
      <w:pPr>
        <w:pStyle w:val="2"/>
        <w:numPr>
          <w:ilvl w:val="1"/>
          <w:numId w:val="0"/>
        </w:numPr>
        <w:ind w:firstLineChars="200" w:firstLine="640"/>
        <w:rPr>
          <w:rFonts w:eastAsia="楷体_GB2312"/>
        </w:rPr>
      </w:pPr>
      <w:bookmarkStart w:id="473" w:name="_Toc5840"/>
      <w:bookmarkStart w:id="474" w:name="_Toc28402"/>
      <w:bookmarkStart w:id="475" w:name="_Toc24679"/>
      <w:bookmarkStart w:id="476" w:name="_Toc11256"/>
      <w:bookmarkStart w:id="477" w:name="_Toc11582"/>
      <w:bookmarkStart w:id="478" w:name="_Toc3471"/>
      <w:bookmarkStart w:id="479" w:name="_Toc344"/>
      <w:bookmarkStart w:id="480" w:name="_Toc25167"/>
      <w:bookmarkStart w:id="481" w:name="_Toc21779"/>
      <w:r w:rsidRPr="00E53BDD">
        <w:rPr>
          <w:rFonts w:eastAsia="楷体_GB2312" w:hint="eastAsia"/>
        </w:rPr>
        <w:t>（四）营造文化氛围</w:t>
      </w:r>
      <w:bookmarkEnd w:id="473"/>
      <w:bookmarkEnd w:id="474"/>
      <w:bookmarkEnd w:id="475"/>
      <w:bookmarkEnd w:id="476"/>
      <w:bookmarkEnd w:id="477"/>
      <w:bookmarkEnd w:id="478"/>
      <w:bookmarkEnd w:id="479"/>
      <w:bookmarkEnd w:id="480"/>
      <w:bookmarkEnd w:id="481"/>
    </w:p>
    <w:p w:rsidR="00833E93" w:rsidRPr="00E53BDD" w:rsidRDefault="00E53BDD">
      <w:pPr>
        <w:spacing w:line="560" w:lineRule="exact"/>
        <w:ind w:firstLine="640"/>
        <w:rPr>
          <w:rFonts w:eastAsia="仿宋_GB2312" w:cs="仿宋"/>
          <w:sz w:val="32"/>
          <w:szCs w:val="32"/>
        </w:rPr>
      </w:pPr>
      <w:r w:rsidRPr="00E53BDD">
        <w:rPr>
          <w:rFonts w:eastAsia="仿宋_GB2312" w:cs="仿宋" w:hint="eastAsia"/>
          <w:sz w:val="32"/>
          <w:szCs w:val="32"/>
        </w:rPr>
        <w:t>大力倡导知识产权文化，推进知识产权与传统文化、创新文化、法治文化、诚信文化深度融合。重视知识产权普及教育，推进知识产权宣传进企业、进单位、进社区、进学校、进网络等活动。积极构建知识产权宣传工作格局，统筹公共与社会宣传资源，营造尊重创新、保护创造的良好社会氛围。</w:t>
      </w:r>
    </w:p>
    <w:sectPr w:rsidR="00833E93" w:rsidRPr="00E53BDD" w:rsidSect="00833E93">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48F1" w:rsidRDefault="003648F1">
      <w:pPr>
        <w:spacing w:line="240" w:lineRule="auto"/>
        <w:ind w:firstLine="480"/>
      </w:pPr>
      <w:r>
        <w:separator/>
      </w:r>
    </w:p>
  </w:endnote>
  <w:endnote w:type="continuationSeparator" w:id="0">
    <w:p w:rsidR="003648F1" w:rsidRDefault="003648F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小标宋_GBK">
    <w:panose1 w:val="02000000000000000000"/>
    <w:charset w:val="86"/>
    <w:family w:val="auto"/>
    <w:pitch w:val="variable"/>
    <w:sig w:usb0="A00002BF" w:usb1="38CF7CFA" w:usb2="00082016" w:usb3="00000000" w:csb0="00040001" w:csb1="00000000"/>
  </w:font>
  <w:font w:name="楷体_GB2312">
    <w:panose1 w:val="02010609030101010101"/>
    <w:charset w:val="86"/>
    <w:family w:val="modern"/>
    <w:pitch w:val="fixed"/>
    <w:sig w:usb0="00000001" w:usb1="080E0000" w:usb2="00000010" w:usb3="00000000" w:csb0="00040000" w:csb1="00000000"/>
  </w:font>
  <w:font w:name="方正黑体_GBK">
    <w:panose1 w:val="02000000000000000000"/>
    <w:charset w:val="86"/>
    <w:family w:val="auto"/>
    <w:pitch w:val="variable"/>
    <w:sig w:usb0="A00002BF" w:usb1="38CF7CFA" w:usb2="00082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BDD" w:rsidRDefault="003648F1">
    <w:pPr>
      <w:pStyle w:val="a7"/>
      <w:ind w:firstLine="360"/>
    </w:pPr>
    <w:r>
      <w:pict>
        <v:shapetype id="_x0000_t202" coordsize="21600,21600" o:spt="202" path="m,l,21600r21600,l21600,xe">
          <v:stroke joinstyle="miter"/>
          <v:path gradientshapeok="t" o:connecttype="rect"/>
        </v:shapetype>
        <v:shape id="_x0000_s2050" type="#_x0000_t202" style="position:absolute;left:0;text-align:left;margin-left:300.8pt;margin-top:0;width:2in;height:2in;z-index:251659264;mso-wrap-style:none;mso-position-horizontal:outside;mso-position-horizontal-relative:margin" filled="f" stroked="f" strokeweight=".5pt">
          <v:textbox style="mso-fit-shape-to-text:t" inset="0,0,0,0">
            <w:txbxContent>
              <w:p w:rsidR="00E53BDD" w:rsidRDefault="00E53BDD" w:rsidP="00E53BDD">
                <w:pPr>
                  <w:pStyle w:val="a7"/>
                  <w:ind w:firstLine="560"/>
                  <w:rPr>
                    <w:rFonts w:ascii="宋体" w:eastAsia="宋体" w:hAnsi="宋体" w:cs="宋体"/>
                    <w:sz w:val="28"/>
                    <w:szCs w:val="28"/>
                  </w:rPr>
                </w:pPr>
                <w:r>
                  <w:rPr>
                    <w:rFonts w:ascii="宋体" w:eastAsia="宋体" w:hAnsi="宋体" w:cs="宋体" w:hint="eastAsia"/>
                    <w:sz w:val="28"/>
                    <w:szCs w:val="28"/>
                  </w:rPr>
                  <w:t xml:space="preserve">— </w:t>
                </w:r>
                <w:r w:rsidR="00C45D2C">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sidR="00C45D2C">
                  <w:rPr>
                    <w:rFonts w:ascii="宋体" w:eastAsia="宋体" w:hAnsi="宋体" w:cs="宋体" w:hint="eastAsia"/>
                    <w:sz w:val="28"/>
                    <w:szCs w:val="28"/>
                  </w:rPr>
                  <w:fldChar w:fldCharType="separate"/>
                </w:r>
                <w:r w:rsidR="001851D2">
                  <w:rPr>
                    <w:rFonts w:ascii="宋体" w:eastAsia="宋体" w:hAnsi="宋体" w:cs="宋体"/>
                    <w:noProof/>
                    <w:sz w:val="28"/>
                    <w:szCs w:val="28"/>
                  </w:rPr>
                  <w:t>1</w:t>
                </w:r>
                <w:r w:rsidR="00C45D2C">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48F1" w:rsidRDefault="003648F1">
      <w:pPr>
        <w:ind w:firstLine="480"/>
      </w:pPr>
      <w:r>
        <w:separator/>
      </w:r>
    </w:p>
  </w:footnote>
  <w:footnote w:type="continuationSeparator" w:id="0">
    <w:p w:rsidR="003648F1" w:rsidRDefault="003648F1">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DF14A3"/>
    <w:multiLevelType w:val="multilevel"/>
    <w:tmpl w:val="CEDF14A3"/>
    <w:lvl w:ilvl="0">
      <w:start w:val="1"/>
      <w:numFmt w:val="chineseCounting"/>
      <w:pStyle w:val="a"/>
      <w:suff w:val="nothing"/>
      <w:lvlText w:val="%1、"/>
      <w:lvlJc w:val="left"/>
      <w:pPr>
        <w:tabs>
          <w:tab w:val="left" w:pos="0"/>
        </w:tabs>
        <w:ind w:left="0" w:firstLine="0"/>
      </w:pPr>
      <w:rPr>
        <w:rFonts w:ascii="宋体" w:eastAsia="宋体" w:hAnsi="宋体" w:cs="宋体" w:hint="eastAsia"/>
      </w:rPr>
    </w:lvl>
    <w:lvl w:ilvl="1">
      <w:start w:val="1"/>
      <w:numFmt w:val="chineseCounting"/>
      <w:suff w:val="nothing"/>
      <w:lvlText w:val="（%2）"/>
      <w:lvlJc w:val="left"/>
      <w:pPr>
        <w:ind w:left="0" w:firstLine="0"/>
      </w:pPr>
      <w:rPr>
        <w:rFonts w:ascii="宋体" w:eastAsia="宋体" w:hAnsi="宋体" w:cs="宋体" w:hint="eastAsia"/>
      </w:rPr>
    </w:lvl>
    <w:lvl w:ilvl="2">
      <w:start w:val="1"/>
      <w:numFmt w:val="decimal"/>
      <w:suff w:val="nothing"/>
      <w:lvlText w:val="%3．"/>
      <w:lvlJc w:val="left"/>
      <w:pPr>
        <w:ind w:left="0" w:firstLine="0"/>
      </w:pPr>
      <w:rPr>
        <w:rFonts w:ascii="宋体" w:eastAsia="宋体" w:hAnsi="宋体" w:cs="宋体" w:hint="eastAsia"/>
      </w:rPr>
    </w:lvl>
    <w:lvl w:ilvl="3">
      <w:start w:val="1"/>
      <w:numFmt w:val="decimal"/>
      <w:suff w:val="nothing"/>
      <w:lvlText w:val="（%4）"/>
      <w:lvlJc w:val="left"/>
      <w:pPr>
        <w:ind w:left="0" w:firstLine="0"/>
      </w:pPr>
      <w:rPr>
        <w:rFonts w:ascii="宋体" w:eastAsia="宋体" w:hAnsi="宋体" w:cs="宋体" w:hint="eastAsia"/>
      </w:rPr>
    </w:lvl>
    <w:lvl w:ilvl="4">
      <w:start w:val="1"/>
      <w:numFmt w:val="decimalEnclosedCircleChinese"/>
      <w:suff w:val="nothing"/>
      <w:lvlText w:val="%5"/>
      <w:lvlJc w:val="left"/>
      <w:pPr>
        <w:ind w:left="0" w:firstLine="0"/>
      </w:pPr>
      <w:rPr>
        <w:rFonts w:ascii="宋体" w:eastAsia="宋体" w:hAnsi="宋体" w:cs="宋体"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 w15:restartNumberingAfterBreak="0">
    <w:nsid w:val="6942876F"/>
    <w:multiLevelType w:val="multilevel"/>
    <w:tmpl w:val="6942876F"/>
    <w:lvl w:ilvl="0">
      <w:start w:val="1"/>
      <w:numFmt w:val="chineseCounting"/>
      <w:pStyle w:val="1"/>
      <w:suff w:val="nothing"/>
      <w:lvlText w:val="%1、"/>
      <w:lvlJc w:val="left"/>
      <w:pPr>
        <w:ind w:left="0" w:firstLine="0"/>
      </w:pPr>
      <w:rPr>
        <w:rFonts w:hint="eastAsia"/>
      </w:rPr>
    </w:lvl>
    <w:lvl w:ilvl="1">
      <w:start w:val="1"/>
      <w:numFmt w:val="chineseCounting"/>
      <w:pStyle w:val="2"/>
      <w:suff w:val="nothing"/>
      <w:lvlText w:val="（%2）"/>
      <w:lvlJc w:val="left"/>
      <w:pPr>
        <w:tabs>
          <w:tab w:val="left" w:pos="0"/>
        </w:tabs>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embedSystemFonts/>
  <w:bordersDoNotSurroundHeader/>
  <w:bordersDoNotSurroundFooter/>
  <w:defaultTabStop w:val="420"/>
  <w:drawingGridVerticalSpacing w:val="156"/>
  <w:noPunctuationKerning/>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WU3ODY1OGIzNjJkNTFiNDFkMDI4ZjMzYTYzMDM1NGQifQ=="/>
  </w:docVars>
  <w:rsids>
    <w:rsidRoot w:val="23044042"/>
    <w:rsid w:val="00084294"/>
    <w:rsid w:val="000B063B"/>
    <w:rsid w:val="000C6A5F"/>
    <w:rsid w:val="000E7B9C"/>
    <w:rsid w:val="00117BF8"/>
    <w:rsid w:val="001851D2"/>
    <w:rsid w:val="001A0BA0"/>
    <w:rsid w:val="001D2841"/>
    <w:rsid w:val="001F74CA"/>
    <w:rsid w:val="00242140"/>
    <w:rsid w:val="00247316"/>
    <w:rsid w:val="002664FB"/>
    <w:rsid w:val="002F3B9D"/>
    <w:rsid w:val="003648F1"/>
    <w:rsid w:val="00366C54"/>
    <w:rsid w:val="004200D1"/>
    <w:rsid w:val="00450F38"/>
    <w:rsid w:val="004764AF"/>
    <w:rsid w:val="005F6082"/>
    <w:rsid w:val="0067565C"/>
    <w:rsid w:val="006D5C9A"/>
    <w:rsid w:val="00717F28"/>
    <w:rsid w:val="00761EA5"/>
    <w:rsid w:val="007713E6"/>
    <w:rsid w:val="007804C4"/>
    <w:rsid w:val="007D14A8"/>
    <w:rsid w:val="00833E93"/>
    <w:rsid w:val="00847858"/>
    <w:rsid w:val="008C3A2C"/>
    <w:rsid w:val="008D783F"/>
    <w:rsid w:val="0097263F"/>
    <w:rsid w:val="009945AD"/>
    <w:rsid w:val="009A7F06"/>
    <w:rsid w:val="00A353E2"/>
    <w:rsid w:val="00AC6A43"/>
    <w:rsid w:val="00AE22AA"/>
    <w:rsid w:val="00AF3706"/>
    <w:rsid w:val="00B06357"/>
    <w:rsid w:val="00B31EF8"/>
    <w:rsid w:val="00B33F69"/>
    <w:rsid w:val="00C0286B"/>
    <w:rsid w:val="00C1123F"/>
    <w:rsid w:val="00C45889"/>
    <w:rsid w:val="00C45D2C"/>
    <w:rsid w:val="00CA07AD"/>
    <w:rsid w:val="00CB085E"/>
    <w:rsid w:val="00CD047D"/>
    <w:rsid w:val="00D053C2"/>
    <w:rsid w:val="00D21A59"/>
    <w:rsid w:val="00DB30FE"/>
    <w:rsid w:val="00E53BDD"/>
    <w:rsid w:val="00E842DA"/>
    <w:rsid w:val="00E91CF9"/>
    <w:rsid w:val="00ED7A13"/>
    <w:rsid w:val="00F6208A"/>
    <w:rsid w:val="00FA00A3"/>
    <w:rsid w:val="01041BB9"/>
    <w:rsid w:val="014E35AB"/>
    <w:rsid w:val="0157764A"/>
    <w:rsid w:val="019B1886"/>
    <w:rsid w:val="027F3841"/>
    <w:rsid w:val="02E82967"/>
    <w:rsid w:val="047F05E1"/>
    <w:rsid w:val="054D5E79"/>
    <w:rsid w:val="058C3A19"/>
    <w:rsid w:val="05FB33F4"/>
    <w:rsid w:val="068A5E88"/>
    <w:rsid w:val="06B34AE5"/>
    <w:rsid w:val="06C176CF"/>
    <w:rsid w:val="06E708C4"/>
    <w:rsid w:val="07375F77"/>
    <w:rsid w:val="07673917"/>
    <w:rsid w:val="079E3E7E"/>
    <w:rsid w:val="07C65B57"/>
    <w:rsid w:val="07E775D3"/>
    <w:rsid w:val="086F7B14"/>
    <w:rsid w:val="08E906EF"/>
    <w:rsid w:val="08F05693"/>
    <w:rsid w:val="092D7E80"/>
    <w:rsid w:val="0A450784"/>
    <w:rsid w:val="0A747118"/>
    <w:rsid w:val="0A893AFE"/>
    <w:rsid w:val="0AC40082"/>
    <w:rsid w:val="0AD66578"/>
    <w:rsid w:val="0B5E2E20"/>
    <w:rsid w:val="0B5E4F5E"/>
    <w:rsid w:val="0BA0134E"/>
    <w:rsid w:val="0BBB20D3"/>
    <w:rsid w:val="0BC860B1"/>
    <w:rsid w:val="0BEF247C"/>
    <w:rsid w:val="0BFF5331"/>
    <w:rsid w:val="0C446145"/>
    <w:rsid w:val="0CA90F10"/>
    <w:rsid w:val="0CBC071C"/>
    <w:rsid w:val="0CCC6D98"/>
    <w:rsid w:val="0D1B38C9"/>
    <w:rsid w:val="0DAE1364"/>
    <w:rsid w:val="0E406050"/>
    <w:rsid w:val="0E456E02"/>
    <w:rsid w:val="0F7278D9"/>
    <w:rsid w:val="10625A8B"/>
    <w:rsid w:val="108C3A44"/>
    <w:rsid w:val="10C36E35"/>
    <w:rsid w:val="1117040B"/>
    <w:rsid w:val="112C71E2"/>
    <w:rsid w:val="11690A83"/>
    <w:rsid w:val="119A7465"/>
    <w:rsid w:val="121F796A"/>
    <w:rsid w:val="12293CC1"/>
    <w:rsid w:val="125974CB"/>
    <w:rsid w:val="128359E2"/>
    <w:rsid w:val="12B04A66"/>
    <w:rsid w:val="12B56B32"/>
    <w:rsid w:val="12F804CD"/>
    <w:rsid w:val="137B69BE"/>
    <w:rsid w:val="14784E0D"/>
    <w:rsid w:val="1488470F"/>
    <w:rsid w:val="14A7534D"/>
    <w:rsid w:val="1586638D"/>
    <w:rsid w:val="15981F0D"/>
    <w:rsid w:val="15C947BC"/>
    <w:rsid w:val="15EB2DEB"/>
    <w:rsid w:val="161D0687"/>
    <w:rsid w:val="164449FE"/>
    <w:rsid w:val="1675224E"/>
    <w:rsid w:val="171A4E64"/>
    <w:rsid w:val="17A0779F"/>
    <w:rsid w:val="17D16F54"/>
    <w:rsid w:val="18F32C53"/>
    <w:rsid w:val="19666EA6"/>
    <w:rsid w:val="1AC45552"/>
    <w:rsid w:val="1BC32033"/>
    <w:rsid w:val="1BEA0EA3"/>
    <w:rsid w:val="1C582353"/>
    <w:rsid w:val="1C6C22C0"/>
    <w:rsid w:val="1C754312"/>
    <w:rsid w:val="1C9F5A27"/>
    <w:rsid w:val="1CAD3B5B"/>
    <w:rsid w:val="1CB644A4"/>
    <w:rsid w:val="1CC31428"/>
    <w:rsid w:val="1CFD08E3"/>
    <w:rsid w:val="1D061E52"/>
    <w:rsid w:val="1D491D3F"/>
    <w:rsid w:val="1D937927"/>
    <w:rsid w:val="1DA22299"/>
    <w:rsid w:val="1E00498F"/>
    <w:rsid w:val="1E1862E1"/>
    <w:rsid w:val="1EAF5A4D"/>
    <w:rsid w:val="1F1645FC"/>
    <w:rsid w:val="1F4B7874"/>
    <w:rsid w:val="1FBE0986"/>
    <w:rsid w:val="20BE1D75"/>
    <w:rsid w:val="211A411E"/>
    <w:rsid w:val="21B674C9"/>
    <w:rsid w:val="223905D4"/>
    <w:rsid w:val="22710E72"/>
    <w:rsid w:val="228A52D3"/>
    <w:rsid w:val="22C52EB2"/>
    <w:rsid w:val="22D0774A"/>
    <w:rsid w:val="23044042"/>
    <w:rsid w:val="231057D9"/>
    <w:rsid w:val="23597C0D"/>
    <w:rsid w:val="24724281"/>
    <w:rsid w:val="24D61163"/>
    <w:rsid w:val="253D6CF6"/>
    <w:rsid w:val="25D27598"/>
    <w:rsid w:val="25FB5447"/>
    <w:rsid w:val="25FE3517"/>
    <w:rsid w:val="26154EB4"/>
    <w:rsid w:val="26EC2FDB"/>
    <w:rsid w:val="27312345"/>
    <w:rsid w:val="28287D92"/>
    <w:rsid w:val="28DF7DF7"/>
    <w:rsid w:val="293B4155"/>
    <w:rsid w:val="2A033B5C"/>
    <w:rsid w:val="2AFD2A06"/>
    <w:rsid w:val="2C16579E"/>
    <w:rsid w:val="2E56075F"/>
    <w:rsid w:val="2F7A31C9"/>
    <w:rsid w:val="2F807842"/>
    <w:rsid w:val="2F824954"/>
    <w:rsid w:val="2FDE27BA"/>
    <w:rsid w:val="2FE07D88"/>
    <w:rsid w:val="30E402A4"/>
    <w:rsid w:val="310A149A"/>
    <w:rsid w:val="318D26EA"/>
    <w:rsid w:val="31B71E96"/>
    <w:rsid w:val="31C3435E"/>
    <w:rsid w:val="31C869A7"/>
    <w:rsid w:val="32186CC0"/>
    <w:rsid w:val="329D04E1"/>
    <w:rsid w:val="32E225C2"/>
    <w:rsid w:val="332D4007"/>
    <w:rsid w:val="335D7540"/>
    <w:rsid w:val="336D23EC"/>
    <w:rsid w:val="33B64FB5"/>
    <w:rsid w:val="34894B8C"/>
    <w:rsid w:val="348B3862"/>
    <w:rsid w:val="34B65AB4"/>
    <w:rsid w:val="34D643A8"/>
    <w:rsid w:val="34F40C93"/>
    <w:rsid w:val="350D7694"/>
    <w:rsid w:val="35102441"/>
    <w:rsid w:val="355C48AD"/>
    <w:rsid w:val="35873CC0"/>
    <w:rsid w:val="35B93E03"/>
    <w:rsid w:val="36153027"/>
    <w:rsid w:val="366A2B15"/>
    <w:rsid w:val="37180CA8"/>
    <w:rsid w:val="38080D1C"/>
    <w:rsid w:val="380E6939"/>
    <w:rsid w:val="390171DA"/>
    <w:rsid w:val="3962445C"/>
    <w:rsid w:val="396928F7"/>
    <w:rsid w:val="39934216"/>
    <w:rsid w:val="39AB7A5A"/>
    <w:rsid w:val="39FF7EFD"/>
    <w:rsid w:val="3A5C534F"/>
    <w:rsid w:val="3A6963D8"/>
    <w:rsid w:val="3AC818AD"/>
    <w:rsid w:val="3B336AF4"/>
    <w:rsid w:val="3BAD3327"/>
    <w:rsid w:val="3C0F0E63"/>
    <w:rsid w:val="3C217B82"/>
    <w:rsid w:val="3C3A05B5"/>
    <w:rsid w:val="3C6B3A35"/>
    <w:rsid w:val="3C6D7A2B"/>
    <w:rsid w:val="3D13665C"/>
    <w:rsid w:val="3D945324"/>
    <w:rsid w:val="3DB651BA"/>
    <w:rsid w:val="3E4B3D6A"/>
    <w:rsid w:val="3E5E5032"/>
    <w:rsid w:val="3E764F4E"/>
    <w:rsid w:val="3E99356D"/>
    <w:rsid w:val="3ECD7049"/>
    <w:rsid w:val="3F600F8D"/>
    <w:rsid w:val="3F9909C2"/>
    <w:rsid w:val="4056217B"/>
    <w:rsid w:val="405F07C0"/>
    <w:rsid w:val="40714F85"/>
    <w:rsid w:val="407707ED"/>
    <w:rsid w:val="40E045E4"/>
    <w:rsid w:val="415B172B"/>
    <w:rsid w:val="41F750A9"/>
    <w:rsid w:val="42133BF7"/>
    <w:rsid w:val="427A6373"/>
    <w:rsid w:val="428C1643"/>
    <w:rsid w:val="431C56C1"/>
    <w:rsid w:val="441427F7"/>
    <w:rsid w:val="44A4014A"/>
    <w:rsid w:val="4517491E"/>
    <w:rsid w:val="45B05537"/>
    <w:rsid w:val="45D34506"/>
    <w:rsid w:val="46B506E4"/>
    <w:rsid w:val="47132953"/>
    <w:rsid w:val="474218BE"/>
    <w:rsid w:val="4762561B"/>
    <w:rsid w:val="47635398"/>
    <w:rsid w:val="47B62742"/>
    <w:rsid w:val="47DC7817"/>
    <w:rsid w:val="48E1539E"/>
    <w:rsid w:val="4912143C"/>
    <w:rsid w:val="49520245"/>
    <w:rsid w:val="496E1147"/>
    <w:rsid w:val="497822AC"/>
    <w:rsid w:val="49A7795D"/>
    <w:rsid w:val="49C56A6D"/>
    <w:rsid w:val="49D06A74"/>
    <w:rsid w:val="4A424D70"/>
    <w:rsid w:val="4ADF6309"/>
    <w:rsid w:val="4B5A1437"/>
    <w:rsid w:val="4BCD708F"/>
    <w:rsid w:val="4BDB6396"/>
    <w:rsid w:val="4C541FD2"/>
    <w:rsid w:val="4C9C7AC9"/>
    <w:rsid w:val="4D920B30"/>
    <w:rsid w:val="4E1017B6"/>
    <w:rsid w:val="4EC70675"/>
    <w:rsid w:val="4F3123CB"/>
    <w:rsid w:val="4F483EC3"/>
    <w:rsid w:val="4FE413B2"/>
    <w:rsid w:val="4FFB6CD8"/>
    <w:rsid w:val="50715259"/>
    <w:rsid w:val="508A3C71"/>
    <w:rsid w:val="51025EB1"/>
    <w:rsid w:val="51686F8D"/>
    <w:rsid w:val="519D6E90"/>
    <w:rsid w:val="51A40129"/>
    <w:rsid w:val="51B463B7"/>
    <w:rsid w:val="52220445"/>
    <w:rsid w:val="52240369"/>
    <w:rsid w:val="52716554"/>
    <w:rsid w:val="529F33A6"/>
    <w:rsid w:val="52A2375A"/>
    <w:rsid w:val="52BD7445"/>
    <w:rsid w:val="52CA76D1"/>
    <w:rsid w:val="52FB0898"/>
    <w:rsid w:val="530D2B4F"/>
    <w:rsid w:val="53516C76"/>
    <w:rsid w:val="538768B4"/>
    <w:rsid w:val="53FD49DE"/>
    <w:rsid w:val="541103AD"/>
    <w:rsid w:val="541D5FAC"/>
    <w:rsid w:val="55CF2AA3"/>
    <w:rsid w:val="55DC6814"/>
    <w:rsid w:val="55ED699F"/>
    <w:rsid w:val="56506606"/>
    <w:rsid w:val="566075AC"/>
    <w:rsid w:val="566969D2"/>
    <w:rsid w:val="56DE0C8B"/>
    <w:rsid w:val="573B0F53"/>
    <w:rsid w:val="57803A3C"/>
    <w:rsid w:val="57AC396B"/>
    <w:rsid w:val="59097FF9"/>
    <w:rsid w:val="59F37060"/>
    <w:rsid w:val="5A137381"/>
    <w:rsid w:val="5A2F05C5"/>
    <w:rsid w:val="5A785436"/>
    <w:rsid w:val="5A8A39A1"/>
    <w:rsid w:val="5AA601F5"/>
    <w:rsid w:val="5ABC5E8B"/>
    <w:rsid w:val="5ABF4E13"/>
    <w:rsid w:val="5B0A44BF"/>
    <w:rsid w:val="5BA77B0A"/>
    <w:rsid w:val="5BB219FC"/>
    <w:rsid w:val="5BF412E2"/>
    <w:rsid w:val="5C2556B9"/>
    <w:rsid w:val="5CC65B12"/>
    <w:rsid w:val="5CEB0AAC"/>
    <w:rsid w:val="5D3741C2"/>
    <w:rsid w:val="5D7A432E"/>
    <w:rsid w:val="5DBE68A0"/>
    <w:rsid w:val="5DD873A3"/>
    <w:rsid w:val="5DF41277"/>
    <w:rsid w:val="5E826883"/>
    <w:rsid w:val="5EB70886"/>
    <w:rsid w:val="5ECC38DE"/>
    <w:rsid w:val="5F395877"/>
    <w:rsid w:val="5F6B5CD3"/>
    <w:rsid w:val="5FC46A3F"/>
    <w:rsid w:val="60E46136"/>
    <w:rsid w:val="60ED1E15"/>
    <w:rsid w:val="60FE1634"/>
    <w:rsid w:val="611901F4"/>
    <w:rsid w:val="612A1B73"/>
    <w:rsid w:val="61323F23"/>
    <w:rsid w:val="61A556D5"/>
    <w:rsid w:val="61DE683B"/>
    <w:rsid w:val="6352150E"/>
    <w:rsid w:val="635309BE"/>
    <w:rsid w:val="6381535B"/>
    <w:rsid w:val="63FF3951"/>
    <w:rsid w:val="64061D04"/>
    <w:rsid w:val="64996476"/>
    <w:rsid w:val="64AD3F2E"/>
    <w:rsid w:val="64D67929"/>
    <w:rsid w:val="66737319"/>
    <w:rsid w:val="66AC3D37"/>
    <w:rsid w:val="672571B3"/>
    <w:rsid w:val="67892A30"/>
    <w:rsid w:val="67A30EC3"/>
    <w:rsid w:val="68076E9A"/>
    <w:rsid w:val="68460921"/>
    <w:rsid w:val="684C4348"/>
    <w:rsid w:val="688825FF"/>
    <w:rsid w:val="688A0464"/>
    <w:rsid w:val="69927B3D"/>
    <w:rsid w:val="69A5079C"/>
    <w:rsid w:val="6A1E07C4"/>
    <w:rsid w:val="6A7A488E"/>
    <w:rsid w:val="6B255DA6"/>
    <w:rsid w:val="6B424759"/>
    <w:rsid w:val="6B581CE3"/>
    <w:rsid w:val="6B7C0DFE"/>
    <w:rsid w:val="6B7D20F6"/>
    <w:rsid w:val="6B851A67"/>
    <w:rsid w:val="6BE175C6"/>
    <w:rsid w:val="6C1B4B6C"/>
    <w:rsid w:val="6C557385"/>
    <w:rsid w:val="6C7D6F3E"/>
    <w:rsid w:val="6C9746B4"/>
    <w:rsid w:val="6CA9548B"/>
    <w:rsid w:val="6D765805"/>
    <w:rsid w:val="6DEE183F"/>
    <w:rsid w:val="6DF85D7D"/>
    <w:rsid w:val="6E1814A6"/>
    <w:rsid w:val="6E5E3E8A"/>
    <w:rsid w:val="6F9458F3"/>
    <w:rsid w:val="6F9F7137"/>
    <w:rsid w:val="6FA1567E"/>
    <w:rsid w:val="6FB930B7"/>
    <w:rsid w:val="6FC61848"/>
    <w:rsid w:val="7048679A"/>
    <w:rsid w:val="709D31E7"/>
    <w:rsid w:val="72C45BA4"/>
    <w:rsid w:val="72C629C3"/>
    <w:rsid w:val="72CB51FC"/>
    <w:rsid w:val="73065E04"/>
    <w:rsid w:val="743E1047"/>
    <w:rsid w:val="749018A2"/>
    <w:rsid w:val="749D47FF"/>
    <w:rsid w:val="74DF0D5C"/>
    <w:rsid w:val="75312C96"/>
    <w:rsid w:val="75627313"/>
    <w:rsid w:val="75C86E1A"/>
    <w:rsid w:val="76080005"/>
    <w:rsid w:val="762364AF"/>
    <w:rsid w:val="76CF4DB6"/>
    <w:rsid w:val="76E77774"/>
    <w:rsid w:val="76F16716"/>
    <w:rsid w:val="77091BAC"/>
    <w:rsid w:val="779B121C"/>
    <w:rsid w:val="77BB02C0"/>
    <w:rsid w:val="78BC1E15"/>
    <w:rsid w:val="78C57641"/>
    <w:rsid w:val="78EA70A7"/>
    <w:rsid w:val="7909533E"/>
    <w:rsid w:val="794F11F5"/>
    <w:rsid w:val="79A12481"/>
    <w:rsid w:val="79C9236D"/>
    <w:rsid w:val="7A464A2C"/>
    <w:rsid w:val="7A57076C"/>
    <w:rsid w:val="7A79130D"/>
    <w:rsid w:val="7B5C2F11"/>
    <w:rsid w:val="7B6847D1"/>
    <w:rsid w:val="7C17408A"/>
    <w:rsid w:val="7C496267"/>
    <w:rsid w:val="7C8C1EF5"/>
    <w:rsid w:val="7C8C33CA"/>
    <w:rsid w:val="7C9723A3"/>
    <w:rsid w:val="7D4A236D"/>
    <w:rsid w:val="7D4B2644"/>
    <w:rsid w:val="7DA91C4A"/>
    <w:rsid w:val="7DB71E82"/>
    <w:rsid w:val="7DD03920"/>
    <w:rsid w:val="7DDD07CB"/>
    <w:rsid w:val="7E98005F"/>
    <w:rsid w:val="7EAE6EC5"/>
    <w:rsid w:val="7F6F69E9"/>
    <w:rsid w:val="7FCC26A6"/>
    <w:rsid w:val="7FF230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4845F791"/>
  <w15:docId w15:val="{12BA6217-E15A-47F8-90AD-35D7D65C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next w:val="a1"/>
    <w:qFormat/>
    <w:rsid w:val="00833E93"/>
    <w:pPr>
      <w:widowControl w:val="0"/>
      <w:spacing w:line="360" w:lineRule="auto"/>
      <w:ind w:firstLineChars="200" w:firstLine="600"/>
      <w:jc w:val="both"/>
    </w:pPr>
    <w:rPr>
      <w:rFonts w:eastAsiaTheme="minorEastAsia" w:cstheme="minorBidi"/>
      <w:kern w:val="2"/>
      <w:sz w:val="24"/>
      <w:szCs w:val="24"/>
    </w:rPr>
  </w:style>
  <w:style w:type="paragraph" w:styleId="1">
    <w:name w:val="heading 1"/>
    <w:basedOn w:val="a0"/>
    <w:next w:val="a0"/>
    <w:qFormat/>
    <w:rsid w:val="00833E93"/>
    <w:pPr>
      <w:keepNext/>
      <w:keepLines/>
      <w:numPr>
        <w:numId w:val="1"/>
      </w:numPr>
      <w:spacing w:line="560" w:lineRule="exact"/>
      <w:ind w:firstLine="960"/>
      <w:outlineLvl w:val="0"/>
    </w:pPr>
    <w:rPr>
      <w:rFonts w:eastAsia="黑体"/>
      <w:kern w:val="44"/>
      <w:sz w:val="32"/>
    </w:rPr>
  </w:style>
  <w:style w:type="paragraph" w:styleId="2">
    <w:name w:val="heading 2"/>
    <w:basedOn w:val="a0"/>
    <w:next w:val="a0"/>
    <w:unhideWhenUsed/>
    <w:qFormat/>
    <w:rsid w:val="00833E93"/>
    <w:pPr>
      <w:keepNext/>
      <w:keepLines/>
      <w:numPr>
        <w:ilvl w:val="1"/>
        <w:numId w:val="1"/>
      </w:numPr>
      <w:spacing w:line="560" w:lineRule="exact"/>
      <w:ind w:firstLine="960"/>
      <w:outlineLvl w:val="1"/>
    </w:pPr>
    <w:rPr>
      <w:rFonts w:ascii="Arial" w:eastAsia="楷体" w:hAnsi="Arial"/>
      <w:sz w:val="32"/>
    </w:rPr>
  </w:style>
  <w:style w:type="paragraph" w:styleId="3">
    <w:name w:val="heading 3"/>
    <w:basedOn w:val="a0"/>
    <w:next w:val="a0"/>
    <w:semiHidden/>
    <w:unhideWhenUsed/>
    <w:qFormat/>
    <w:rsid w:val="00833E93"/>
    <w:pPr>
      <w:keepNext/>
      <w:keepLines/>
      <w:numPr>
        <w:ilvl w:val="2"/>
        <w:numId w:val="1"/>
      </w:numPr>
      <w:spacing w:line="413" w:lineRule="auto"/>
      <w:ind w:firstLineChars="0" w:firstLine="0"/>
      <w:outlineLvl w:val="2"/>
    </w:pPr>
    <w:rPr>
      <w:b/>
      <w:sz w:val="32"/>
    </w:rPr>
  </w:style>
  <w:style w:type="paragraph" w:styleId="4">
    <w:name w:val="heading 4"/>
    <w:basedOn w:val="a0"/>
    <w:next w:val="a0"/>
    <w:semiHidden/>
    <w:unhideWhenUsed/>
    <w:qFormat/>
    <w:rsid w:val="00833E93"/>
    <w:pPr>
      <w:keepNext/>
      <w:keepLines/>
      <w:numPr>
        <w:ilvl w:val="3"/>
        <w:numId w:val="1"/>
      </w:numPr>
      <w:spacing w:line="372" w:lineRule="auto"/>
      <w:ind w:firstLineChars="0" w:firstLine="0"/>
      <w:outlineLvl w:val="3"/>
    </w:pPr>
    <w:rPr>
      <w:rFonts w:ascii="Arial" w:eastAsia="黑体" w:hAnsi="Arial"/>
      <w:b/>
      <w:sz w:val="28"/>
    </w:rPr>
  </w:style>
  <w:style w:type="paragraph" w:styleId="5">
    <w:name w:val="heading 5"/>
    <w:basedOn w:val="a0"/>
    <w:next w:val="a0"/>
    <w:semiHidden/>
    <w:unhideWhenUsed/>
    <w:qFormat/>
    <w:rsid w:val="00833E93"/>
    <w:pPr>
      <w:keepNext/>
      <w:keepLines/>
      <w:numPr>
        <w:ilvl w:val="4"/>
        <w:numId w:val="1"/>
      </w:numPr>
      <w:spacing w:line="372" w:lineRule="auto"/>
      <w:ind w:firstLineChars="0" w:firstLine="0"/>
      <w:outlineLvl w:val="4"/>
    </w:pPr>
    <w:rPr>
      <w:b/>
      <w:sz w:val="28"/>
    </w:rPr>
  </w:style>
  <w:style w:type="paragraph" w:styleId="6">
    <w:name w:val="heading 6"/>
    <w:basedOn w:val="a0"/>
    <w:next w:val="a0"/>
    <w:semiHidden/>
    <w:unhideWhenUsed/>
    <w:qFormat/>
    <w:rsid w:val="00833E93"/>
    <w:pPr>
      <w:keepNext/>
      <w:keepLines/>
      <w:numPr>
        <w:ilvl w:val="5"/>
        <w:numId w:val="1"/>
      </w:numPr>
      <w:spacing w:line="317" w:lineRule="auto"/>
      <w:ind w:firstLineChars="0" w:firstLine="0"/>
      <w:outlineLvl w:val="5"/>
    </w:pPr>
    <w:rPr>
      <w:rFonts w:ascii="Arial" w:eastAsia="黑体" w:hAnsi="Arial"/>
      <w:b/>
    </w:rPr>
  </w:style>
  <w:style w:type="paragraph" w:styleId="7">
    <w:name w:val="heading 7"/>
    <w:basedOn w:val="a0"/>
    <w:next w:val="a0"/>
    <w:semiHidden/>
    <w:unhideWhenUsed/>
    <w:qFormat/>
    <w:rsid w:val="00833E93"/>
    <w:pPr>
      <w:keepNext/>
      <w:keepLines/>
      <w:numPr>
        <w:ilvl w:val="6"/>
        <w:numId w:val="1"/>
      </w:numPr>
      <w:spacing w:line="317" w:lineRule="auto"/>
      <w:ind w:firstLineChars="0" w:firstLine="0"/>
      <w:outlineLvl w:val="6"/>
    </w:pPr>
    <w:rPr>
      <w:b/>
    </w:rPr>
  </w:style>
  <w:style w:type="paragraph" w:styleId="8">
    <w:name w:val="heading 8"/>
    <w:basedOn w:val="a0"/>
    <w:next w:val="a0"/>
    <w:semiHidden/>
    <w:unhideWhenUsed/>
    <w:qFormat/>
    <w:rsid w:val="00833E93"/>
    <w:pPr>
      <w:keepNext/>
      <w:keepLines/>
      <w:numPr>
        <w:ilvl w:val="7"/>
        <w:numId w:val="1"/>
      </w:numPr>
      <w:spacing w:line="317" w:lineRule="auto"/>
      <w:ind w:firstLineChars="0" w:firstLine="0"/>
      <w:outlineLvl w:val="7"/>
    </w:pPr>
    <w:rPr>
      <w:rFonts w:ascii="Arial" w:eastAsia="黑体" w:hAnsi="Arial"/>
    </w:rPr>
  </w:style>
  <w:style w:type="paragraph" w:styleId="9">
    <w:name w:val="heading 9"/>
    <w:basedOn w:val="a0"/>
    <w:next w:val="a0"/>
    <w:semiHidden/>
    <w:unhideWhenUsed/>
    <w:qFormat/>
    <w:rsid w:val="00833E93"/>
    <w:pPr>
      <w:keepNext/>
      <w:keepLines/>
      <w:numPr>
        <w:ilvl w:val="8"/>
        <w:numId w:val="1"/>
      </w:numPr>
      <w:spacing w:line="317" w:lineRule="auto"/>
      <w:ind w:firstLineChars="0" w:firstLine="0"/>
      <w:outlineLvl w:val="8"/>
    </w:pPr>
    <w:rPr>
      <w:rFonts w:ascii="Arial" w:eastAsia="黑体" w:hAnsi="Arial"/>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Title"/>
    <w:basedOn w:val="a0"/>
    <w:next w:val="a0"/>
    <w:uiPriority w:val="10"/>
    <w:qFormat/>
    <w:rsid w:val="00833E93"/>
    <w:pPr>
      <w:ind w:leftChars="200" w:left="640"/>
      <w:outlineLvl w:val="0"/>
    </w:pPr>
    <w:rPr>
      <w:rFonts w:ascii="Arial" w:eastAsia="仿宋_GB2312" w:hAnsi="Arial"/>
      <w:b/>
      <w:sz w:val="32"/>
    </w:rPr>
  </w:style>
  <w:style w:type="paragraph" w:styleId="a5">
    <w:name w:val="annotation text"/>
    <w:basedOn w:val="a0"/>
    <w:qFormat/>
    <w:rsid w:val="00833E93"/>
    <w:pPr>
      <w:jc w:val="left"/>
    </w:pPr>
  </w:style>
  <w:style w:type="paragraph" w:styleId="a6">
    <w:name w:val="Body Text Indent"/>
    <w:basedOn w:val="a0"/>
    <w:qFormat/>
    <w:rsid w:val="00833E93"/>
    <w:pPr>
      <w:spacing w:line="570" w:lineRule="exact"/>
      <w:ind w:firstLine="616"/>
    </w:pPr>
    <w:rPr>
      <w:spacing w:val="-6"/>
    </w:rPr>
  </w:style>
  <w:style w:type="paragraph" w:styleId="30">
    <w:name w:val="toc 3"/>
    <w:basedOn w:val="a0"/>
    <w:next w:val="a0"/>
    <w:qFormat/>
    <w:rsid w:val="00833E93"/>
    <w:pPr>
      <w:ind w:leftChars="400" w:left="840"/>
    </w:pPr>
  </w:style>
  <w:style w:type="paragraph" w:styleId="a7">
    <w:name w:val="footer"/>
    <w:basedOn w:val="a0"/>
    <w:qFormat/>
    <w:rsid w:val="00833E93"/>
    <w:pPr>
      <w:tabs>
        <w:tab w:val="center" w:pos="4153"/>
        <w:tab w:val="right" w:pos="8306"/>
      </w:tabs>
      <w:snapToGrid w:val="0"/>
      <w:jc w:val="left"/>
    </w:pPr>
    <w:rPr>
      <w:sz w:val="18"/>
    </w:rPr>
  </w:style>
  <w:style w:type="paragraph" w:styleId="a8">
    <w:name w:val="header"/>
    <w:basedOn w:val="a0"/>
    <w:qFormat/>
    <w:rsid w:val="00833E93"/>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10">
    <w:name w:val="toc 1"/>
    <w:basedOn w:val="a0"/>
    <w:next w:val="a0"/>
    <w:qFormat/>
    <w:rsid w:val="00833E93"/>
  </w:style>
  <w:style w:type="paragraph" w:styleId="20">
    <w:name w:val="toc 2"/>
    <w:basedOn w:val="a0"/>
    <w:next w:val="a0"/>
    <w:qFormat/>
    <w:rsid w:val="00833E93"/>
    <w:pPr>
      <w:ind w:leftChars="200" w:left="420"/>
    </w:pPr>
  </w:style>
  <w:style w:type="paragraph" w:styleId="a9">
    <w:name w:val="Normal (Web)"/>
    <w:basedOn w:val="a0"/>
    <w:qFormat/>
    <w:rsid w:val="00833E93"/>
    <w:pPr>
      <w:spacing w:beforeAutospacing="1" w:afterAutospacing="1"/>
      <w:jc w:val="left"/>
    </w:pPr>
    <w:rPr>
      <w:rFonts w:cs="Times New Roman"/>
      <w:kern w:val="0"/>
    </w:rPr>
  </w:style>
  <w:style w:type="table" w:styleId="aa">
    <w:name w:val="Table Grid"/>
    <w:basedOn w:val="a3"/>
    <w:uiPriority w:val="59"/>
    <w:qFormat/>
    <w:rsid w:val="00833E93"/>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2"/>
    <w:qFormat/>
    <w:rsid w:val="00833E93"/>
    <w:rPr>
      <w:b/>
    </w:rPr>
  </w:style>
  <w:style w:type="character" w:styleId="ac">
    <w:name w:val="Hyperlink"/>
    <w:basedOn w:val="a2"/>
    <w:qFormat/>
    <w:rsid w:val="00833E93"/>
    <w:rPr>
      <w:color w:val="0000FF"/>
      <w:u w:val="single"/>
    </w:rPr>
  </w:style>
  <w:style w:type="paragraph" w:customStyle="1" w:styleId="a">
    <w:name w:val="提纲样式"/>
    <w:basedOn w:val="a0"/>
    <w:qFormat/>
    <w:rsid w:val="00833E93"/>
    <w:pPr>
      <w:numPr>
        <w:numId w:val="2"/>
      </w:numPr>
      <w:ind w:firstLineChars="0"/>
    </w:pPr>
    <w:rPr>
      <w:rFonts w:eastAsia="宋体"/>
    </w:rPr>
  </w:style>
  <w:style w:type="paragraph" w:customStyle="1" w:styleId="ad">
    <w:name w:val="规划正文"/>
    <w:basedOn w:val="a0"/>
    <w:qFormat/>
    <w:rsid w:val="00833E93"/>
    <w:pPr>
      <w:spacing w:line="560" w:lineRule="exact"/>
    </w:pPr>
    <w:rPr>
      <w:rFonts w:eastAsia="仿宋" w:cs="仿宋" w:hint="eastAsia"/>
      <w:sz w:val="32"/>
      <w:szCs w:val="32"/>
    </w:rPr>
  </w:style>
  <w:style w:type="paragraph" w:customStyle="1" w:styleId="WPSOffice1">
    <w:name w:val="WPSOffice手动目录 1"/>
    <w:qFormat/>
    <w:rsid w:val="00833E93"/>
  </w:style>
  <w:style w:type="paragraph" w:customStyle="1" w:styleId="WPSOffice2">
    <w:name w:val="WPSOffice手动目录 2"/>
    <w:qFormat/>
    <w:rsid w:val="00833E93"/>
    <w:pPr>
      <w:ind w:leftChars="200" w:left="200"/>
    </w:pPr>
  </w:style>
  <w:style w:type="paragraph" w:customStyle="1" w:styleId="WPSOffice3">
    <w:name w:val="WPSOffice手动目录 3"/>
    <w:qFormat/>
    <w:rsid w:val="00833E93"/>
    <w:pPr>
      <w:ind w:leftChars="400" w:left="400"/>
    </w:pPr>
  </w:style>
  <w:style w:type="paragraph" w:styleId="ae">
    <w:name w:val="Balloon Text"/>
    <w:basedOn w:val="a0"/>
    <w:link w:val="af"/>
    <w:rsid w:val="00E53BDD"/>
    <w:pPr>
      <w:spacing w:line="240" w:lineRule="auto"/>
    </w:pPr>
    <w:rPr>
      <w:sz w:val="18"/>
      <w:szCs w:val="18"/>
    </w:rPr>
  </w:style>
  <w:style w:type="character" w:customStyle="1" w:styleId="af">
    <w:name w:val="批注框文本 字符"/>
    <w:basedOn w:val="a2"/>
    <w:link w:val="ae"/>
    <w:rsid w:val="00E53BDD"/>
    <w:rPr>
      <w:rFonts w:eastAsiaTheme="minorEastAsia"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23</Pages>
  <Words>1919</Words>
  <Characters>10940</Characters>
  <Application>Microsoft Office Word</Application>
  <DocSecurity>0</DocSecurity>
  <Lines>91</Lines>
  <Paragraphs>25</Paragraphs>
  <ScaleCrop>false</ScaleCrop>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追梦的小猪</dc:creator>
  <cp:lastModifiedBy>avril</cp:lastModifiedBy>
  <cp:revision>10</cp:revision>
  <cp:lastPrinted>2022-07-04T07:43:00Z</cp:lastPrinted>
  <dcterms:created xsi:type="dcterms:W3CDTF">2022-07-03T14:11:00Z</dcterms:created>
  <dcterms:modified xsi:type="dcterms:W3CDTF">2023-01-11T14:51:00Z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1D0A60DE10594AF5931AEA7CD194D43F</vt:lpwstr>
  </property>
  <property fmtid="{D5CDD505-2E9C-101B-9397-08002B2CF9AE}" pid="4" name="commondata">
    <vt:lpwstr>eyJoZGlkIjoiZDVjNDEwMWQzNGRmMTI3NDYwZDE2NTI5YTU4NWQyOTIifQ==</vt:lpwstr>
  </property>
</Properties>
</file>