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pPr>
    </w:p>
    <w:p>
      <w:pPr>
        <w:ind w:firstLine="560"/>
      </w:pPr>
    </w:p>
    <w:p>
      <w:pPr>
        <w:ind w:firstLine="560"/>
        <w:jc w:val="center"/>
      </w:pPr>
    </w:p>
    <w:p>
      <w:pPr>
        <w:ind w:firstLine="560"/>
        <w:jc w:val="center"/>
      </w:pPr>
    </w:p>
    <w:p>
      <w:pPr>
        <w:ind w:firstLine="560"/>
        <w:jc w:val="center"/>
      </w:pPr>
    </w:p>
    <w:p>
      <w:pPr>
        <w:ind w:firstLine="560"/>
        <w:jc w:val="center"/>
      </w:pPr>
    </w:p>
    <w:p>
      <w:pPr>
        <w:jc w:val="center"/>
        <w:rPr>
          <w:rFonts w:hint="eastAsia" w:ascii="方正小标宋简体" w:hAnsi="宋体" w:eastAsia="方正小标宋简体"/>
          <w:b/>
          <w:sz w:val="44"/>
          <w:szCs w:val="44"/>
        </w:rPr>
      </w:pPr>
      <w:r>
        <w:rPr>
          <w:rFonts w:hint="eastAsia" w:ascii="方正小标宋简体" w:hAnsi="宋体" w:eastAsia="方正小标宋简体"/>
          <w:b/>
          <w:sz w:val="44"/>
          <w:szCs w:val="44"/>
        </w:rPr>
        <w:t>朝阳区“十四五”时期体育发展规划</w:t>
      </w:r>
    </w:p>
    <w:p>
      <w:pPr>
        <w:ind w:firstLine="643"/>
        <w:jc w:val="center"/>
        <w:rPr>
          <w:rFonts w:hint="eastAsia" w:ascii="宋体" w:hAnsi="宋体"/>
          <w:b/>
          <w:sz w:val="32"/>
          <w:szCs w:val="32"/>
        </w:rPr>
      </w:pPr>
    </w:p>
    <w:p>
      <w:pPr>
        <w:ind w:firstLine="803"/>
        <w:rPr>
          <w:rFonts w:hint="eastAsia" w:ascii="宋体" w:hAnsi="宋体"/>
          <w:b/>
          <w:sz w:val="40"/>
          <w:szCs w:val="40"/>
        </w:rPr>
      </w:pPr>
    </w:p>
    <w:p>
      <w:pPr>
        <w:ind w:firstLine="803"/>
        <w:rPr>
          <w:rFonts w:ascii="宋体" w:hAnsi="宋体"/>
          <w:b/>
          <w:sz w:val="40"/>
          <w:szCs w:val="40"/>
        </w:rPr>
      </w:pPr>
    </w:p>
    <w:p>
      <w:pPr>
        <w:ind w:firstLine="803"/>
        <w:rPr>
          <w:rFonts w:ascii="宋体" w:hAnsi="宋体"/>
          <w:b/>
          <w:sz w:val="40"/>
          <w:szCs w:val="40"/>
        </w:rPr>
      </w:pPr>
    </w:p>
    <w:p>
      <w:pPr>
        <w:ind w:firstLine="803"/>
        <w:rPr>
          <w:rFonts w:ascii="宋体" w:hAnsi="宋体"/>
          <w:b/>
          <w:sz w:val="40"/>
          <w:szCs w:val="40"/>
        </w:rPr>
      </w:pPr>
    </w:p>
    <w:p>
      <w:pPr>
        <w:ind w:firstLine="803"/>
        <w:rPr>
          <w:rFonts w:hint="eastAsia" w:ascii="宋体" w:hAnsi="宋体"/>
          <w:b/>
          <w:sz w:val="40"/>
          <w:szCs w:val="40"/>
        </w:rPr>
      </w:pPr>
    </w:p>
    <w:p>
      <w:pPr>
        <w:ind w:firstLine="803"/>
        <w:rPr>
          <w:rFonts w:ascii="宋体" w:hAnsi="宋体"/>
          <w:b/>
          <w:sz w:val="40"/>
          <w:szCs w:val="40"/>
        </w:rPr>
      </w:pPr>
    </w:p>
    <w:p>
      <w:pPr>
        <w:rPr>
          <w:rFonts w:ascii="宋体" w:hAnsi="宋体"/>
          <w:b/>
          <w:sz w:val="40"/>
          <w:szCs w:val="40"/>
        </w:rPr>
      </w:pPr>
    </w:p>
    <w:p>
      <w:pPr>
        <w:rPr>
          <w:rFonts w:hint="eastAsia" w:ascii="宋体" w:hAnsi="宋体"/>
          <w:b/>
          <w:sz w:val="40"/>
          <w:szCs w:val="40"/>
        </w:rPr>
      </w:pPr>
    </w:p>
    <w:p>
      <w:pPr>
        <w:rPr>
          <w:rFonts w:hint="eastAsia" w:ascii="宋体" w:hAnsi="宋体"/>
          <w:b/>
          <w:sz w:val="40"/>
          <w:szCs w:val="40"/>
        </w:rPr>
      </w:pPr>
    </w:p>
    <w:p>
      <w:pPr>
        <w:rPr>
          <w:rFonts w:ascii="宋体" w:hAnsi="宋体"/>
          <w:b/>
          <w:sz w:val="40"/>
          <w:szCs w:val="40"/>
        </w:rPr>
      </w:pPr>
    </w:p>
    <w:p>
      <w:pPr>
        <w:ind w:firstLine="3253" w:firstLineChars="900"/>
        <w:jc w:val="left"/>
        <w:rPr>
          <w:rFonts w:hint="eastAsia" w:ascii="宋体" w:hAnsi="宋体"/>
          <w:b/>
          <w:sz w:val="36"/>
          <w:szCs w:val="36"/>
        </w:rPr>
      </w:pPr>
    </w:p>
    <w:p>
      <w:pPr>
        <w:jc w:val="center"/>
        <w:rPr>
          <w:rFonts w:hint="eastAsia" w:ascii="仿宋_GB2312" w:hAnsi="宋体" w:eastAsia="仿宋_GB2312"/>
          <w:sz w:val="32"/>
          <w:szCs w:val="32"/>
        </w:rPr>
      </w:pPr>
      <w:r>
        <w:rPr>
          <w:rFonts w:hint="eastAsia" w:ascii="仿宋_GB2312" w:hAnsi="宋体" w:eastAsia="仿宋_GB2312"/>
          <w:sz w:val="32"/>
          <w:szCs w:val="32"/>
        </w:rPr>
        <w:t>北京市朝阳区体育局</w:t>
      </w:r>
    </w:p>
    <w:p>
      <w:pPr>
        <w:jc w:val="center"/>
        <w:rPr>
          <w:rFonts w:hint="eastAsia" w:ascii="仿宋_GB2312" w:hAnsi="宋体" w:eastAsia="仿宋_GB2312"/>
          <w:sz w:val="32"/>
          <w:szCs w:val="32"/>
        </w:rPr>
      </w:pPr>
      <w:r>
        <w:rPr>
          <w:rFonts w:hint="eastAsia" w:ascii="仿宋_GB2312" w:hAnsi="宋体" w:eastAsia="仿宋_GB2312"/>
          <w:sz w:val="32"/>
          <w:szCs w:val="32"/>
        </w:rPr>
        <w:t>北京市朝阳区发展和改革委员会</w:t>
      </w:r>
    </w:p>
    <w:p>
      <w:pPr>
        <w:ind w:firstLine="803"/>
        <w:jc w:val="center"/>
        <w:rPr>
          <w:rFonts w:ascii="宋体" w:hAnsi="宋体"/>
          <w:b/>
          <w:sz w:val="40"/>
          <w:szCs w:val="40"/>
        </w:rPr>
      </w:pPr>
    </w:p>
    <w:p>
      <w:pPr>
        <w:pStyle w:val="12"/>
        <w:spacing w:before="156"/>
        <w:ind w:firstLine="643"/>
        <w:jc w:val="both"/>
        <w:sectPr>
          <w:pgSz w:w="11906" w:h="16838"/>
          <w:pgMar w:top="1440" w:right="1800" w:bottom="1440" w:left="1800" w:header="851" w:footer="992" w:gutter="0"/>
          <w:pgNumType w:start="1"/>
          <w:cols w:space="720" w:num="1"/>
          <w:docGrid w:type="lines" w:linePitch="312" w:charSpace="0"/>
        </w:sectPr>
      </w:pPr>
    </w:p>
    <w:p>
      <w:pPr>
        <w:pStyle w:val="2"/>
        <w:spacing w:after="312" w:afterLines="100"/>
        <w:ind w:firstLine="561"/>
        <w:jc w:val="center"/>
        <w:rPr>
          <w:rFonts w:hint="eastAsia"/>
          <w:sz w:val="36"/>
          <w:szCs w:val="36"/>
        </w:rPr>
      </w:pPr>
      <w:bookmarkStart w:id="0" w:name="_Toc28965"/>
      <w:bookmarkStart w:id="1" w:name="_Toc1780"/>
      <w:bookmarkStart w:id="2" w:name="_Toc5807"/>
      <w:bookmarkStart w:id="3" w:name="_Toc440926491"/>
      <w:bookmarkStart w:id="4" w:name="_Toc440817389"/>
      <w:bookmarkStart w:id="5" w:name="_Toc440817473"/>
      <w:bookmarkStart w:id="6" w:name="_Toc1470"/>
      <w:r>
        <w:rPr>
          <w:rFonts w:hint="eastAsia"/>
          <w:sz w:val="36"/>
          <w:szCs w:val="36"/>
        </w:rPr>
        <w:t>序 言</w:t>
      </w:r>
      <w:bookmarkEnd w:id="0"/>
      <w:bookmarkEnd w:id="1"/>
      <w:r>
        <w:rPr>
          <w:rFonts w:hint="eastAsia"/>
          <w:sz w:val="36"/>
          <w:szCs w:val="36"/>
        </w:rPr>
        <w:t xml:space="preserve">   </w:t>
      </w:r>
    </w:p>
    <w:bookmarkEnd w:id="2"/>
    <w:bookmarkEnd w:id="3"/>
    <w:bookmarkEnd w:id="4"/>
    <w:bookmarkEnd w:id="5"/>
    <w:bookmarkEnd w:id="6"/>
    <w:p>
      <w:pPr>
        <w:spacing w:line="600" w:lineRule="exact"/>
        <w:ind w:firstLine="643"/>
        <w:rPr>
          <w:rStyle w:val="55"/>
          <w:rFonts w:hint="eastAsia"/>
        </w:rPr>
      </w:pPr>
      <w:r>
        <w:rPr>
          <w:rFonts w:hint="eastAsia" w:ascii="Times New Roman" w:hAnsi="Times New Roman" w:eastAsia="仿宋_GB2312"/>
          <w:sz w:val="32"/>
          <w:szCs w:val="32"/>
        </w:rPr>
        <w:t>朝阳区是首都功能及2022年北京冬奥会和冬残奥会的重要承载区和国际交往的重要窗口，朝阳区体育工作是承载区和窗口的重要展示内容，也是建设体育强区和健康朝阳的重要支撑。“十四五”时期是开启全面建设社会主义现代化国家新征程的关键时期，是推进落实健康中国和体育强国建设的加速时期。加快体育融入美好生活，提升区域居民体质能力，全面提升朝阳区体育综合水平，推进经济转型升级，建设体育强区，实现朝阳区“十四五”时期体育工作创新高质量发展，是推进朝阳区建设成为首都高质量发展示范区、文化创新引领区、国际交往中心区、绿色宜居标杆区的重要内容。在新时代的新起点，编制好朝阳区“十四五”时期体育发展改革规划，对于明确新时代体育发展与改革任务，更好地发挥体育在社会经济发展中的作用具有重要意义。</w:t>
      </w:r>
    </w:p>
    <w:p>
      <w:pPr>
        <w:spacing w:line="600" w:lineRule="exact"/>
        <w:ind w:firstLine="643"/>
        <w:jc w:val="left"/>
        <w:rPr>
          <w:rFonts w:hint="eastAsia" w:ascii="Times New Roman" w:hAnsi="Times New Roman" w:eastAsia="仿宋_GB2312"/>
          <w:sz w:val="32"/>
          <w:szCs w:val="32"/>
        </w:rPr>
      </w:pPr>
      <w:r>
        <w:rPr>
          <w:rFonts w:hint="eastAsia" w:ascii="Times New Roman" w:hAnsi="Times New Roman" w:eastAsia="仿宋_GB2312"/>
          <w:sz w:val="32"/>
          <w:szCs w:val="32"/>
        </w:rPr>
        <w:t>根据《“</w:t>
      </w:r>
      <w:r>
        <w:rPr>
          <w:rFonts w:ascii="Times New Roman" w:hAnsi="Times New Roman" w:eastAsia="仿宋_GB2312"/>
          <w:sz w:val="32"/>
          <w:szCs w:val="32"/>
        </w:rPr>
        <w:t>健康中国2030</w:t>
      </w:r>
      <w:r>
        <w:rPr>
          <w:rFonts w:hint="eastAsia" w:ascii="Times New Roman" w:hAnsi="Times New Roman" w:eastAsia="仿宋_GB2312"/>
          <w:sz w:val="32"/>
          <w:szCs w:val="32"/>
        </w:rPr>
        <w:t>”</w:t>
      </w:r>
      <w:r>
        <w:rPr>
          <w:rFonts w:ascii="Times New Roman" w:hAnsi="Times New Roman" w:eastAsia="仿宋_GB2312"/>
          <w:sz w:val="32"/>
          <w:szCs w:val="32"/>
        </w:rPr>
        <w:t>规划纲要》</w:t>
      </w:r>
      <w:r>
        <w:rPr>
          <w:rFonts w:hint="eastAsia" w:ascii="Times New Roman" w:hAnsi="Times New Roman" w:eastAsia="仿宋_GB2312"/>
          <w:sz w:val="32"/>
          <w:szCs w:val="32"/>
        </w:rPr>
        <w:t>《体育强国建设纲要》等党中央、国务院对体育工作的一系列指示精神，依据《</w:t>
      </w:r>
      <w:bookmarkStart w:id="7" w:name="_Toc416958536"/>
      <w:bookmarkStart w:id="8" w:name="_Toc420315582"/>
      <w:bookmarkStart w:id="9" w:name="_Toc421539961"/>
      <w:bookmarkStart w:id="10" w:name="_Toc421541141"/>
      <w:bookmarkStart w:id="11" w:name="_Toc416367070"/>
      <w:bookmarkStart w:id="12" w:name="_Toc421164230"/>
      <w:bookmarkStart w:id="13" w:name="_Toc416417811"/>
      <w:bookmarkStart w:id="14" w:name="_Toc421538332"/>
      <w:bookmarkStart w:id="15" w:name="_Toc420259221"/>
      <w:bookmarkStart w:id="16" w:name="_Toc420259131"/>
      <w:bookmarkStart w:id="17" w:name="_Toc416964439"/>
      <w:bookmarkStart w:id="18" w:name="_Toc420166956"/>
      <w:bookmarkStart w:id="19" w:name="_Toc419274247"/>
      <w:bookmarkStart w:id="20" w:name="_Toc419310963"/>
      <w:r>
        <w:rPr>
          <w:rFonts w:hint="eastAsia" w:ascii="Times New Roman" w:hAnsi="Times New Roman" w:eastAsia="仿宋_GB2312"/>
          <w:sz w:val="32"/>
          <w:szCs w:val="32"/>
        </w:rPr>
        <w:t>北京市“十四五”时期体育发展规划</w:t>
      </w:r>
      <w:bookmarkEnd w:id="7"/>
      <w:bookmarkEnd w:id="8"/>
      <w:bookmarkEnd w:id="9"/>
      <w:bookmarkEnd w:id="10"/>
      <w:bookmarkEnd w:id="11"/>
      <w:bookmarkEnd w:id="12"/>
      <w:bookmarkEnd w:id="13"/>
      <w:bookmarkEnd w:id="14"/>
      <w:bookmarkEnd w:id="15"/>
      <w:bookmarkEnd w:id="16"/>
      <w:bookmarkEnd w:id="17"/>
      <w:bookmarkEnd w:id="18"/>
      <w:bookmarkEnd w:id="19"/>
      <w:bookmarkEnd w:id="20"/>
      <w:r>
        <w:rPr>
          <w:rFonts w:hint="eastAsia" w:ascii="Times New Roman" w:hAnsi="Times New Roman" w:eastAsia="仿宋_GB2312"/>
          <w:sz w:val="32"/>
          <w:szCs w:val="32"/>
        </w:rPr>
        <w:t>纲要》和《北京市朝阳区国民经济和社会发展第十四个五年规划和二〇三五年远景目标纲要》等要求编制了本规划，规划期限为2021年-2025年。本规划明确了“十四五”时期全区体育发展目标、重点任务和重大举措，是指导朝阳区体育工作发展的蓝图，是全区建设体育强区的行动纲领。</w:t>
      </w:r>
    </w:p>
    <w:p>
      <w:pPr>
        <w:pStyle w:val="2"/>
        <w:spacing w:after="0" w:afterLines="0"/>
        <w:ind w:firstLine="643" w:firstLineChars="200"/>
        <w:rPr>
          <w:rFonts w:hint="eastAsia" w:ascii="黑体" w:hAnsi="黑体"/>
          <w:szCs w:val="32"/>
        </w:rPr>
      </w:pPr>
      <w:bookmarkStart w:id="21" w:name="_Toc1527"/>
      <w:bookmarkStart w:id="22" w:name="_Toc17138"/>
      <w:bookmarkStart w:id="23" w:name="_Toc3098"/>
      <w:bookmarkStart w:id="24" w:name="_Toc485"/>
    </w:p>
    <w:p>
      <w:pPr>
        <w:pStyle w:val="2"/>
        <w:spacing w:after="0" w:afterLines="0"/>
        <w:ind w:firstLine="643" w:firstLineChars="200"/>
        <w:rPr>
          <w:rFonts w:ascii="黑体" w:hAnsi="黑体"/>
          <w:szCs w:val="32"/>
        </w:rPr>
      </w:pPr>
      <w:r>
        <w:rPr>
          <w:rFonts w:hint="eastAsia" w:ascii="黑体" w:hAnsi="黑体"/>
          <w:szCs w:val="32"/>
        </w:rPr>
        <w:t>一、“十三五”时期发展回顾</w:t>
      </w:r>
      <w:bookmarkEnd w:id="21"/>
      <w:bookmarkEnd w:id="22"/>
      <w:bookmarkEnd w:id="23"/>
      <w:bookmarkEnd w:id="24"/>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十三五”期间在区委、区政府的领导下，我区积极落实《国务院关于加快发展体育产业促进体育消费的若干意见》《体育强国建设纲要》《北京市“十三五”时期体育发展规划纲要》等文件，以区“十三五”体育规划为导向，各项体育工作取得了较好成绩，体育事业和产业呈现良好的发展态势。</w:t>
      </w:r>
    </w:p>
    <w:p>
      <w:pPr>
        <w:pStyle w:val="3"/>
        <w:bidi w:val="0"/>
        <w:rPr>
          <w:rFonts w:hint="eastAsia"/>
        </w:rPr>
      </w:pPr>
      <w:bookmarkStart w:id="25" w:name="_Toc25294"/>
      <w:bookmarkStart w:id="26" w:name="_Toc23678"/>
      <w:bookmarkStart w:id="27" w:name="_Toc11843"/>
      <w:bookmarkStart w:id="28" w:name="_Toc10385"/>
      <w:r>
        <w:rPr>
          <w:rFonts w:hint="eastAsia"/>
        </w:rPr>
        <w:t>（一）朝阳区“十三五”时期体育发展主要成就和经验</w:t>
      </w:r>
      <w:bookmarkEnd w:id="25"/>
      <w:bookmarkEnd w:id="26"/>
      <w:bookmarkEnd w:id="27"/>
      <w:bookmarkEnd w:id="28"/>
    </w:p>
    <w:p>
      <w:pPr>
        <w:spacing w:line="600" w:lineRule="exact"/>
        <w:ind w:firstLine="420" w:firstLineChars="200"/>
        <w:outlineLvl w:val="2"/>
        <w:rPr>
          <w:rStyle w:val="55"/>
          <w:rFonts w:hint="eastAsia"/>
        </w:rPr>
      </w:pPr>
      <w:bookmarkStart w:id="29" w:name="_Toc20145"/>
      <w:bookmarkStart w:id="30" w:name="_Toc5475"/>
      <w:bookmarkStart w:id="31" w:name="_Toc26896"/>
      <w:bookmarkStart w:id="32" w:name="_Toc28730"/>
      <w:r>
        <w:rPr>
          <w:rStyle w:val="55"/>
          <w:rFonts w:hint="eastAsia"/>
        </w:rPr>
        <w:t>1.</w:t>
      </w:r>
      <w:r>
        <w:rPr>
          <w:rFonts w:hint="eastAsia" w:ascii="Times New Roman" w:hAnsi="仿宋" w:eastAsia="仿宋_GB2312" w:cs="仿宋"/>
          <w:b/>
          <w:sz w:val="32"/>
          <w:szCs w:val="32"/>
        </w:rPr>
        <w:t>群众体育因需施策，全民健身服务水平稳步提升</w:t>
      </w:r>
      <w:bookmarkEnd w:id="29"/>
      <w:bookmarkEnd w:id="30"/>
      <w:bookmarkEnd w:id="31"/>
      <w:bookmarkEnd w:id="32"/>
    </w:p>
    <w:p>
      <w:pPr>
        <w:pStyle w:val="7"/>
        <w:spacing w:line="600" w:lineRule="exact"/>
        <w:ind w:firstLine="643" w:firstLineChars="200"/>
        <w:rPr>
          <w:rFonts w:ascii="Times New Roman"/>
          <w:b/>
          <w:sz w:val="32"/>
          <w:szCs w:val="32"/>
        </w:rPr>
      </w:pPr>
      <w:r>
        <w:rPr>
          <w:rFonts w:hint="eastAsia" w:ascii="Times New Roman"/>
          <w:b/>
          <w:sz w:val="32"/>
          <w:szCs w:val="32"/>
        </w:rPr>
        <w:t>（1）政府高度重视，</w:t>
      </w:r>
      <w:r>
        <w:rPr>
          <w:rFonts w:ascii="Times New Roman"/>
          <w:b/>
          <w:sz w:val="32"/>
          <w:szCs w:val="32"/>
        </w:rPr>
        <w:t>“多纳入”</w:t>
      </w:r>
      <w:r>
        <w:rPr>
          <w:rFonts w:hint="eastAsia" w:ascii="Times New Roman"/>
          <w:b/>
          <w:sz w:val="32"/>
          <w:szCs w:val="32"/>
        </w:rPr>
        <w:t>和</w:t>
      </w:r>
      <w:r>
        <w:rPr>
          <w:rFonts w:ascii="Times New Roman"/>
          <w:b/>
          <w:sz w:val="32"/>
          <w:szCs w:val="32"/>
        </w:rPr>
        <w:t>“促合力”</w:t>
      </w:r>
      <w:r>
        <w:rPr>
          <w:rFonts w:hint="eastAsia" w:ascii="Times New Roman"/>
          <w:b/>
          <w:sz w:val="32"/>
          <w:szCs w:val="32"/>
        </w:rPr>
        <w:t>首建片区服务机制</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十三五”时期全民健身工作在纳入区政府工作报告、全区国民经济和社会发展“十三五”规划、区财政预算的“三纳入”基础上，进一步实现了纳入区人大督办议题、区政府为民办实事项目和“折子工程”、国家卫生区、国家慢病防控示范区等创建工作指标、区总工会等部门的年度工作计划的“多纳入”。不断完善全民健身工作区、街（乡）、社区（村）三级系统体协组织管理网络，出台《朝阳区全民健身实施计划（2016-2020年）》及《任务分解方案》，</w:t>
      </w:r>
      <w:r>
        <w:rPr>
          <w:rFonts w:hint="eastAsia" w:ascii="Times New Roman" w:hAnsi="Times New Roman" w:eastAsia="仿宋_GB2312"/>
          <w:sz w:val="32"/>
          <w:szCs w:val="32"/>
          <w:lang w:val="zh-TW"/>
        </w:rPr>
        <w:t>创建全市首个体育工作片区制度、首创</w:t>
      </w:r>
      <w:r>
        <w:rPr>
          <w:rFonts w:hint="eastAsia" w:ascii="Times New Roman" w:hAnsi="Times New Roman" w:eastAsia="仿宋_GB2312"/>
          <w:sz w:val="32"/>
          <w:szCs w:val="32"/>
        </w:rPr>
        <w:t>全民健身</w:t>
      </w:r>
      <w:r>
        <w:rPr>
          <w:rFonts w:hint="eastAsia" w:ascii="Times New Roman" w:hAnsi="Times New Roman" w:eastAsia="仿宋_GB2312"/>
          <w:sz w:val="32"/>
          <w:szCs w:val="32"/>
          <w:lang w:val="zh-CN"/>
        </w:rPr>
        <w:t>监测</w:t>
      </w:r>
      <w:r>
        <w:rPr>
          <w:rFonts w:hint="eastAsia" w:ascii="Times New Roman" w:hAnsi="Times New Roman" w:eastAsia="仿宋_GB2312"/>
          <w:sz w:val="32"/>
          <w:szCs w:val="32"/>
        </w:rPr>
        <w:t>“千分”指标，形成区工会、共青团、妇联、老龄委、残联、民宗办等单位协同推动，体育社团、协会、俱乐部示范发动，43个</w:t>
      </w:r>
      <w:r>
        <w:rPr>
          <w:rFonts w:hint="eastAsia" w:ascii="Times New Roman" w:hAnsi="Times New Roman" w:eastAsia="仿宋_GB2312"/>
          <w:sz w:val="32"/>
          <w:szCs w:val="32"/>
          <w:lang w:val="zh-TW"/>
        </w:rPr>
        <w:t>街乡体育资源共用共享</w:t>
      </w:r>
      <w:r>
        <w:rPr>
          <w:rFonts w:hint="eastAsia" w:ascii="Times New Roman" w:hAnsi="Times New Roman" w:eastAsia="仿宋_GB2312"/>
          <w:sz w:val="32"/>
          <w:szCs w:val="32"/>
        </w:rPr>
        <w:t>的高效服务机制</w:t>
      </w:r>
      <w:r>
        <w:rPr>
          <w:rFonts w:hint="eastAsia" w:ascii="Times New Roman" w:hAnsi="Times New Roman" w:eastAsia="仿宋_GB2312"/>
          <w:sz w:val="32"/>
          <w:szCs w:val="32"/>
          <w:lang w:val="zh-TW"/>
        </w:rPr>
        <w:t>。</w:t>
      </w:r>
      <w:r>
        <w:rPr>
          <w:rFonts w:hint="eastAsia" w:ascii="Times New Roman" w:hAnsi="Times New Roman" w:eastAsia="仿宋_GB2312"/>
          <w:sz w:val="32"/>
          <w:szCs w:val="32"/>
        </w:rPr>
        <w:t>从北京市体彩公益金、区财政保障资金等多方筹集资金，全民健身经费逐年增加，以2018年为例，经费达到3320.25万元，对于区群众体育工作给予有力的财政保障。</w:t>
      </w:r>
    </w:p>
    <w:p>
      <w:pPr>
        <w:spacing w:line="600" w:lineRule="exact"/>
        <w:ind w:firstLine="643" w:firstLineChars="200"/>
        <w:rPr>
          <w:rStyle w:val="55"/>
          <w:rFonts w:hint="eastAsia"/>
        </w:rPr>
      </w:pPr>
      <w:r>
        <w:rPr>
          <w:rFonts w:hint="eastAsia" w:ascii="Times New Roman" w:hAnsi="仿宋" w:eastAsia="仿宋_GB2312" w:cs="仿宋"/>
          <w:b/>
          <w:sz w:val="32"/>
          <w:szCs w:val="32"/>
        </w:rPr>
        <w:t>（</w:t>
      </w:r>
      <w:r>
        <w:rPr>
          <w:rStyle w:val="55"/>
          <w:rFonts w:hint="eastAsia"/>
        </w:rPr>
        <w:t>2</w:t>
      </w:r>
      <w:r>
        <w:rPr>
          <w:rFonts w:hint="eastAsia" w:ascii="Times New Roman" w:hAnsi="仿宋" w:eastAsia="仿宋_GB2312" w:cs="仿宋"/>
          <w:b/>
          <w:sz w:val="32"/>
          <w:szCs w:val="32"/>
        </w:rPr>
        <w:t>）巧妙统筹布局，全民健身场地设施指标位居全市之首</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以满足群众多元化健身需求为重点，利用疏解腾退空间，加强与园林的有机结合，统筹规划健身场地布局。截至2020年，朝阳区现有49大类体育项目场地共计3193个，分布在全区2487处地点，每年新增全民健身场地设施面积近9.5万平方米，2020年人均体育场地面积2.51平方米，略高于市级水平。全民健身路径类器材约合1411套，球类活动场地156片，覆盖全区100%的社区、行政村，中小学校体育场地472处，社会其他各类体育场地设施627处。</w:t>
      </w:r>
      <w:r>
        <w:rPr>
          <w:rFonts w:hint="eastAsia" w:ascii="Times New Roman" w:hAnsi="Times New Roman" w:eastAsia="仿宋_GB2312"/>
          <w:sz w:val="32"/>
          <w:szCs w:val="32"/>
          <w:lang w:val="zh-TW" w:eastAsia="zh-TW"/>
        </w:rPr>
        <w:t>目前全区各类冰雪场地总面积达到</w:t>
      </w:r>
      <w:r>
        <w:rPr>
          <w:rFonts w:hint="eastAsia" w:ascii="Times New Roman" w:hAnsi="Times New Roman" w:eastAsia="仿宋_GB2312"/>
          <w:sz w:val="32"/>
          <w:szCs w:val="32"/>
        </w:rPr>
        <w:t>101.3</w:t>
      </w:r>
      <w:r>
        <w:rPr>
          <w:rFonts w:hint="eastAsia" w:ascii="Times New Roman" w:hAnsi="Times New Roman" w:eastAsia="仿宋_GB2312"/>
          <w:sz w:val="32"/>
          <w:szCs w:val="32"/>
          <w:lang w:val="zh-TW" w:eastAsia="zh-TW"/>
        </w:rPr>
        <w:t>万</w:t>
      </w:r>
      <w:r>
        <w:rPr>
          <w:rFonts w:hint="eastAsia" w:ascii="Times New Roman" w:hAnsi="Times New Roman" w:eastAsia="仿宋_GB2312"/>
          <w:sz w:val="32"/>
          <w:szCs w:val="32"/>
          <w:lang w:val="zh-TW"/>
        </w:rPr>
        <w:t>平方米</w:t>
      </w:r>
      <w:r>
        <w:rPr>
          <w:rFonts w:hint="eastAsia" w:ascii="Times New Roman" w:hAnsi="Times New Roman" w:eastAsia="仿宋_GB2312"/>
          <w:sz w:val="32"/>
          <w:szCs w:val="32"/>
          <w:lang w:val="zh-TW" w:eastAsia="zh-TW"/>
        </w:rPr>
        <w:t>，实现了朝阳区冰雪活动范围的全区全覆盖</w:t>
      </w:r>
      <w:r>
        <w:rPr>
          <w:rFonts w:hint="eastAsia" w:ascii="Times New Roman" w:hAnsi="Times New Roman" w:eastAsia="仿宋_GB2312"/>
          <w:sz w:val="32"/>
          <w:szCs w:val="32"/>
        </w:rPr>
        <w:t>，同时，拥有奥运场馆13个，占比全市56%。为了进一步满足需求，又围绕大望京国际人才社区建设中心任务开展七项体育健身休闲环境优化工程、探索开展了全民健身室外路径试点创新工作、在望和公园、庆丰公园、京城梨园、西会公园等铺设全民健身步道，建到百姓家门口，满足群众多样化的户外健身需求。朝阳区体育设施的数量、种类及覆盖率均位列全市首位，初步形成满足老、中、青等不同年龄群体健身需求的多元化场地设施布局。</w:t>
      </w:r>
    </w:p>
    <w:p>
      <w:pPr>
        <w:pStyle w:val="7"/>
        <w:spacing w:line="600" w:lineRule="exact"/>
        <w:ind w:firstLine="703" w:firstLineChars="200"/>
        <w:rPr>
          <w:rFonts w:ascii="Times New Roman"/>
          <w:b/>
          <w:spacing w:val="15"/>
          <w:sz w:val="32"/>
          <w:szCs w:val="32"/>
        </w:rPr>
      </w:pPr>
      <w:r>
        <w:rPr>
          <w:rFonts w:hint="eastAsia" w:ascii="Times New Roman"/>
          <w:b/>
          <w:spacing w:val="15"/>
          <w:sz w:val="32"/>
          <w:szCs w:val="32"/>
        </w:rPr>
        <w:t>（3）五大品牌引领，</w:t>
      </w:r>
      <w:r>
        <w:rPr>
          <w:rFonts w:ascii="Times New Roman"/>
          <w:b/>
          <w:spacing w:val="15"/>
          <w:sz w:val="32"/>
          <w:szCs w:val="32"/>
        </w:rPr>
        <w:t>全民健身</w:t>
      </w:r>
      <w:r>
        <w:rPr>
          <w:rFonts w:hint="eastAsia" w:ascii="Times New Roman"/>
          <w:b/>
          <w:spacing w:val="15"/>
          <w:sz w:val="32"/>
          <w:szCs w:val="32"/>
        </w:rPr>
        <w:t>赛事</w:t>
      </w:r>
      <w:r>
        <w:rPr>
          <w:rFonts w:ascii="Times New Roman"/>
          <w:b/>
          <w:spacing w:val="15"/>
          <w:sz w:val="32"/>
          <w:szCs w:val="32"/>
        </w:rPr>
        <w:t>活动</w:t>
      </w:r>
      <w:r>
        <w:rPr>
          <w:rFonts w:hint="eastAsia" w:ascii="Times New Roman"/>
          <w:b/>
          <w:spacing w:val="15"/>
          <w:sz w:val="32"/>
          <w:szCs w:val="32"/>
        </w:rPr>
        <w:t>频次高</w:t>
      </w:r>
      <w:r>
        <w:rPr>
          <w:rFonts w:ascii="Times New Roman"/>
          <w:b/>
          <w:spacing w:val="15"/>
          <w:sz w:val="32"/>
          <w:szCs w:val="32"/>
        </w:rPr>
        <w:t>覆盖广</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每年围绕全民健身日等时间节点，举办区级体育赛事活动20余项，总参与人数达100多万人次。利用新媒体在线直播的方式，打造朝阳区“民间CBA”篮球联赛、元旦迎新年徒步大会、“用脚步丈量朝阳发展”、健步走系列活动、社区“全民健身 助力冬奥”系列活动5项</w:t>
      </w:r>
      <w:r>
        <w:rPr>
          <w:rFonts w:hint="eastAsia" w:ascii="Times New Roman" w:hAnsi="Times New Roman" w:eastAsia="仿宋_GB2312"/>
          <w:sz w:val="32"/>
          <w:szCs w:val="32"/>
          <w:lang w:val="zh-CN"/>
        </w:rPr>
        <w:t>彰显朝阳特色的区级品牌活动。</w:t>
      </w:r>
      <w:r>
        <w:rPr>
          <w:rFonts w:hint="eastAsia" w:ascii="Times New Roman" w:hAnsi="Times New Roman" w:eastAsia="仿宋_GB2312"/>
          <w:sz w:val="32"/>
          <w:szCs w:val="32"/>
        </w:rPr>
        <w:t>在区级活动的引领示范下，推动各街乡及八大系统体协每年开展全民健身活动2000余次，130余万人次参与。承办北京国际风情节冬奥宣传展示项目，并出色完成第十一届北京市全民健身体育节开幕式任务。打造出一批如奥运村“民间奥林匹克大赛”、亚运村民俗运动会、金盏绿道骑行等街乡级品牌赛事，并向着传统化、品牌化、精品化的方向不断迈进。圆满完成新中国成立70周年庆祝活动朝阳体育方队和相关保障任务。</w:t>
      </w:r>
    </w:p>
    <w:p>
      <w:pPr>
        <w:pStyle w:val="7"/>
        <w:spacing w:line="600" w:lineRule="exact"/>
        <w:ind w:firstLine="703" w:firstLineChars="200"/>
        <w:rPr>
          <w:rFonts w:ascii="Times New Roman"/>
          <w:b/>
          <w:bCs w:val="0"/>
          <w:spacing w:val="15"/>
          <w:sz w:val="32"/>
          <w:szCs w:val="32"/>
        </w:rPr>
      </w:pPr>
      <w:r>
        <w:rPr>
          <w:rFonts w:hint="eastAsia" w:ascii="Times New Roman"/>
          <w:b/>
          <w:bCs w:val="0"/>
          <w:spacing w:val="15"/>
          <w:sz w:val="32"/>
          <w:szCs w:val="32"/>
        </w:rPr>
        <w:t>（4）试点智慧体育，</w:t>
      </w:r>
      <w:r>
        <w:rPr>
          <w:rFonts w:ascii="Times New Roman"/>
          <w:b/>
          <w:bCs w:val="0"/>
          <w:spacing w:val="15"/>
          <w:sz w:val="32"/>
          <w:szCs w:val="32"/>
        </w:rPr>
        <w:t>科学指导健身</w:t>
      </w:r>
      <w:r>
        <w:rPr>
          <w:rFonts w:hint="eastAsia" w:ascii="Times New Roman"/>
          <w:b/>
          <w:bCs w:val="0"/>
          <w:spacing w:val="15"/>
          <w:sz w:val="32"/>
          <w:szCs w:val="32"/>
        </w:rPr>
        <w:t>产品</w:t>
      </w:r>
      <w:r>
        <w:rPr>
          <w:rFonts w:ascii="Times New Roman"/>
          <w:b/>
          <w:bCs w:val="0"/>
          <w:spacing w:val="15"/>
          <w:sz w:val="32"/>
          <w:szCs w:val="32"/>
        </w:rPr>
        <w:t>服务</w:t>
      </w:r>
      <w:r>
        <w:rPr>
          <w:rFonts w:hint="eastAsia" w:ascii="Times New Roman"/>
          <w:b/>
          <w:bCs w:val="0"/>
          <w:spacing w:val="15"/>
          <w:sz w:val="32"/>
          <w:szCs w:val="32"/>
        </w:rPr>
        <w:t>下沉惠民</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搭建全市首家集全民健身电子地图、全民健身数据库、场馆场地服务信息等功能于一体的智慧体育服务平台，</w:t>
      </w:r>
      <w:r>
        <w:rPr>
          <w:rFonts w:hint="eastAsia" w:ascii="Times New Roman" w:hAnsi="Times New Roman" w:eastAsia="仿宋_GB2312"/>
          <w:sz w:val="32"/>
          <w:szCs w:val="32"/>
          <w:lang w:val="zh-CN"/>
        </w:rPr>
        <w:t>覆盖全区43个健身场地、健身设施、健身服务、健身队伍的</w:t>
      </w:r>
      <w:r>
        <w:rPr>
          <w:rFonts w:hint="eastAsia" w:ascii="Times New Roman" w:hAnsi="Times New Roman" w:eastAsia="仿宋_GB2312"/>
          <w:sz w:val="32"/>
          <w:szCs w:val="32"/>
        </w:rPr>
        <w:t>相关信息，为朝阳区居民就近、就便开展健身活动提供服务。全区建有43个国民体质测试三级测试站，每年为13000余名群众开展国民体质测试，制定有针对性的健身指导措施。每年开展“健身指导进基层”系列活动30余场次，为全区健身群众和基层组织提供26900余件体育器材，20000册科学健身书籍、7000余张健身光盘，30余项次赛事策划组织服务，400余场次健身指导，500余场次科学健身讲座，参与群众达10万人次以上。区级体育协会数量不断扩增，参与人数达到新高，社会体育指导员分会实现街乡全覆盖，促进科学健身普及。逐步探索“医体结合”模式，在CBD人员密集区域建立全民健身损伤康复研究中心，为商业区域白领人群和健身爱好者等进行包括糖尿病风险、动脉硬化测试等6项专项测试以及13项常规测试，并提供科学的运动处方及健康生活习惯指导意见。</w:t>
      </w:r>
    </w:p>
    <w:p>
      <w:pPr>
        <w:spacing w:line="600" w:lineRule="exact"/>
        <w:ind w:firstLine="420" w:firstLineChars="200"/>
        <w:outlineLvl w:val="2"/>
        <w:rPr>
          <w:rStyle w:val="55"/>
          <w:rFonts w:hint="eastAsia"/>
        </w:rPr>
      </w:pPr>
      <w:bookmarkStart w:id="33" w:name="_Toc1762"/>
      <w:bookmarkStart w:id="34" w:name="_Toc29320"/>
      <w:bookmarkStart w:id="35" w:name="_Toc11324"/>
      <w:bookmarkStart w:id="36" w:name="_Toc2892"/>
      <w:r>
        <w:rPr>
          <w:rStyle w:val="55"/>
          <w:rFonts w:hint="eastAsia"/>
        </w:rPr>
        <w:t>2.</w:t>
      </w:r>
      <w:r>
        <w:rPr>
          <w:rFonts w:hint="eastAsia" w:ascii="Times New Roman" w:hAnsi="仿宋" w:eastAsia="仿宋_GB2312" w:cs="仿宋"/>
          <w:b/>
          <w:sz w:val="32"/>
          <w:szCs w:val="32"/>
        </w:rPr>
        <w:t>竞技体育因材施训，综合实力跨越式居全市领先</w:t>
      </w:r>
      <w:bookmarkEnd w:id="33"/>
      <w:bookmarkEnd w:id="34"/>
      <w:bookmarkEnd w:id="35"/>
      <w:bookmarkEnd w:id="36"/>
    </w:p>
    <w:p>
      <w:pPr>
        <w:spacing w:line="600" w:lineRule="exact"/>
        <w:ind w:firstLine="643" w:firstLineChars="200"/>
        <w:rPr>
          <w:rStyle w:val="55"/>
        </w:rPr>
      </w:pPr>
      <w:r>
        <w:rPr>
          <w:rFonts w:hint="eastAsia" w:ascii="Times New Roman" w:hAnsi="仿宋" w:eastAsia="仿宋_GB2312" w:cs="仿宋"/>
          <w:b/>
          <w:sz w:val="32"/>
          <w:szCs w:val="32"/>
        </w:rPr>
        <w:t>（</w:t>
      </w:r>
      <w:r>
        <w:rPr>
          <w:rStyle w:val="55"/>
          <w:rFonts w:hint="eastAsia"/>
        </w:rPr>
        <w:t>1</w:t>
      </w:r>
      <w:r>
        <w:rPr>
          <w:rFonts w:hint="eastAsia" w:ascii="Times New Roman" w:hAnsi="仿宋" w:eastAsia="仿宋_GB2312" w:cs="仿宋"/>
          <w:b/>
          <w:sz w:val="32"/>
          <w:szCs w:val="32"/>
        </w:rPr>
        <w:t>）全方位升级监管控体系，竞训系统化建设效果优</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响应习近平总书记提出“少年强中国强，体育强中国强”的号召，总结以往竞技体育经验，研究并建立了 “三大体系”：即</w:t>
      </w:r>
      <w:r>
        <w:rPr>
          <w:rStyle w:val="55"/>
          <w:rFonts w:hint="eastAsia"/>
        </w:rPr>
        <w:t>项目发展体系</w:t>
      </w:r>
      <w:r>
        <w:rPr>
          <w:rFonts w:hint="eastAsia" w:ascii="Times New Roman" w:hAnsi="Times New Roman" w:eastAsia="仿宋_GB2312"/>
          <w:sz w:val="32"/>
          <w:szCs w:val="32"/>
        </w:rPr>
        <w:t>，加强合作与交流，做大做强优势项目，带动各项目均衡发展；</w:t>
      </w:r>
      <w:r>
        <w:rPr>
          <w:rStyle w:val="55"/>
          <w:rFonts w:hint="eastAsia"/>
        </w:rPr>
        <w:t>竞训保障体系</w:t>
      </w:r>
      <w:r>
        <w:rPr>
          <w:rFonts w:hint="eastAsia" w:ascii="Times New Roman" w:hAnsi="Times New Roman" w:eastAsia="仿宋_GB2312"/>
          <w:sz w:val="32"/>
          <w:szCs w:val="32"/>
        </w:rPr>
        <w:t>，加强资金保障，出台市运会训练参赛的保障政策和奖励方案，从运动员选材、生理生化测试、体能训练、损伤康复、营养品配发等方面开展科研促训，了解并掌握本届市运会各项比赛数据分析，提升教练员训教的针对性和科学性；</w:t>
      </w:r>
      <w:r>
        <w:rPr>
          <w:rStyle w:val="55"/>
          <w:rFonts w:hint="eastAsia"/>
        </w:rPr>
        <w:t>训练质量监控体系</w:t>
      </w:r>
      <w:r>
        <w:rPr>
          <w:rFonts w:hint="eastAsia" w:ascii="Times New Roman" w:hAnsi="Times New Roman" w:eastAsia="仿宋_GB2312"/>
          <w:sz w:val="32"/>
          <w:szCs w:val="32"/>
        </w:rPr>
        <w:t>，成立由区体育局领导班子、局属青少年业训科室、三所少儿体校管理层、体校各项目训教部门和科研保障部门组成的训练质量监控小组，明确各部门职责，压实责任，全方位全过程保障备战质量。</w:t>
      </w:r>
    </w:p>
    <w:p>
      <w:pPr>
        <w:spacing w:line="600" w:lineRule="exact"/>
        <w:ind w:firstLine="643" w:firstLineChars="200"/>
        <w:rPr>
          <w:rStyle w:val="55"/>
          <w:rFonts w:hint="eastAsia"/>
        </w:rPr>
      </w:pPr>
      <w:r>
        <w:rPr>
          <w:rFonts w:hint="eastAsia" w:ascii="Times New Roman" w:hAnsi="仿宋" w:eastAsia="仿宋_GB2312" w:cs="仿宋"/>
          <w:b/>
          <w:sz w:val="32"/>
          <w:szCs w:val="32"/>
        </w:rPr>
        <w:t>（</w:t>
      </w:r>
      <w:r>
        <w:rPr>
          <w:rStyle w:val="55"/>
          <w:rFonts w:hint="eastAsia"/>
        </w:rPr>
        <w:t>2</w:t>
      </w:r>
      <w:r>
        <w:rPr>
          <w:rFonts w:hint="eastAsia" w:ascii="Times New Roman" w:hAnsi="仿宋" w:eastAsia="仿宋_GB2312" w:cs="仿宋"/>
          <w:b/>
          <w:sz w:val="32"/>
          <w:szCs w:val="32"/>
        </w:rPr>
        <w:t>）项目布局实现全覆盖，后备人才基础不断夯实</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竞技体育中各类项目布局趋于合理，其中射击、皮划赛艇等项目的优势继续被巩固；“三大球”、田径、游泳、网球等基础大项普遍提升；建立了我区青少年冰雪项目运动队；对现有弱势项目进行了改造升级，实现了市运会竞赛项目全覆盖。各个项目的青少年后备人才和教练对外不断壮大，本周期（2016-2020），朝阳区注册运动员达22072人次，超额完成注册20000人次的目标任务，大力引进高水平退役运动员，充实我区教练员队伍，并根据项目的开展和需要，聘用外聘教练员，目前全区教练员共计173名</w:t>
      </w:r>
      <w:r>
        <w:rPr>
          <w:rFonts w:ascii="Times New Roman" w:hAnsi="Times New Roman" w:eastAsia="仿宋_GB2312"/>
          <w:sz w:val="32"/>
          <w:szCs w:val="32"/>
        </w:rPr>
        <w:t>（包括外聘教练员）</w:t>
      </w:r>
      <w:r>
        <w:rPr>
          <w:rFonts w:hint="eastAsia" w:ascii="Times New Roman" w:hAnsi="Times New Roman" w:eastAsia="仿宋_GB2312"/>
          <w:sz w:val="32"/>
          <w:szCs w:val="32"/>
        </w:rPr>
        <w:t>，其中5名高级教练员，后备人才培养师资基础不断被夯实。</w:t>
      </w:r>
    </w:p>
    <w:p>
      <w:pPr>
        <w:spacing w:line="600" w:lineRule="exact"/>
        <w:ind w:firstLine="643" w:firstLineChars="200"/>
        <w:rPr>
          <w:rStyle w:val="55"/>
        </w:rPr>
      </w:pPr>
      <w:r>
        <w:rPr>
          <w:rFonts w:hint="eastAsia" w:ascii="Times New Roman" w:hAnsi="仿宋" w:eastAsia="仿宋_GB2312" w:cs="仿宋"/>
          <w:b/>
          <w:sz w:val="32"/>
          <w:szCs w:val="32"/>
        </w:rPr>
        <w:t>（</w:t>
      </w:r>
      <w:r>
        <w:rPr>
          <w:rStyle w:val="55"/>
          <w:rFonts w:hint="eastAsia"/>
        </w:rPr>
        <w:t>3</w:t>
      </w:r>
      <w:r>
        <w:rPr>
          <w:rFonts w:hint="eastAsia" w:ascii="Times New Roman" w:hAnsi="仿宋" w:eastAsia="仿宋_GB2312" w:cs="仿宋"/>
          <w:b/>
          <w:sz w:val="32"/>
          <w:szCs w:val="32"/>
        </w:rPr>
        <w:t>）竞赛成绩全市双第一，突破难点创历史最佳</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竞技比赛项目成绩喜人，在2018年举办的北京市第十五届运动会上，朝阳区代表团共有1182名运动员获得市运会参赛资格，参加了包括田径、游泳、足球、篮球、排球等28个大项，实现了比赛项目全覆盖。朝阳区体育健儿以追求更高更快更强的体育精神、敢打敢拼的优良作风和严肃端正的赛风赛纪，以209枚金牌、153枚银牌和147枚铜牌位居市运会金牌榜首位，以6673分获得市运会团体总分排行榜第一名，实现了金牌总数和团体总分“双第一”的既定目标，这是朝阳区建区60周年来坚持不懈顽强拼搏获得的最高荣誉，成为北京市运动会60年来首个突破200金的区代表团。</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朝阳区代表团在过往的四大难点上取得重大突破：一是田径、游泳、体操等基础大项取得重大突破；二是足球、篮球、排球“三大球”项目取得重大突破；三是射击、皮划艇、赛艇、橄榄球等传统优势项目取得重大突破；四是空手道等新兴项目实现高起点新突破，特别是皮划艇、赛艇项目横扫本项目78%的金牌，射击队横扫70%的金牌；与上届市运会相比，田径队金牌总数提高122%，游泳队提高119%；朝阳区男子排球队包揽甲、乙、丙组大满贯冠军，橄榄球队男队、女队分队以85:0和92:0的绝对实力战胜东城区代表队双双问鼎，实现了我区由体育大区向体育强区的大跨越。同时，朝阳区还承办了本届市运会武术散打、武术套路、射箭、射击以及男子排球共5个项目的比赛，圆满完成场地服务保障任务。</w:t>
      </w:r>
    </w:p>
    <w:p>
      <w:pPr>
        <w:pStyle w:val="4"/>
        <w:bidi w:val="0"/>
      </w:pPr>
      <w:r>
        <w:rPr>
          <w:rFonts w:hint="eastAsia"/>
        </w:rPr>
        <w:t>（4）</w:t>
      </w:r>
      <w:r>
        <w:t>体教</w:t>
      </w:r>
      <w:r>
        <w:rPr>
          <w:rFonts w:hint="eastAsia"/>
        </w:rPr>
        <w:t>结合成果不断涌现</w:t>
      </w:r>
      <w:r>
        <w:t>，</w:t>
      </w:r>
      <w:r>
        <w:rPr>
          <w:rFonts w:hint="eastAsia"/>
        </w:rPr>
        <w:t>促青少年体育多元发展</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不断深化“体教结合”，布局国家级传统校1所、市级传统校17所、区级传统校52所，体育传统项目学校达到70所，训练网点校共计132所，国家级青少年体育俱乐部20家，培养青少年体育兴趣，提前一年完成“十三五”计划目标。以发展“三大球”项目为抓手，成立了游泳、篮球、排球三个运动项目管理中心，建立朝阳区校园足球联盟，会员近2000人。篮球和排球项目在20所学校实现竞训项目纳入布点校的校本教程。游泳项目业训场地增加到14个，长训人数增长到1000人。在国家体育总局多巴高原训练基地建立朝阳区训练基地。朝阳体校连续三年被国家体育总局评为高水平后备人才基地，总局首次在区县建立“中国游泳学校朝阳分校”。朝阳区被国家体育总局体操运动管理中心确定为全国“快乐体操”项目的示范区，并将该项目在全区近20所幼儿园普及和推广。我区已有110所学校面向社会开放体育场地设施，实现符合条件的学校体育设施向社会开放率达到80%。</w:t>
      </w:r>
    </w:p>
    <w:p>
      <w:pPr>
        <w:pStyle w:val="4"/>
        <w:bidi w:val="0"/>
      </w:pPr>
      <w:r>
        <w:rPr>
          <w:rFonts w:hint="eastAsia"/>
        </w:rPr>
        <w:t>（5）科研助力竞训水平提升，</w:t>
      </w:r>
      <w:r>
        <w:t>打造</w:t>
      </w:r>
      <w:r>
        <w:rPr>
          <w:rFonts w:hint="eastAsia"/>
        </w:rPr>
        <w:t>青少年</w:t>
      </w:r>
      <w:r>
        <w:t>业训数据库</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基本做到科研工作全覆盖所有项目，构建了覆盖科学选材、体能训练、生理生化指标监测、运动康复、运动营养五大竞训保障。建立了以Web系统为基础的教练端、运动员端和超级管理员端为主的业训数据库，分别供教练、运动员、运动员家长、科研人员使用，方便教练员科学制定训练计划，日常管理；运动员可随时查看跟队科研人员提交的生理生化、体能等指标数据，查看训练水平和建议，加速了我区训练科技化含量。</w:t>
      </w:r>
    </w:p>
    <w:p>
      <w:pPr>
        <w:spacing w:line="600" w:lineRule="exact"/>
        <w:ind w:firstLine="420" w:firstLineChars="200"/>
        <w:outlineLvl w:val="2"/>
        <w:rPr>
          <w:rStyle w:val="55"/>
          <w:rFonts w:hint="eastAsia"/>
        </w:rPr>
      </w:pPr>
      <w:bookmarkStart w:id="37" w:name="_Toc27061"/>
      <w:bookmarkStart w:id="38" w:name="_Toc15130"/>
      <w:bookmarkStart w:id="39" w:name="_Toc16580"/>
      <w:bookmarkStart w:id="40" w:name="_Toc27833"/>
      <w:r>
        <w:rPr>
          <w:rStyle w:val="55"/>
          <w:rFonts w:hint="eastAsia"/>
        </w:rPr>
        <w:t>3.</w:t>
      </w:r>
      <w:r>
        <w:rPr>
          <w:rFonts w:hint="eastAsia" w:ascii="Times New Roman" w:hAnsi="仿宋" w:eastAsia="仿宋_GB2312" w:cs="仿宋"/>
          <w:b/>
          <w:sz w:val="32"/>
          <w:szCs w:val="32"/>
        </w:rPr>
        <w:t>体育产业因势顺导，量质齐升率先开启提档升级</w:t>
      </w:r>
      <w:bookmarkEnd w:id="37"/>
      <w:bookmarkEnd w:id="38"/>
      <w:bookmarkEnd w:id="39"/>
      <w:bookmarkEnd w:id="40"/>
    </w:p>
    <w:p>
      <w:pPr>
        <w:pStyle w:val="4"/>
        <w:bidi w:val="0"/>
        <w:rPr>
          <w:rFonts w:hint="eastAsia"/>
        </w:rPr>
      </w:pPr>
      <w:r>
        <w:rPr>
          <w:rFonts w:hint="eastAsia"/>
        </w:rPr>
        <w:t>（1）先行先试，体育产业管理服务机制率先改革</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朝阳区体育产业在“十三五”时期一直走在全市各区的前列，在区政府和局机关的带领下，深入落实《朝阳区关于加快发展体育产业促进体育消费的实施意见》，为推动区域体育产业发展提供了政策支撑。既在全市率先成立了朝阳区体育产业管理中心，成为北京市唯一的全国体育产业联系点后，又于2017年成立了服务于区域各类体育企业的朝阳区体育产业促进会，也是全市各区成立的首家体育产业促进会，先行先试，推动体育产业管理服务机制，通过促进平台宣传政策、集聚对接资源，助力区域企业成长，效果明显，期间奥林匹克公园被国家体育总局评为国家体育产业示范基地、国家全民健身示范基地。加强体育市场安全监管，实现体育行业安全生产零指标。</w:t>
      </w:r>
    </w:p>
    <w:p>
      <w:pPr>
        <w:pStyle w:val="4"/>
        <w:bidi w:val="0"/>
      </w:pPr>
      <w:r>
        <w:rPr>
          <w:rFonts w:hint="eastAsia"/>
        </w:rPr>
        <w:t>（2）政府引导，体育产业产业结构优化产值提升</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在一系列政策和非首都功能疏散的引导下，随着体育用品制造业和批发业等部分迁移出朝阳区，朝阳区体育产业结构不断优化，体育服务业已处于绝对主导地位，逐渐符合国际发达体育产业城区比例。朝阳区体育产业营业总收入逐年增加，其中2017年营业总收入为337.3亿元（产业数据隔年发布），产业总体情况稳中有进，营业收入增长速度从高速增长回落至稳定波动增长，平均增长速度为2.7%，虽然增速有所放缓，但是利润总额有较快增长，较“十二五”期末利润总额翻了两番，新增体育相关企业522家，同比增长13.5%，其中新增注册资本千万级的企业74家，占比16.4%。</w:t>
      </w:r>
    </w:p>
    <w:p>
      <w:pPr>
        <w:pStyle w:val="4"/>
        <w:bidi w:val="0"/>
      </w:pPr>
      <w:r>
        <w:rPr>
          <w:rFonts w:hint="eastAsia"/>
        </w:rPr>
        <w:t>（3）示范引领，体育产业重点业态发展态势良好</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逐渐形成了体育竞赛表演业、体育健身休闲业、体育场馆服务业和体育教育培训业四大重点业态，辐射带动区域周边相关产业发展。体育竞赛表演活动带动产业延伸。积极引进国内外高水平赛事，赛事运作水平逐年提升，成功举办了北京世界田径锦标赛、中国网球公开赛、北京马拉松赛、世界女子冰球锦标赛、沙排大满贯赛、沸雪北京世界单板滑雪赛等一系列国际A级赛事，每年举办各级各类国际赛事近40项次，不断提升区域国际影响力，业态产值不断提升，同时拉动体育用品、旅游、传媒、中介、展销等体育及延伸产业的快速发展。体育健身休闲业加快发展。在区域良好的群众体育基础上，业态供给稳定增长，在传统健身市场的基础上又新开发了滑雪、击剑、赛艇等体育项目，使得业态整体向市场化、专业化、规范化、品牌化方向发展。体育场馆管理活动创新发展。朝阳区大型体育场馆32个，奥运场馆有13个，以体为主，开发多样化的场馆服务，并初步形成了涵盖比赛服务、健身服务、开发商业赛事、举办大型活动等的场馆运营模式。积极推进体育场馆智能化发展，以郡王府体育中心、朝阳体育健身休闲公园、朝阳体育馆为试点，提升用户体验和区域场馆的信息化服务管理水平。据统计网络预订系统服务接待人次达14.6万人，场地利用率提升30%以上。体育培训与教育活动丰富。朝阳区重点发展青少年的体育培训与教育，联合教育部门及优质教育机构，依托少儿业余体校、青少年体育俱乐部等培训机构，以青少年足球、网球、棒球等运动项目为重点，实现“陪伴终身的体育爱好和消费”。</w:t>
      </w:r>
    </w:p>
    <w:p>
      <w:pPr>
        <w:pStyle w:val="4"/>
        <w:bidi w:val="0"/>
        <w:rPr>
          <w:rFonts w:hint="eastAsia"/>
        </w:rPr>
      </w:pPr>
      <w:r>
        <w:rPr>
          <w:rFonts w:hint="eastAsia"/>
        </w:rPr>
        <w:t xml:space="preserve">（4）搭建平台，深入调研助力体育产业提档升级 </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由朝阳区体育产业管理中心和体育产业促进会牵头，制定了《朝阳区人民政府关于加快发展体育产业促进体育消费实施意见》《朝阳区体育产业重点领域专项调查报告》，完成朝阳区冰雪产业、体育竞赛表演业专项调研，建立和完善朝阳区各类体育经营单位组成的名录库896家，其中规模以上单位84家，规模以下单位812家。搭建了集国际体育交流</w:t>
      </w:r>
      <w:bookmarkStart w:id="41" w:name="_Toc440817519"/>
      <w:bookmarkStart w:id="42" w:name="_Toc440817435"/>
      <w:r>
        <w:rPr>
          <w:rFonts w:hint="eastAsia" w:ascii="Times New Roman" w:hAnsi="Times New Roman" w:eastAsia="仿宋_GB2312"/>
          <w:sz w:val="32"/>
          <w:szCs w:val="32"/>
        </w:rPr>
        <w:t>、体育资本运作</w:t>
      </w:r>
      <w:bookmarkEnd w:id="41"/>
      <w:bookmarkEnd w:id="42"/>
      <w:bookmarkStart w:id="43" w:name="_Toc440817436"/>
      <w:bookmarkStart w:id="44" w:name="_Toc440817520"/>
      <w:r>
        <w:rPr>
          <w:rFonts w:hint="eastAsia" w:ascii="Times New Roman" w:hAnsi="Times New Roman" w:eastAsia="仿宋_GB2312"/>
          <w:sz w:val="32"/>
          <w:szCs w:val="32"/>
        </w:rPr>
        <w:t>、体育文化创意</w:t>
      </w:r>
      <w:bookmarkEnd w:id="43"/>
      <w:bookmarkEnd w:id="44"/>
      <w:bookmarkStart w:id="45" w:name="_Toc440817521"/>
      <w:bookmarkStart w:id="46" w:name="_Toc440817437"/>
      <w:r>
        <w:rPr>
          <w:rFonts w:hint="eastAsia" w:ascii="Times New Roman" w:hAnsi="Times New Roman" w:eastAsia="仿宋_GB2312"/>
          <w:sz w:val="32"/>
          <w:szCs w:val="32"/>
        </w:rPr>
        <w:t>、体育企业集聚</w:t>
      </w:r>
      <w:bookmarkEnd w:id="45"/>
      <w:bookmarkEnd w:id="46"/>
      <w:bookmarkStart w:id="47" w:name="_Toc440817522"/>
      <w:bookmarkStart w:id="48" w:name="_Toc440817438"/>
      <w:r>
        <w:rPr>
          <w:rFonts w:hint="eastAsia" w:ascii="Times New Roman" w:hAnsi="Times New Roman" w:eastAsia="仿宋_GB2312"/>
          <w:sz w:val="32"/>
          <w:szCs w:val="32"/>
        </w:rPr>
        <w:t>、体育资源会展为一体的资源共享平台</w:t>
      </w:r>
      <w:bookmarkEnd w:id="47"/>
      <w:bookmarkEnd w:id="48"/>
      <w:r>
        <w:rPr>
          <w:rFonts w:hint="eastAsia" w:ascii="Times New Roman" w:hAnsi="Times New Roman" w:eastAsia="仿宋_GB2312"/>
          <w:sz w:val="32"/>
          <w:szCs w:val="32"/>
        </w:rPr>
        <w:t>，组织区域内企业走访以及座谈交流，举办发展论坛，建立专家智库，编制《朝阳区体育产业参考》和整理出版《朝阳区体育产业政策汇编》，为企业解读当今中国体育产业发展的前沿趋势和政策导向，为朝阳区体育产业多元化发展提供了智力储备。</w:t>
      </w:r>
    </w:p>
    <w:p>
      <w:pPr>
        <w:pStyle w:val="4"/>
        <w:bidi w:val="0"/>
      </w:pPr>
      <w:r>
        <w:rPr>
          <w:rFonts w:hint="eastAsia"/>
        </w:rPr>
        <w:t>（5）深度谋划，开启</w:t>
      </w:r>
      <w:r>
        <w:t>朝阳区网球特色区</w:t>
      </w:r>
      <w:r>
        <w:rPr>
          <w:rFonts w:hint="eastAsia"/>
        </w:rPr>
        <w:t>筹备工作</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与高校、研究机构、澳网协会、朝阳区网球培训、经营企业等进行研讨，与相关单位对接，完成《朝阳区建设网球特色区现状调研报告》《朝阳区建设网球特色区工作实施方案》《朝阳区网球特色区发展三年规划》《朝阳区建设网球特色区成员单位及职责分工》等谋划工作。区内多个部门联合考察了公园现有场地建设室外网球场的可行性，为打造网球特色区提供了指导规划。</w:t>
      </w:r>
    </w:p>
    <w:p>
      <w:pPr>
        <w:spacing w:line="600" w:lineRule="exact"/>
        <w:ind w:firstLine="420" w:firstLineChars="200"/>
        <w:outlineLvl w:val="2"/>
        <w:rPr>
          <w:rStyle w:val="55"/>
          <w:rFonts w:hint="eastAsia"/>
        </w:rPr>
      </w:pPr>
      <w:bookmarkStart w:id="49" w:name="_Toc17889"/>
      <w:bookmarkStart w:id="50" w:name="_Toc22056"/>
      <w:bookmarkStart w:id="51" w:name="_Toc24305"/>
      <w:bookmarkStart w:id="52" w:name="_Toc22275"/>
      <w:r>
        <w:rPr>
          <w:rStyle w:val="55"/>
          <w:rFonts w:hint="eastAsia"/>
        </w:rPr>
        <w:t>4.</w:t>
      </w:r>
      <w:r>
        <w:rPr>
          <w:rFonts w:hint="eastAsia" w:ascii="Times New Roman" w:hAnsi="仿宋" w:eastAsia="仿宋_GB2312" w:cs="仿宋"/>
          <w:b/>
          <w:sz w:val="32"/>
          <w:szCs w:val="32"/>
        </w:rPr>
        <w:t>冬奥冰雪因时制宜，大力普及冰雪全力筹备冬奥</w:t>
      </w:r>
      <w:bookmarkEnd w:id="49"/>
      <w:bookmarkEnd w:id="50"/>
      <w:bookmarkEnd w:id="51"/>
      <w:bookmarkEnd w:id="52"/>
    </w:p>
    <w:p>
      <w:pPr>
        <w:pStyle w:val="4"/>
        <w:bidi w:val="0"/>
      </w:pPr>
      <w:r>
        <w:rPr>
          <w:rFonts w:hint="eastAsia"/>
        </w:rPr>
        <w:t>（1）新建改建相结合，场馆全市第一服务冬奥</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朝阳区是2022年北京冬奥会、冬残奥会的主赛区之一，“冰丝带”、“冰立方”、冬奥村等冬奥会、残奥会标志性场馆都坐落在朝阳区辖区内，同时朝阳区大力新建和改建多个室内外冰雪场馆设施，目前朝阳区现有16片室内冰场、7片室外冰场和8个室外雪场，冰雪场地总数位居全市第一。</w:t>
      </w:r>
      <w:r>
        <w:rPr>
          <w:rFonts w:hint="eastAsia" w:ascii="Times New Roman" w:hAnsi="Times New Roman" w:eastAsia="仿宋_GB2312"/>
          <w:sz w:val="32"/>
          <w:szCs w:val="32"/>
          <w:lang w:val="zh-TW"/>
        </w:rPr>
        <w:t>2019年</w:t>
      </w:r>
      <w:r>
        <w:rPr>
          <w:rFonts w:hint="eastAsia" w:ascii="Times New Roman" w:hAnsi="Times New Roman" w:eastAsia="仿宋_GB2312"/>
          <w:sz w:val="32"/>
          <w:szCs w:val="32"/>
          <w:lang w:val="zh-TW" w:eastAsia="zh-TW"/>
        </w:rPr>
        <w:t>，组织</w:t>
      </w:r>
      <w:r>
        <w:rPr>
          <w:rFonts w:hint="eastAsia" w:ascii="Times New Roman" w:hAnsi="Times New Roman" w:eastAsia="仿宋_GB2312"/>
          <w:sz w:val="32"/>
          <w:szCs w:val="32"/>
          <w:lang w:val="zh-TW"/>
        </w:rPr>
        <w:t>承办了北京市首场</w:t>
      </w:r>
      <w:r>
        <w:rPr>
          <w:rFonts w:hint="eastAsia" w:ascii="Times New Roman" w:hAnsi="Times New Roman" w:eastAsia="仿宋_GB2312"/>
          <w:sz w:val="32"/>
          <w:szCs w:val="32"/>
          <w:lang w:val="zh-TW" w:eastAsia="zh-TW"/>
        </w:rPr>
        <w:t>冬奥会冰壶测试赛</w:t>
      </w:r>
      <w:r>
        <w:rPr>
          <w:rFonts w:hint="eastAsia" w:ascii="Times New Roman" w:hAnsi="Times New Roman" w:eastAsia="仿宋_GB2312"/>
          <w:sz w:val="32"/>
          <w:szCs w:val="32"/>
          <w:lang w:val="zh-CN"/>
        </w:rPr>
        <w:t>，对</w:t>
      </w:r>
      <w:r>
        <w:rPr>
          <w:rFonts w:hint="eastAsia" w:ascii="Times New Roman" w:hAnsi="Times New Roman" w:eastAsia="仿宋_GB2312"/>
          <w:sz w:val="32"/>
          <w:szCs w:val="32"/>
          <w:lang w:val="zh-TW"/>
        </w:rPr>
        <w:t>场馆</w:t>
      </w:r>
      <w:r>
        <w:rPr>
          <w:rFonts w:hint="eastAsia" w:ascii="Times New Roman" w:hAnsi="Times New Roman" w:eastAsia="仿宋_GB2312"/>
          <w:sz w:val="32"/>
          <w:szCs w:val="32"/>
          <w:lang w:val="zh-TW" w:eastAsia="zh-TW"/>
        </w:rPr>
        <w:t>进行</w:t>
      </w:r>
      <w:r>
        <w:rPr>
          <w:rFonts w:hint="eastAsia" w:ascii="Times New Roman" w:hAnsi="Times New Roman" w:eastAsia="仿宋_GB2312"/>
          <w:sz w:val="32"/>
          <w:szCs w:val="32"/>
          <w:lang w:val="zh-TW"/>
        </w:rPr>
        <w:t>了</w:t>
      </w:r>
      <w:r>
        <w:rPr>
          <w:rFonts w:hint="eastAsia" w:ascii="Times New Roman" w:hAnsi="Times New Roman" w:eastAsia="仿宋_GB2312"/>
          <w:sz w:val="32"/>
          <w:szCs w:val="32"/>
          <w:lang w:val="zh-TW" w:eastAsia="zh-TW"/>
        </w:rPr>
        <w:t>全冰面测试，</w:t>
      </w:r>
      <w:r>
        <w:rPr>
          <w:rFonts w:hint="eastAsia" w:ascii="Times New Roman" w:hAnsi="Times New Roman" w:eastAsia="仿宋_GB2312"/>
          <w:sz w:val="32"/>
          <w:szCs w:val="32"/>
          <w:lang w:val="zh-TW"/>
        </w:rPr>
        <w:t>对</w:t>
      </w:r>
      <w:r>
        <w:rPr>
          <w:rFonts w:hint="eastAsia" w:ascii="Times New Roman" w:hAnsi="Times New Roman" w:eastAsia="仿宋_GB2312"/>
          <w:sz w:val="32"/>
          <w:szCs w:val="32"/>
          <w:lang w:val="zh-TW" w:eastAsia="zh-TW"/>
        </w:rPr>
        <w:t>赛事运行、服务保障和满观众测试等多方面的检测</w:t>
      </w:r>
      <w:r>
        <w:rPr>
          <w:rFonts w:hint="eastAsia" w:ascii="Times New Roman" w:hAnsi="Times New Roman" w:eastAsia="仿宋_GB2312"/>
          <w:sz w:val="32"/>
          <w:szCs w:val="32"/>
          <w:lang w:val="zh-TW"/>
        </w:rPr>
        <w:t>，</w:t>
      </w:r>
      <w:r>
        <w:rPr>
          <w:rFonts w:hint="eastAsia" w:ascii="Times New Roman" w:hAnsi="Times New Roman" w:eastAsia="仿宋_GB2312"/>
          <w:sz w:val="32"/>
          <w:szCs w:val="32"/>
        </w:rPr>
        <w:t>得到一致好评</w:t>
      </w:r>
      <w:r>
        <w:rPr>
          <w:rFonts w:hint="eastAsia" w:ascii="Times New Roman" w:hAnsi="Times New Roman" w:eastAsia="仿宋_GB2312"/>
          <w:sz w:val="32"/>
          <w:szCs w:val="32"/>
          <w:lang w:val="zh-TW" w:eastAsia="zh-TW"/>
        </w:rPr>
        <w:t>。</w:t>
      </w:r>
    </w:p>
    <w:p>
      <w:pPr>
        <w:pStyle w:val="4"/>
        <w:bidi w:val="0"/>
      </w:pPr>
      <w:r>
        <w:rPr>
          <w:rFonts w:hint="eastAsia"/>
        </w:rPr>
        <w:t>（2）三大板块相配合，参与冰雪活动百万人次</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冬奥会进入“北京周期”后，朝阳区每年投入专项资金，专门用于冰雪运动的开展。精心打造了“全民健身 助力冬奥”系列活动，涵盖宣传教育、冰雪体验、赛事活动三大板块，共计30余项活动贯穿全年。在宣传教育板块，每年举办冬奥大讲堂300场，参与群众达8万余人，每年储备冰雪志愿者2000人。在冰雪体验板块，每年组织开展社区冬奥会65场、全民上冰场65场、上雪场活动5场，实现43个街乡全覆盖，全区100所小学的8万余名小学生冰场体验全覆盖。在赛事活动板块，组织开展了冰上、雪上家庭运动会、国际青少年冰球邀请赛、北京市青少年冰球联赛等市级以上活动33余场次。综上所述，每年朝阳区群众直接参与冰雪活动总人次达128.95万人次，接受冰雪运动知识宣传教育培训群众达26.2万人次，总计155.15万人次。</w:t>
      </w:r>
    </w:p>
    <w:p>
      <w:pPr>
        <w:pStyle w:val="4"/>
        <w:bidi w:val="0"/>
      </w:pPr>
      <w:r>
        <w:rPr>
          <w:rFonts w:hint="eastAsia"/>
        </w:rPr>
        <w:t>（3）训练竞赛相联合，冰雪项目成绩位列前列</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为了响应大力发展冰雪运动的号召，朝阳区以最快的速度、最有力的后勤保障组建了朝阳区男（女）短道速滑队、男（女）花样滑冰队、男（女）冰壶队、男（女）高山滑雪队、男（女）单板滑雪队和男（女）冰球队等12支冰雪运动队，2020年度注册运动员1032人，建立了科学有序的训练体系。同时以赛代练，在2018年北京市第一届冬季运动会比赛</w:t>
      </w:r>
      <w:r>
        <w:rPr>
          <w:rFonts w:hint="eastAsia" w:ascii="Times New Roman" w:hAnsi="Times New Roman" w:eastAsia="仿宋_GB2312"/>
          <w:sz w:val="32"/>
          <w:szCs w:val="32"/>
          <w:lang w:val="zh-CN"/>
        </w:rPr>
        <w:t>中</w:t>
      </w:r>
      <w:r>
        <w:rPr>
          <w:rFonts w:hint="eastAsia" w:ascii="Times New Roman" w:hAnsi="Times New Roman" w:eastAsia="仿宋_GB2312"/>
          <w:sz w:val="32"/>
          <w:szCs w:val="32"/>
        </w:rPr>
        <w:t>，共有193名运动员参赛，</w:t>
      </w:r>
      <w:r>
        <w:rPr>
          <w:rFonts w:hint="eastAsia" w:ascii="Times New Roman" w:hAnsi="Times New Roman" w:eastAsia="仿宋_GB2312"/>
          <w:sz w:val="32"/>
          <w:szCs w:val="32"/>
          <w:lang w:val="zh-CN"/>
        </w:rPr>
        <w:t>朝阳代表团取得了5金、12银、9铜的成绩，金牌总数和团体总分位居北京市第三名。在2019年中华人民共和国第二届青年运动会中，朝阳区滑雪队取得了3金、2银、2铜，冰壶队取得了男子乙组亚军，花样滑冰队取得了1银、1个第五名、2个第六名、1个第七名，短道速滑队取得了1金、1银、3铜的成绩，</w:t>
      </w:r>
      <w:r>
        <w:rPr>
          <w:rFonts w:hint="eastAsia" w:ascii="Times New Roman" w:hAnsi="Times New Roman" w:eastAsia="仿宋_GB2312"/>
          <w:sz w:val="32"/>
          <w:szCs w:val="32"/>
        </w:rPr>
        <w:t>为北京市和朝阳区争取了荣誉</w:t>
      </w:r>
      <w:r>
        <w:rPr>
          <w:rFonts w:hint="eastAsia" w:ascii="Times New Roman" w:hAnsi="Times New Roman" w:eastAsia="仿宋_GB2312"/>
          <w:sz w:val="32"/>
          <w:szCs w:val="32"/>
          <w:lang w:val="zh-CN"/>
        </w:rPr>
        <w:t>。</w:t>
      </w:r>
    </w:p>
    <w:p>
      <w:pPr>
        <w:spacing w:line="600" w:lineRule="exact"/>
        <w:ind w:firstLine="420" w:firstLineChars="200"/>
        <w:outlineLvl w:val="2"/>
        <w:rPr>
          <w:rStyle w:val="55"/>
          <w:rFonts w:hint="eastAsia"/>
        </w:rPr>
      </w:pPr>
      <w:bookmarkStart w:id="53" w:name="_Toc13929"/>
      <w:bookmarkStart w:id="54" w:name="_Toc14069"/>
      <w:bookmarkStart w:id="55" w:name="_Toc8581"/>
      <w:bookmarkStart w:id="56" w:name="_Toc4303"/>
      <w:r>
        <w:rPr>
          <w:rStyle w:val="55"/>
          <w:rFonts w:hint="eastAsia"/>
        </w:rPr>
        <w:t>5.</w:t>
      </w:r>
      <w:r>
        <w:rPr>
          <w:rFonts w:hint="eastAsia" w:ascii="Times New Roman" w:hAnsi="仿宋" w:eastAsia="仿宋_GB2312" w:cs="仿宋"/>
          <w:b/>
          <w:sz w:val="32"/>
          <w:szCs w:val="32"/>
        </w:rPr>
        <w:t>管理机制因改见新，走在</w:t>
      </w:r>
      <w:r>
        <w:rPr>
          <w:rStyle w:val="55"/>
          <w:rFonts w:hint="eastAsia"/>
        </w:rPr>
        <w:t>“</w:t>
      </w:r>
      <w:r>
        <w:rPr>
          <w:rFonts w:hint="eastAsia" w:ascii="Times New Roman" w:hAnsi="仿宋" w:eastAsia="仿宋_GB2312" w:cs="仿宋"/>
          <w:b/>
          <w:sz w:val="32"/>
          <w:szCs w:val="32"/>
        </w:rPr>
        <w:t>放管服</w:t>
      </w:r>
      <w:r>
        <w:rPr>
          <w:rStyle w:val="55"/>
          <w:rFonts w:hint="eastAsia"/>
        </w:rPr>
        <w:t>”</w:t>
      </w:r>
      <w:r>
        <w:rPr>
          <w:rFonts w:hint="eastAsia" w:ascii="Times New Roman" w:hAnsi="仿宋" w:eastAsia="仿宋_GB2312" w:cs="仿宋"/>
          <w:b/>
          <w:sz w:val="32"/>
          <w:szCs w:val="32"/>
        </w:rPr>
        <w:t>改革之前列</w:t>
      </w:r>
      <w:bookmarkEnd w:id="53"/>
      <w:bookmarkEnd w:id="54"/>
      <w:bookmarkEnd w:id="55"/>
      <w:bookmarkEnd w:id="56"/>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“十三五”时期朝阳区高度重视“放管服”</w:t>
      </w:r>
      <w:r>
        <w:rPr>
          <w:rFonts w:hint="eastAsia" w:ascii="Times New Roman" w:hAnsi="Times New Roman" w:eastAsia="仿宋_GB2312"/>
          <w:sz w:val="32"/>
          <w:szCs w:val="32"/>
          <w:lang w:val="zh-CN"/>
        </w:rPr>
        <w:t>（</w:t>
      </w:r>
      <w:r>
        <w:rPr>
          <w:rFonts w:hint="eastAsia" w:ascii="Times New Roman" w:hAnsi="Times New Roman" w:eastAsia="仿宋_GB2312"/>
          <w:sz w:val="32"/>
          <w:szCs w:val="32"/>
          <w:lang w:val="zh-CN"/>
        </w:rPr>
        <w:fldChar w:fldCharType="begin"/>
      </w:r>
      <w:r>
        <w:rPr>
          <w:rFonts w:hint="eastAsia" w:ascii="Times New Roman" w:hAnsi="Times New Roman" w:eastAsia="仿宋_GB2312"/>
          <w:sz w:val="32"/>
          <w:szCs w:val="32"/>
          <w:lang w:val="zh-CN"/>
        </w:rPr>
        <w:instrText xml:space="preserve"> HYPERLINK "https://baike.baidu.com/item/%E7%AE%80%E6%94%BF%E6%94%BE%E6%9D%83/2777365" \t "https://baike.baidu.com/item/%E6%94%BE%E7%AE%A1%E6%9C%8D/_blank" </w:instrText>
      </w:r>
      <w:r>
        <w:rPr>
          <w:rFonts w:hint="eastAsia" w:ascii="Times New Roman" w:hAnsi="Times New Roman" w:eastAsia="仿宋_GB2312"/>
          <w:sz w:val="32"/>
          <w:szCs w:val="32"/>
          <w:lang w:val="zh-CN"/>
        </w:rPr>
        <w:fldChar w:fldCharType="separate"/>
      </w:r>
      <w:r>
        <w:rPr>
          <w:rFonts w:ascii="Times New Roman" w:hAnsi="Times New Roman" w:eastAsia="仿宋_GB2312"/>
          <w:sz w:val="32"/>
          <w:szCs w:val="32"/>
          <w:lang w:val="zh-CN"/>
        </w:rPr>
        <w:t>简政放权</w:t>
      </w:r>
      <w:r>
        <w:rPr>
          <w:rFonts w:ascii="Times New Roman" w:hAnsi="Times New Roman" w:eastAsia="仿宋_GB2312"/>
          <w:sz w:val="32"/>
          <w:szCs w:val="32"/>
          <w:lang w:val="zh-CN"/>
        </w:rPr>
        <w:fldChar w:fldCharType="end"/>
      </w:r>
      <w:r>
        <w:rPr>
          <w:rFonts w:ascii="Times New Roman" w:hAnsi="Times New Roman" w:eastAsia="仿宋_GB2312"/>
          <w:sz w:val="32"/>
          <w:szCs w:val="32"/>
          <w:lang w:val="zh-CN"/>
        </w:rPr>
        <w:t>、放管结合、优化服务</w:t>
      </w:r>
      <w:r>
        <w:rPr>
          <w:rFonts w:hint="eastAsia" w:ascii="Times New Roman" w:hAnsi="Times New Roman" w:eastAsia="仿宋_GB2312"/>
          <w:sz w:val="32"/>
          <w:szCs w:val="32"/>
        </w:rPr>
        <w:t>的简称</w:t>
      </w:r>
      <w:r>
        <w:rPr>
          <w:rFonts w:hint="eastAsia" w:ascii="Times New Roman" w:hAnsi="Times New Roman" w:eastAsia="仿宋_GB2312"/>
          <w:sz w:val="32"/>
          <w:szCs w:val="32"/>
          <w:lang w:val="zh-CN"/>
        </w:rPr>
        <w:t>）</w:t>
      </w:r>
      <w:r>
        <w:rPr>
          <w:rFonts w:hint="eastAsia" w:ascii="Times New Roman" w:hAnsi="Times New Roman" w:eastAsia="仿宋_GB2312"/>
          <w:sz w:val="32"/>
          <w:szCs w:val="32"/>
        </w:rPr>
        <w:t>工作，认真贯彻落实区委、区政府工作部署，以“依法治体，群众满意”为目标着力推进全区体育管理机制改革，全面、依法、规范履行体育工作各项职责。认真梳理，精简赛事和协会相关审批程序，大力支持引导体育类社会组织通过市场化手段运作赛事活动；通过购买社会服务的方式，充分发挥社会体育组织和企业的专业力量助力朝阳体育发展；推动区域内部分体育场馆预留特定的时间和场地免费服务大众；有效组织街道和社区开展多种体育惠民活动，真真正正把体育惠民服务落在实处。</w:t>
      </w:r>
    </w:p>
    <w:p>
      <w:pPr>
        <w:spacing w:line="600" w:lineRule="exact"/>
        <w:ind w:firstLine="420" w:firstLineChars="200"/>
        <w:outlineLvl w:val="2"/>
        <w:rPr>
          <w:rStyle w:val="55"/>
          <w:rFonts w:hint="eastAsia"/>
        </w:rPr>
      </w:pPr>
      <w:bookmarkStart w:id="57" w:name="_Toc14074"/>
      <w:bookmarkStart w:id="58" w:name="_Toc20347"/>
      <w:bookmarkStart w:id="59" w:name="_Toc12010"/>
      <w:bookmarkStart w:id="60" w:name="_Toc13026"/>
      <w:r>
        <w:rPr>
          <w:rStyle w:val="55"/>
          <w:rFonts w:hint="eastAsia"/>
        </w:rPr>
        <w:t>6.</w:t>
      </w:r>
      <w:r>
        <w:rPr>
          <w:rFonts w:hint="eastAsia" w:ascii="Times New Roman" w:hAnsi="仿宋" w:eastAsia="仿宋_GB2312" w:cs="仿宋"/>
          <w:b/>
          <w:sz w:val="32"/>
          <w:szCs w:val="32"/>
        </w:rPr>
        <w:t>新冠防控因疫速战，科学有效应对筑起体育保障</w:t>
      </w:r>
      <w:bookmarkEnd w:id="57"/>
      <w:bookmarkEnd w:id="58"/>
      <w:bookmarkEnd w:id="59"/>
      <w:bookmarkEnd w:id="60"/>
    </w:p>
    <w:p>
      <w:pPr>
        <w:pStyle w:val="4"/>
        <w:bidi w:val="0"/>
        <w:rPr>
          <w:rFonts w:hint="eastAsia"/>
        </w:rPr>
      </w:pPr>
      <w:r>
        <w:rPr>
          <w:rFonts w:hint="eastAsia"/>
        </w:rPr>
        <w:t>（1）做到“三精三严”，筑牢体育企业防疫屏障</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在2020年新冠疫情突发和防控期间，朝阳区把辖区体育经营单位的疫情防控工作列为重点，鉴于全区拥有体育经营单位近700家，数量居全市之首，涉及48个项目类别，其经营性质复杂多样，故举全局之力，调动人员力量，迅速响应、群策群力、严格管控，做到“三精、三严”——即“精准施策、严审复工申报情况；精细管理、严查防疫落实情况；精心指导、严禁违规私开情况。”在全市最先制发了《体育经营单位做好疫情防控工作的通知》和《体育经营单位疫情防控及复工复产工作方案》，在全市率先启动体育经营单位有序复工复产工作。</w:t>
      </w:r>
    </w:p>
    <w:p>
      <w:pPr>
        <w:pStyle w:val="4"/>
        <w:bidi w:val="0"/>
        <w:rPr>
          <w:rFonts w:hint="eastAsia"/>
        </w:rPr>
      </w:pPr>
      <w:r>
        <w:rPr>
          <w:rFonts w:hint="eastAsia"/>
        </w:rPr>
        <w:t>（2）引导科学健身，为疫情防控工作保驾护航</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防控命令发布后第一时间联合keep公司积极推广居家科学健身方式，利用官方公众号“健行朝阳”和北京朝阳app推出居家防疫健身18法系列课程，与朝阳区电视台合作，共同推出一套适合朝阳区居民体质特点的居家防疫健身课程，通过全民健身街乡工作微信群，推广《居家防疫健身指南》等科学健身指导链接、视频、文章等40余篇，观看群众达到万余人，深受广大群众的欢迎。</w:t>
      </w:r>
    </w:p>
    <w:p>
      <w:pPr>
        <w:pStyle w:val="4"/>
        <w:bidi w:val="0"/>
        <w:rPr>
          <w:rFonts w:hint="eastAsia"/>
        </w:rPr>
      </w:pPr>
      <w:r>
        <w:rPr>
          <w:rFonts w:hint="eastAsia"/>
        </w:rPr>
        <w:t>（3）开发线上功能，“云功能”助停训不停练</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朝阳区体育科研所以教练员、运动员的实际需求出发，完善更新朝阳区青少年业余训练数据库线上训练功能，为教练员、运动员提供“云训练”平台，为“云上”科研促训提供平台。对于业余训练的持续性和科学性提供了有力的保障。</w:t>
      </w:r>
    </w:p>
    <w:p>
      <w:pPr>
        <w:pStyle w:val="3"/>
        <w:bidi w:val="0"/>
        <w:rPr>
          <w:rFonts w:hint="eastAsia" w:ascii="Calibri" w:hAnsi="Calibri"/>
        </w:rPr>
      </w:pPr>
      <w:bookmarkStart w:id="61" w:name="_Toc11864"/>
      <w:bookmarkStart w:id="62" w:name="_Toc27852"/>
      <w:bookmarkStart w:id="63" w:name="_Toc29131"/>
      <w:bookmarkStart w:id="64" w:name="_Toc9367"/>
      <w:r>
        <w:rPr>
          <w:rFonts w:hint="eastAsia" w:ascii="Calibri" w:hAnsi="Calibri"/>
        </w:rPr>
        <w:t>（二）朝阳区“十三五”时期体育发展主要问题和瓶颈</w:t>
      </w:r>
      <w:bookmarkEnd w:id="61"/>
      <w:bookmarkEnd w:id="62"/>
      <w:bookmarkEnd w:id="63"/>
      <w:bookmarkEnd w:id="64"/>
    </w:p>
    <w:p>
      <w:pPr>
        <w:pStyle w:val="4"/>
        <w:bidi w:val="0"/>
      </w:pPr>
      <w:bookmarkStart w:id="65" w:name="_Toc29454"/>
      <w:bookmarkStart w:id="66" w:name="_Toc9057"/>
      <w:bookmarkStart w:id="67" w:name="_Toc12793"/>
      <w:bookmarkStart w:id="68" w:name="_Toc31853"/>
      <w:r>
        <w:rPr>
          <w:rFonts w:hint="eastAsia"/>
        </w:rPr>
        <w:t>1.全民健身资源与群众需求仍有差距</w:t>
      </w:r>
      <w:bookmarkEnd w:id="65"/>
      <w:bookmarkEnd w:id="66"/>
      <w:bookmarkEnd w:id="67"/>
      <w:bookmarkEnd w:id="68"/>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目前全区的全民健身资源与群众日益增长的健身需求仍有差距，人均健身场地面积仍显不足。全民健身经费、专业人员、公共体育场地设施等支持资源还需向街乡、社区进一步倾斜，健全配套政策体系方面的步伐上还需进一步加快，对全区健身步道等全民健身场地设施的规划、布局和建设上还需进一步加强。</w:t>
      </w:r>
    </w:p>
    <w:p>
      <w:pPr>
        <w:pStyle w:val="4"/>
        <w:bidi w:val="0"/>
        <w:rPr>
          <w:rFonts w:hint="eastAsia"/>
        </w:rPr>
      </w:pPr>
      <w:bookmarkStart w:id="69" w:name="_Toc10274"/>
      <w:bookmarkStart w:id="70" w:name="_Toc15264"/>
      <w:bookmarkStart w:id="71" w:name="_Toc9894"/>
      <w:bookmarkStart w:id="72" w:name="_Toc11048"/>
      <w:r>
        <w:rPr>
          <w:rFonts w:hint="eastAsia"/>
        </w:rPr>
        <w:t>2.竞技体育的人才培养面临三大困境</w:t>
      </w:r>
      <w:bookmarkEnd w:id="69"/>
      <w:bookmarkEnd w:id="70"/>
      <w:bookmarkEnd w:id="71"/>
      <w:bookmarkEnd w:id="72"/>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一是近十年来均未能建成的十二年一贯制体育运动学校。朝阳区的竞技体育成绩是全市第一，项目最多，优势项目也逐步增多，但是硬件设施却不能与成绩相比对。同时区内部分体育项目场馆场地不足，亟须推进相关硬件设施建设。二是随着冰雪运动队的快速建立和运动员急剧增加，出现了冰雪训练场馆不足和冬季项目教练员不足的问题。冰上项目训练没有固定的训练场馆，随着冬季项目开展的加快，参与短道、冰球、花样滑冰等冰上项目的运动员越来越多，现朝阳区冬季项目开展基本以与冰场或俱乐部合作为主，从项目发展的主动性、长远性来看，需要建设朝阳区冰雪训练场馆，为朝阳区培养更多高水平后备人才，更好的保障运动员训练提供场馆保障，亟需引进冬季项目教练员人才。三是目前很多运动项目面临选材面较窄的现状和优秀体育苗子在小升初或初升高过程中由于学业、家庭等原因放弃继续训练的情况，使得在下一个周期可能出现竞技后备人才综合水平下降的问题。</w:t>
      </w:r>
    </w:p>
    <w:p>
      <w:pPr>
        <w:pStyle w:val="4"/>
        <w:bidi w:val="0"/>
        <w:rPr>
          <w:rFonts w:hint="eastAsia"/>
        </w:rPr>
      </w:pPr>
      <w:bookmarkStart w:id="73" w:name="_Toc7462"/>
      <w:bookmarkStart w:id="74" w:name="_Toc7195"/>
      <w:bookmarkStart w:id="75" w:name="_Toc26962"/>
      <w:bookmarkStart w:id="76" w:name="_Toc22747"/>
      <w:r>
        <w:rPr>
          <w:rFonts w:hint="eastAsia"/>
        </w:rPr>
        <w:t>3.体育产业的发展面临扶持资金不足</w:t>
      </w:r>
      <w:bookmarkEnd w:id="73"/>
      <w:bookmarkEnd w:id="74"/>
      <w:bookmarkEnd w:id="75"/>
      <w:bookmarkEnd w:id="76"/>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朝阳区的体育资源较为丰富，但政策推动资源市场化和产业化进程相对不快，相比深圳各区和上海各区的体育产业促动，朝阳区对体育市场主体的扶持力度更多集中于引导和资源整合对接层面，缺乏实质性扶持资金支持，尤其是对中小微体育企业的金融扶持还有待加强，在体育产业成长的过程中，产业配套资源亟需政府层面完善。</w:t>
      </w:r>
    </w:p>
    <w:p>
      <w:pPr>
        <w:pStyle w:val="4"/>
        <w:bidi w:val="0"/>
        <w:rPr>
          <w:rFonts w:hint="eastAsia"/>
        </w:rPr>
      </w:pPr>
      <w:bookmarkStart w:id="77" w:name="_Toc14765"/>
      <w:bookmarkStart w:id="78" w:name="_Toc6564"/>
      <w:bookmarkStart w:id="79" w:name="_Toc16758"/>
      <w:bookmarkStart w:id="80" w:name="_Toc1252"/>
      <w:r>
        <w:rPr>
          <w:rFonts w:hint="eastAsia"/>
        </w:rPr>
        <w:t>4.高端顶级品牌的赛事相对仍然缺乏</w:t>
      </w:r>
      <w:bookmarkEnd w:id="77"/>
      <w:bookmarkEnd w:id="78"/>
      <w:bookmarkEnd w:id="79"/>
      <w:bookmarkEnd w:id="80"/>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朝阳区作为国际化特色彰显的现代化都市，拥有丰富的体育场馆资源，但落户在朝阳区的高端赛事、顶级赛事相比国际发达城市核心区还比较少，区域吸引国际国内大型赛事活动的能力和把握机遇的能力尚需提高，缺乏体育赛事品质标准体系、赛事综合效应评估体系和赛事动态监测机制等赛事健康管控体系。</w:t>
      </w:r>
    </w:p>
    <w:p>
      <w:pPr>
        <w:pStyle w:val="4"/>
        <w:bidi w:val="0"/>
      </w:pPr>
      <w:bookmarkStart w:id="81" w:name="_Toc20575"/>
      <w:bookmarkStart w:id="82" w:name="_Toc12339"/>
      <w:bookmarkStart w:id="83" w:name="_Toc11197"/>
      <w:bookmarkStart w:id="84" w:name="_Toc6948"/>
      <w:r>
        <w:rPr>
          <w:rFonts w:hint="eastAsia"/>
        </w:rPr>
        <w:t>5.</w:t>
      </w:r>
      <w:bookmarkEnd w:id="81"/>
      <w:bookmarkEnd w:id="82"/>
      <w:r>
        <w:rPr>
          <w:rFonts w:hint="eastAsia"/>
        </w:rPr>
        <w:t>多部门之间深度长效协同仍显薄弱</w:t>
      </w:r>
      <w:bookmarkEnd w:id="83"/>
      <w:bookmarkEnd w:id="84"/>
    </w:p>
    <w:p>
      <w:pPr>
        <w:spacing w:line="600" w:lineRule="exact"/>
        <w:ind w:firstLine="640" w:firstLineChars="200"/>
        <w:rPr>
          <w:rFonts w:hint="eastAsia" w:ascii="Times New Roman" w:hAnsi="Times New Roman" w:eastAsia="仿宋_GB2312"/>
          <w:sz w:val="32"/>
          <w:szCs w:val="32"/>
        </w:rPr>
      </w:pPr>
      <w:bookmarkStart w:id="85" w:name="_Toc26091"/>
      <w:r>
        <w:rPr>
          <w:rFonts w:hint="eastAsia" w:ascii="Times New Roman" w:hAnsi="Times New Roman" w:eastAsia="仿宋_GB2312"/>
          <w:sz w:val="32"/>
          <w:szCs w:val="32"/>
        </w:rPr>
        <w:t>在体育改革深度推进过程中，上位体育系统规划政策中涉及能源、土地、安全等部分领域的改革措施在落实过程中还有一些瓶颈暂时难以短时期内突破。同时体育与多领域的融合仍需进一步加强，例如体育与园林、卫生、文化、旅游等领域的融合发展还需进一步加强，如对城市公园、郊野公园、公共绿地等场所空闲空间的利用还不够不充分，体育场地设施建设还没有实现在公园、绿地建设的前期设计阶段的提前介入，缺乏针对性的配套政策和措施，使之长效化、制度化。体育与旅游、文化、卫生等领域融合上结合点不多，形式还不够丰富。</w:t>
      </w:r>
      <w:bookmarkEnd w:id="85"/>
    </w:p>
    <w:p>
      <w:pPr>
        <w:pStyle w:val="2"/>
        <w:spacing w:after="0" w:afterLines="0"/>
        <w:ind w:firstLine="643" w:firstLineChars="200"/>
        <w:rPr>
          <w:rFonts w:ascii="黑体" w:hAnsi="黑体"/>
          <w:szCs w:val="32"/>
        </w:rPr>
      </w:pPr>
      <w:bookmarkStart w:id="86" w:name="_Toc28163"/>
      <w:bookmarkStart w:id="87" w:name="_Toc773"/>
      <w:bookmarkStart w:id="88" w:name="_Toc7937"/>
      <w:bookmarkStart w:id="89" w:name="_Toc17833"/>
      <w:r>
        <w:rPr>
          <w:rFonts w:hint="eastAsia" w:ascii="黑体" w:hAnsi="黑体"/>
          <w:szCs w:val="32"/>
        </w:rPr>
        <w:t>二、“十四五”时期新要求新背景</w:t>
      </w:r>
      <w:bookmarkEnd w:id="86"/>
      <w:bookmarkEnd w:id="87"/>
      <w:bookmarkEnd w:id="88"/>
      <w:bookmarkEnd w:id="89"/>
    </w:p>
    <w:p>
      <w:pPr>
        <w:pStyle w:val="3"/>
        <w:bidi w:val="0"/>
        <w:rPr>
          <w:rFonts w:hint="eastAsia" w:ascii="Calibri" w:hAnsi="Calibri"/>
        </w:rPr>
      </w:pPr>
      <w:bookmarkStart w:id="90" w:name="_Toc12979"/>
      <w:bookmarkStart w:id="91" w:name="_Toc4714"/>
      <w:bookmarkStart w:id="92" w:name="_Toc7357"/>
      <w:bookmarkStart w:id="93" w:name="_Toc19306"/>
      <w:r>
        <w:rPr>
          <w:rFonts w:hint="eastAsia" w:ascii="Calibri" w:hAnsi="Calibri"/>
        </w:rPr>
        <w:t>（一）新时代的新要求</w:t>
      </w:r>
      <w:bookmarkEnd w:id="90"/>
      <w:bookmarkEnd w:id="91"/>
      <w:bookmarkEnd w:id="92"/>
      <w:bookmarkEnd w:id="93"/>
    </w:p>
    <w:p>
      <w:pPr>
        <w:pStyle w:val="4"/>
        <w:bidi w:val="0"/>
      </w:pPr>
      <w:bookmarkStart w:id="94" w:name="_Toc22829"/>
      <w:bookmarkStart w:id="95" w:name="_Toc19143"/>
      <w:bookmarkStart w:id="96" w:name="_Toc4065"/>
      <w:bookmarkStart w:id="97" w:name="_Toc22541"/>
      <w:r>
        <w:rPr>
          <w:rFonts w:hint="eastAsia"/>
        </w:rPr>
        <w:t>1.新时代催生新思想，党建引领理论指导实践</w:t>
      </w:r>
      <w:bookmarkEnd w:id="94"/>
      <w:bookmarkEnd w:id="95"/>
      <w:bookmarkEnd w:id="96"/>
      <w:bookmarkEnd w:id="9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十九大确立了具有划时代的意义的习近平新时代中国特色社会主义思想，使中国社会治理有了正确的方向和强大的动力。站在新时代的前沿，我们要提高政治站位，以习近平新时代中国特色社会主义思想、体育思想和重要论述作为体育实践的行动指南，以新思想武装头脑，以党建促进体育跨越式发展。</w:t>
      </w:r>
    </w:p>
    <w:p>
      <w:pPr>
        <w:pStyle w:val="4"/>
        <w:bidi w:val="0"/>
      </w:pPr>
      <w:bookmarkStart w:id="98" w:name="_Toc9659"/>
      <w:bookmarkStart w:id="99" w:name="_Toc2279"/>
      <w:bookmarkStart w:id="100" w:name="_Toc29802"/>
      <w:bookmarkStart w:id="101" w:name="_Toc15172"/>
      <w:r>
        <w:rPr>
          <w:rFonts w:hint="eastAsia"/>
        </w:rPr>
        <w:t>2.新时代落实新战略，共建体育强国健康中国</w:t>
      </w:r>
      <w:bookmarkEnd w:id="98"/>
      <w:bookmarkEnd w:id="99"/>
      <w:bookmarkEnd w:id="100"/>
      <w:bookmarkEnd w:id="101"/>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随着健康中国、全民健身成为国家战略和《体育强国建设纲要》颁布，没有全民健康，就没有全面小康，全民健身是全民健康的重要抓手，运动是良医等成为了共识，体育强则国家强，要在新周期发挥体育全周期保障健康作用，切实提高人民健康水平。</w:t>
      </w:r>
    </w:p>
    <w:p>
      <w:pPr>
        <w:pStyle w:val="4"/>
        <w:bidi w:val="0"/>
      </w:pPr>
      <w:bookmarkStart w:id="102" w:name="_Toc15704"/>
      <w:bookmarkStart w:id="103" w:name="_Toc31937"/>
      <w:bookmarkStart w:id="104" w:name="_Toc4622"/>
      <w:bookmarkStart w:id="105" w:name="_Toc30020"/>
      <w:r>
        <w:rPr>
          <w:rFonts w:hint="eastAsia"/>
        </w:rPr>
        <w:t>3.新时代升级新动力，高质量体育满足新需求</w:t>
      </w:r>
      <w:bookmarkEnd w:id="102"/>
      <w:bookmarkEnd w:id="103"/>
      <w:bookmarkEnd w:id="104"/>
      <w:bookmarkEnd w:id="10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我国</w:t>
      </w:r>
      <w:r>
        <w:rPr>
          <w:rFonts w:ascii="Times New Roman" w:hAnsi="Times New Roman" w:eastAsia="仿宋_GB2312"/>
          <w:sz w:val="32"/>
          <w:szCs w:val="32"/>
        </w:rPr>
        <w:t>社会主要矛盾已经转化为人民日益增长的美好生活需要和不平衡不充分的发展之间的矛盾</w:t>
      </w:r>
      <w:r>
        <w:rPr>
          <w:rFonts w:hint="eastAsia" w:ascii="Times New Roman" w:hAnsi="Times New Roman" w:eastAsia="仿宋_GB2312"/>
          <w:sz w:val="32"/>
          <w:szCs w:val="32"/>
        </w:rPr>
        <w:t>，我国经济也由高速增长阶段转向高质量发展阶段，这成为新时代我国社会经济发展的基本特征，要顺势而为，以高质量体育满足群众新需求。</w:t>
      </w:r>
    </w:p>
    <w:p>
      <w:pPr>
        <w:pStyle w:val="4"/>
        <w:bidi w:val="0"/>
      </w:pPr>
      <w:bookmarkStart w:id="106" w:name="_Toc11688"/>
      <w:bookmarkStart w:id="107" w:name="_Toc8287"/>
      <w:bookmarkStart w:id="108" w:name="_Toc27088"/>
      <w:bookmarkStart w:id="109" w:name="_Toc24910"/>
      <w:r>
        <w:rPr>
          <w:rFonts w:hint="eastAsia"/>
        </w:rPr>
        <w:t>4.新时代赋予新使命，携体育力量开启新征程</w:t>
      </w:r>
      <w:bookmarkEnd w:id="106"/>
      <w:bookmarkEnd w:id="107"/>
      <w:bookmarkEnd w:id="108"/>
      <w:bookmarkEnd w:id="109"/>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十九大报告中对于未来几年中国体育有明确指示：“广泛开展全民健身活动、加快推进体育强国建设、筹办好北京冬奥会、冬残奥会”，作为体育管理部门和工作者，要在“十四五”时期，肩负使命，深入落实，砥砺前行。</w:t>
      </w:r>
    </w:p>
    <w:p>
      <w:pPr>
        <w:pStyle w:val="3"/>
        <w:bidi w:val="0"/>
        <w:rPr>
          <w:rFonts w:hint="eastAsia" w:ascii="Calibri" w:hAnsi="Calibri"/>
        </w:rPr>
      </w:pPr>
      <w:bookmarkStart w:id="110" w:name="_Toc19421"/>
      <w:bookmarkStart w:id="111" w:name="_Toc22609"/>
      <w:bookmarkStart w:id="112" w:name="_Toc23156"/>
      <w:bookmarkStart w:id="113" w:name="_Toc24436"/>
      <w:r>
        <w:rPr>
          <w:rFonts w:hint="eastAsia" w:ascii="Calibri" w:hAnsi="Calibri"/>
        </w:rPr>
        <w:t>（二）面临的发展机遇和挑战</w:t>
      </w:r>
      <w:bookmarkEnd w:id="110"/>
      <w:bookmarkEnd w:id="111"/>
      <w:bookmarkEnd w:id="112"/>
      <w:bookmarkEnd w:id="113"/>
    </w:p>
    <w:p>
      <w:pPr>
        <w:pStyle w:val="4"/>
        <w:bidi w:val="0"/>
      </w:pPr>
      <w:bookmarkStart w:id="114" w:name="_Toc29315"/>
      <w:bookmarkStart w:id="115" w:name="_Toc8367"/>
      <w:bookmarkStart w:id="116" w:name="_Toc17439"/>
      <w:bookmarkStart w:id="117" w:name="_Toc26073"/>
      <w:r>
        <w:rPr>
          <w:rFonts w:hint="eastAsia"/>
        </w:rPr>
        <w:t>1.朝阳区“十四五”时期体育发展面临的机遇</w:t>
      </w:r>
      <w:bookmarkEnd w:id="114"/>
      <w:bookmarkEnd w:id="115"/>
      <w:bookmarkEnd w:id="116"/>
      <w:bookmarkEnd w:id="117"/>
    </w:p>
    <w:p>
      <w:pPr>
        <w:pStyle w:val="4"/>
        <w:bidi w:val="0"/>
        <w:rPr>
          <w:rFonts w:hint="eastAsia"/>
        </w:rPr>
      </w:pPr>
      <w:r>
        <w:rPr>
          <w:rFonts w:hint="eastAsia"/>
        </w:rPr>
        <w:t>（1）“冬奥效应”将全面升级区域软硬件，注入新动能</w:t>
      </w:r>
    </w:p>
    <w:p>
      <w:pPr>
        <w:widowControl/>
        <w:ind w:firstLine="640" w:firstLineChars="200"/>
        <w:jc w:val="left"/>
        <w:rPr>
          <w:rFonts w:ascii="Times New Roman" w:hAnsi="Times New Roman" w:eastAsia="仿宋_GB2312"/>
          <w:sz w:val="32"/>
          <w:szCs w:val="32"/>
        </w:rPr>
      </w:pPr>
      <w:r>
        <w:rPr>
          <w:rFonts w:hint="eastAsia" w:ascii="Times New Roman" w:hAnsi="Times New Roman" w:eastAsia="仿宋_GB2312"/>
          <w:sz w:val="32"/>
          <w:szCs w:val="32"/>
        </w:rPr>
        <w:t>朝阳区作为2022年北京冬奥会的主承载区，在筹办冬奥会过程中，不只是新建或改建比赛场馆，还配套完善承办地区的道路交通、城市建设、旅游服务等多个领域的基础设施，这是一次旧貌换新颜的机会，同时也带来了冬奥遗产，让区域的冬奥遗产变现，也必将成为推动朝阳区发展的新动能。</w:t>
      </w:r>
    </w:p>
    <w:p>
      <w:pPr>
        <w:pStyle w:val="4"/>
        <w:bidi w:val="0"/>
        <w:rPr>
          <w:rFonts w:hint="eastAsia"/>
        </w:rPr>
      </w:pPr>
      <w:r>
        <w:rPr>
          <w:rFonts w:hint="eastAsia"/>
        </w:rPr>
        <w:t>（2）“战略效应”将优化体育发展大环境，迎来新特色</w:t>
      </w:r>
    </w:p>
    <w:p>
      <w:pPr>
        <w:widowControl/>
        <w:ind w:firstLine="640" w:firstLineChars="200"/>
        <w:jc w:val="left"/>
        <w:rPr>
          <w:rFonts w:ascii="Times New Roman" w:hAnsi="Times New Roman" w:eastAsia="仿宋_GB2312"/>
          <w:sz w:val="32"/>
          <w:szCs w:val="32"/>
        </w:rPr>
      </w:pPr>
      <w:r>
        <w:rPr>
          <w:rFonts w:hint="eastAsia" w:ascii="Times New Roman" w:hAnsi="Times New Roman" w:eastAsia="仿宋_GB2312"/>
          <w:sz w:val="32"/>
          <w:szCs w:val="32"/>
        </w:rPr>
        <w:t>随着建设体育强国纲要的出台，全民健身、体育高质量发展等内容纳入国家“十四五”规划，体育的发展目标愈加清晰，国家和北京市的配套政策将陆续而来。朝阳区未来打造成体育强区势在必行，同时随着我国逐渐进入以国内大循环为主体、国际国内双循环发展格局，国内体育需求和消费将呈现新特色。</w:t>
      </w:r>
    </w:p>
    <w:p>
      <w:pPr>
        <w:pStyle w:val="4"/>
        <w:bidi w:val="0"/>
      </w:pPr>
      <w:r>
        <w:rPr>
          <w:rFonts w:hint="eastAsia"/>
        </w:rPr>
        <w:t>（3）“人本效应”将唤醒国民的体健意识，凝聚源动力</w:t>
      </w:r>
    </w:p>
    <w:p>
      <w:pPr>
        <w:widowControl/>
        <w:ind w:firstLine="640" w:firstLineChars="200"/>
        <w:jc w:val="left"/>
        <w:rPr>
          <w:rFonts w:ascii="Times New Roman" w:hAnsi="Times New Roman" w:eastAsia="仿宋_GB2312"/>
          <w:sz w:val="32"/>
          <w:szCs w:val="32"/>
        </w:rPr>
      </w:pPr>
      <w:r>
        <w:rPr>
          <w:rFonts w:hint="eastAsia" w:ascii="Times New Roman" w:hAnsi="Times New Roman" w:eastAsia="仿宋_GB2312"/>
          <w:sz w:val="32"/>
          <w:szCs w:val="32"/>
        </w:rPr>
        <w:t>随着全民健身和健康中国成为国家战略，以及2020年新冠疫情的影响，国民的健康观念将逐步转变，通过体育增强自身免疫力，运动是良医等意识将深入人心，这极大地增加国民参与体育运动的热情和主动性，体育人口也将快速上涨。</w:t>
      </w:r>
    </w:p>
    <w:p>
      <w:pPr>
        <w:pStyle w:val="4"/>
        <w:bidi w:val="0"/>
        <w:rPr>
          <w:rFonts w:ascii="Times New Roman" w:hAnsi="Times New Roman" w:eastAsia="仿宋_GB2312" w:cs="宋体"/>
          <w:b w:val="0"/>
          <w:bCs w:val="0"/>
          <w:szCs w:val="32"/>
        </w:rPr>
      </w:pPr>
      <w:r>
        <w:rPr>
          <w:rFonts w:hint="eastAsia"/>
        </w:rPr>
        <w:t>（4）“场景效应”将促体育消费升级迭代，催生动经济</w:t>
      </w:r>
    </w:p>
    <w:p>
      <w:pPr>
        <w:widowControl/>
        <w:ind w:firstLine="640" w:firstLineChars="200"/>
        <w:jc w:val="left"/>
        <w:rPr>
          <w:rFonts w:hint="eastAsia" w:ascii="Times New Roman" w:hAnsi="Times New Roman" w:eastAsia="仿宋_GB2312"/>
          <w:sz w:val="32"/>
          <w:szCs w:val="32"/>
        </w:rPr>
      </w:pPr>
      <w:r>
        <w:rPr>
          <w:rFonts w:hint="eastAsia" w:ascii="Times New Roman" w:hAnsi="Times New Roman" w:eastAsia="仿宋_GB2312"/>
          <w:sz w:val="32"/>
          <w:szCs w:val="32"/>
        </w:rPr>
        <w:t>随着居民消费能力的提升和智慧新技术的应用，大量体育消费从“随意性”转向“专业性”，重视专业技能、装备配置和竞技水平，在路边跑跑步，在街头公园做做操已经满足不了年轻人，随着新基建的建设和智能化技术的普及，智能健身房、户外活动、电子竞技、体育综合体等线上线下一体化将成为新的消费场景，也将成为区域发展的新经济增长点。</w:t>
      </w:r>
    </w:p>
    <w:p>
      <w:pPr>
        <w:pStyle w:val="4"/>
        <w:bidi w:val="0"/>
        <w:rPr>
          <w:rFonts w:hint="eastAsia"/>
        </w:rPr>
      </w:pPr>
      <w:bookmarkStart w:id="118" w:name="_Toc20148"/>
      <w:bookmarkStart w:id="119" w:name="_Toc18191"/>
      <w:bookmarkStart w:id="120" w:name="_Toc27730"/>
      <w:bookmarkStart w:id="121" w:name="_Toc23924"/>
      <w:r>
        <w:rPr>
          <w:rFonts w:hint="eastAsia"/>
        </w:rPr>
        <w:t>2.朝阳区“十四五”时期体育发展面临的挑战</w:t>
      </w:r>
      <w:bookmarkEnd w:id="118"/>
      <w:bookmarkEnd w:id="119"/>
      <w:bookmarkEnd w:id="120"/>
      <w:bookmarkEnd w:id="121"/>
    </w:p>
    <w:p>
      <w:pPr>
        <w:pStyle w:val="4"/>
        <w:bidi w:val="0"/>
      </w:pPr>
      <w:r>
        <w:rPr>
          <w:rFonts w:hint="eastAsia"/>
        </w:rPr>
        <w:t>（1）疫情防控常态化增加了体育的不确定性</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新冠肺炎疫情发生以来，所有国际和省市级、区级体育赛事活动以及全民健身系列活动等取消或延期，体育场馆、健身场馆及培训机构停业，体育产业发展受到严重影响和巨大冲击，体育行业恢复到疫情前水平需要很长的周期，同时随着疫情防控常态化，使得在新时期体育发展的不确定性和复杂性进一步加大，未来需要在发展方式和路径上做出积极应对，努力保障百姓安全科学健身，帮体育企业渡过难关，畅通体育双循环。</w:t>
      </w:r>
    </w:p>
    <w:p>
      <w:pPr>
        <w:pStyle w:val="4"/>
        <w:bidi w:val="0"/>
      </w:pPr>
      <w:r>
        <w:rPr>
          <w:rFonts w:hint="eastAsia"/>
        </w:rPr>
        <w:t>（2）体育公共服务均等化和智慧化难度颇大</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在不断满足人民日益增长的美好生活需要背景下，由于朝阳区区域内既有如CBD等现代商圈，又有大量城中村和城乡结合部，相比其他区县，朝阳区常住人口最多，还有众多外来人口、国际友人，高端时尚需求较多，朝阳区公共体育服务领域在推进均等化和智慧化工作方面将面临不小压力。</w:t>
      </w:r>
    </w:p>
    <w:p>
      <w:pPr>
        <w:pStyle w:val="4"/>
        <w:bidi w:val="0"/>
      </w:pPr>
      <w:r>
        <w:rPr>
          <w:rFonts w:hint="eastAsia"/>
        </w:rPr>
        <w:t>（3）区体育协会实体化改革后遇到生存瓶颈</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随着国家运动项目协会实体化改革进程的推进，区级层面的体育协会在“十三五”时期大部分完成了管办分离，通过实体化进入市场，但是作为区级的体育协会在实体化之后，受限于资源条件、发展思路、商业模式等因素，尚未找到有效的发展路径，个别协会可能将面临停摆，亟需找到发展模式。</w:t>
      </w:r>
    </w:p>
    <w:p>
      <w:pPr>
        <w:pStyle w:val="4"/>
        <w:bidi w:val="0"/>
        <w:rPr>
          <w:rFonts w:hint="eastAsia"/>
        </w:rPr>
      </w:pPr>
      <w:r>
        <w:rPr>
          <w:rFonts w:hint="eastAsia"/>
        </w:rPr>
        <w:t>（4）</w:t>
      </w:r>
      <w:r>
        <w:t>新型</w:t>
      </w:r>
      <w:r>
        <w:rPr>
          <w:rFonts w:hint="eastAsia"/>
        </w:rPr>
        <w:t>多元</w:t>
      </w:r>
      <w:r>
        <w:t>娱乐项目涌现争夺体育消费者</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新时代</w:t>
      </w:r>
      <w:r>
        <w:rPr>
          <w:rFonts w:ascii="Times New Roman" w:hAnsi="Times New Roman" w:eastAsia="仿宋_GB2312"/>
          <w:sz w:val="32"/>
          <w:szCs w:val="32"/>
        </w:rPr>
        <w:t>网络与数字技术应用领域广泛，其中与体育活动相竞争的娱乐形式比比皆是。现代技术条件下，体育与许多娱乐项目有着高度的相似性，</w:t>
      </w:r>
      <w:r>
        <w:rPr>
          <w:rFonts w:hint="eastAsia" w:ascii="Times New Roman" w:hAnsi="Times New Roman" w:eastAsia="仿宋_GB2312"/>
          <w:sz w:val="32"/>
          <w:szCs w:val="32"/>
        </w:rPr>
        <w:t>在</w:t>
      </w:r>
      <w:r>
        <w:rPr>
          <w:rFonts w:ascii="Times New Roman" w:hAnsi="Times New Roman" w:eastAsia="仿宋_GB2312"/>
          <w:sz w:val="32"/>
          <w:szCs w:val="32"/>
        </w:rPr>
        <w:t>消费总时间</w:t>
      </w:r>
      <w:r>
        <w:rPr>
          <w:rFonts w:hint="eastAsia" w:ascii="Times New Roman" w:hAnsi="Times New Roman" w:eastAsia="仿宋_GB2312"/>
          <w:sz w:val="32"/>
          <w:szCs w:val="32"/>
        </w:rPr>
        <w:t>变化不大的条件下，</w:t>
      </w:r>
      <w:r>
        <w:rPr>
          <w:rFonts w:ascii="Times New Roman" w:hAnsi="Times New Roman" w:eastAsia="仿宋_GB2312"/>
          <w:sz w:val="32"/>
          <w:szCs w:val="32"/>
        </w:rPr>
        <w:t>各种电视和网络综艺节目、应用了最新技术的电影、数字音乐、网络游戏等，都会与体育活动争夺消费者</w:t>
      </w:r>
      <w:r>
        <w:rPr>
          <w:rFonts w:hint="eastAsia" w:ascii="Times New Roman" w:hAnsi="Times New Roman" w:eastAsia="仿宋_GB2312"/>
          <w:sz w:val="32"/>
          <w:szCs w:val="32"/>
        </w:rPr>
        <w:t>，</w:t>
      </w:r>
      <w:r>
        <w:rPr>
          <w:rFonts w:ascii="Times New Roman" w:hAnsi="Times New Roman" w:eastAsia="仿宋_GB2312"/>
          <w:sz w:val="32"/>
          <w:szCs w:val="32"/>
        </w:rPr>
        <w:t>竞争普遍而激烈</w:t>
      </w:r>
      <w:r>
        <w:rPr>
          <w:rFonts w:hint="eastAsia" w:ascii="Times New Roman" w:hAnsi="Times New Roman" w:eastAsia="仿宋_GB2312"/>
          <w:sz w:val="32"/>
          <w:szCs w:val="32"/>
        </w:rPr>
        <w:t>，</w:t>
      </w:r>
      <w:r>
        <w:rPr>
          <w:rFonts w:ascii="Times New Roman" w:hAnsi="Times New Roman" w:eastAsia="仿宋_GB2312"/>
          <w:sz w:val="32"/>
          <w:szCs w:val="32"/>
        </w:rPr>
        <w:t>因此</w:t>
      </w:r>
      <w:r>
        <w:rPr>
          <w:rFonts w:hint="eastAsia" w:ascii="Times New Roman" w:hAnsi="Times New Roman" w:eastAsia="仿宋_GB2312"/>
          <w:sz w:val="32"/>
          <w:szCs w:val="32"/>
        </w:rPr>
        <w:t>对于体育产业存在消费人口分流的潜在性风险</w:t>
      </w:r>
      <w:r>
        <w:rPr>
          <w:rFonts w:ascii="Times New Roman" w:hAnsi="Times New Roman" w:eastAsia="仿宋_GB2312"/>
          <w:sz w:val="32"/>
          <w:szCs w:val="32"/>
        </w:rPr>
        <w:t>。</w:t>
      </w:r>
    </w:p>
    <w:p>
      <w:pPr>
        <w:pStyle w:val="2"/>
        <w:spacing w:after="0" w:afterLines="0"/>
        <w:ind w:firstLine="643" w:firstLineChars="200"/>
        <w:rPr>
          <w:rFonts w:ascii="黑体" w:hAnsi="黑体"/>
          <w:szCs w:val="32"/>
        </w:rPr>
      </w:pPr>
      <w:bookmarkStart w:id="122" w:name="_Toc21605"/>
      <w:bookmarkStart w:id="123" w:name="_Toc3560"/>
      <w:bookmarkStart w:id="124" w:name="_Toc26200"/>
      <w:bookmarkStart w:id="125" w:name="_Toc5428"/>
      <w:r>
        <w:rPr>
          <w:rFonts w:hint="eastAsia" w:ascii="黑体" w:hAnsi="黑体"/>
          <w:szCs w:val="32"/>
        </w:rPr>
        <w:t>三、“十四五”时期体育发展的总体要求</w:t>
      </w:r>
      <w:bookmarkEnd w:id="122"/>
      <w:bookmarkEnd w:id="123"/>
      <w:bookmarkEnd w:id="124"/>
      <w:bookmarkEnd w:id="125"/>
    </w:p>
    <w:p>
      <w:pPr>
        <w:pStyle w:val="3"/>
        <w:bidi w:val="0"/>
        <w:rPr>
          <w:rFonts w:hint="eastAsia" w:ascii="Calibri" w:hAnsi="Calibri"/>
        </w:rPr>
      </w:pPr>
      <w:bookmarkStart w:id="126" w:name="_Toc18537"/>
      <w:bookmarkStart w:id="127" w:name="_Toc20396"/>
      <w:bookmarkStart w:id="128" w:name="_Toc3695"/>
      <w:bookmarkStart w:id="129" w:name="_Toc8030"/>
      <w:r>
        <w:rPr>
          <w:rFonts w:hint="eastAsia" w:ascii="Calibri" w:hAnsi="Calibri"/>
        </w:rPr>
        <w:t>（一）指导思想</w:t>
      </w:r>
      <w:bookmarkEnd w:id="126"/>
      <w:bookmarkEnd w:id="127"/>
      <w:bookmarkEnd w:id="128"/>
      <w:bookmarkEnd w:id="129"/>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以习近平新时代中国特色社会主义思想为指导，全面贯彻落实党的十九大和十九届二中、三中、四中、五中全会精神，统筹推进“五位一体”总体布局，协调推进“四个全面”战略布局，坚定落实“全民健身”、“健康中国”和“体育强国”国家战略，牢牢把握朝阳区在新时代首都现代化建设进程中的发展定位，以长远眼光谋划未来，以国际标准提升水平，以改革创新推动发展，以“人民的体育”为中心，以增强全区居民体质、满足群众对健身及娱乐爆发式增长的美好需求和体育产业供给侧结构性改革为根本出发点，充分发挥体育对提升居民健康水平、国际影响力和区域软实力的重要作用，为朝阳区高质量建设具有国际影响力和竞争力的和谐宜居国际化城区提供有力支撑和持续动力。</w:t>
      </w:r>
    </w:p>
    <w:p>
      <w:pPr>
        <w:pStyle w:val="3"/>
        <w:bidi w:val="0"/>
        <w:rPr>
          <w:rFonts w:hint="eastAsia" w:ascii="Calibri" w:hAnsi="Calibri"/>
        </w:rPr>
      </w:pPr>
      <w:bookmarkStart w:id="130" w:name="_Toc3257"/>
      <w:bookmarkStart w:id="131" w:name="_Toc17923"/>
      <w:bookmarkStart w:id="132" w:name="_Toc5693"/>
      <w:bookmarkStart w:id="133" w:name="_Toc16918"/>
      <w:r>
        <w:rPr>
          <w:rFonts w:hint="eastAsia" w:ascii="Calibri" w:hAnsi="Calibri"/>
        </w:rPr>
        <w:t>（二）发展原则</w:t>
      </w:r>
      <w:bookmarkEnd w:id="130"/>
      <w:bookmarkEnd w:id="131"/>
      <w:bookmarkEnd w:id="132"/>
      <w:bookmarkEnd w:id="133"/>
    </w:p>
    <w:p>
      <w:pPr>
        <w:spacing w:line="600" w:lineRule="exact"/>
        <w:ind w:firstLine="643" w:firstLineChars="200"/>
        <w:outlineLvl w:val="2"/>
        <w:rPr>
          <w:rFonts w:ascii="Times New Roman" w:hAnsi="Times New Roman" w:eastAsia="仿宋_GB2312" w:cs="仿宋_GB2312"/>
          <w:b/>
          <w:bCs/>
          <w:kern w:val="0"/>
          <w:sz w:val="32"/>
          <w:szCs w:val="32"/>
          <w:shd w:val="clear" w:color="auto" w:fill="FFFFFF"/>
          <w:lang w:bidi="ar"/>
        </w:rPr>
      </w:pPr>
      <w:bookmarkStart w:id="134" w:name="_Toc31040"/>
      <w:bookmarkStart w:id="135" w:name="_Toc12695"/>
      <w:bookmarkStart w:id="136" w:name="_Toc17324"/>
      <w:bookmarkStart w:id="137" w:name="_Toc25190"/>
      <w:r>
        <w:rPr>
          <w:rFonts w:hint="eastAsia" w:ascii="Times New Roman" w:hAnsi="Times New Roman" w:eastAsia="仿宋_GB2312" w:cs="仿宋_GB2312"/>
          <w:b/>
          <w:bCs/>
          <w:kern w:val="0"/>
          <w:sz w:val="32"/>
          <w:szCs w:val="32"/>
          <w:shd w:val="clear" w:color="auto" w:fill="FFFFFF"/>
          <w:lang w:bidi="ar"/>
        </w:rPr>
        <w:t>1.坚持“</w:t>
      </w:r>
      <w:r>
        <w:rPr>
          <w:rFonts w:ascii="Times New Roman" w:hAnsi="Times New Roman" w:eastAsia="仿宋_GB2312" w:cs="仿宋_GB2312"/>
          <w:b/>
          <w:bCs/>
          <w:kern w:val="0"/>
          <w:sz w:val="32"/>
          <w:szCs w:val="32"/>
          <w:shd w:val="clear" w:color="auto" w:fill="FFFFFF"/>
          <w:lang w:bidi="ar"/>
        </w:rPr>
        <w:t>以人为本</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与</w:t>
      </w:r>
      <w:r>
        <w:rPr>
          <w:rFonts w:hint="eastAsia" w:ascii="Times New Roman" w:hAnsi="Times New Roman" w:eastAsia="仿宋_GB2312" w:cs="仿宋_GB2312"/>
          <w:b/>
          <w:bCs/>
          <w:kern w:val="0"/>
          <w:sz w:val="32"/>
          <w:szCs w:val="32"/>
          <w:shd w:val="clear" w:color="auto" w:fill="FFFFFF"/>
          <w:lang w:bidi="ar"/>
        </w:rPr>
        <w:t>“以区为基”</w:t>
      </w:r>
      <w:r>
        <w:rPr>
          <w:rFonts w:ascii="Times New Roman" w:hAnsi="Times New Roman" w:eastAsia="仿宋_GB2312" w:cs="仿宋_GB2312"/>
          <w:b/>
          <w:bCs/>
          <w:kern w:val="0"/>
          <w:sz w:val="32"/>
          <w:szCs w:val="32"/>
          <w:shd w:val="clear" w:color="auto" w:fill="FFFFFF"/>
          <w:lang w:bidi="ar"/>
        </w:rPr>
        <w:t>相结合</w:t>
      </w:r>
      <w:bookmarkEnd w:id="134"/>
      <w:bookmarkEnd w:id="135"/>
      <w:bookmarkEnd w:id="136"/>
      <w:bookmarkEnd w:id="137"/>
    </w:p>
    <w:p>
      <w:pPr>
        <w:spacing w:line="600" w:lineRule="exact"/>
        <w:ind w:firstLine="640" w:firstLineChars="200"/>
        <w:rPr>
          <w:rFonts w:hint="eastAsia" w:ascii="Times New Roman" w:hAnsi="Times New Roman" w:eastAsia="仿宋_GB2312"/>
          <w:sz w:val="32"/>
          <w:szCs w:val="32"/>
        </w:rPr>
      </w:pPr>
      <w:r>
        <w:rPr>
          <w:rFonts w:ascii="Times New Roman" w:hAnsi="Times New Roman" w:eastAsia="仿宋_GB2312"/>
          <w:sz w:val="32"/>
          <w:szCs w:val="32"/>
        </w:rPr>
        <w:t>以更好地满足人民多样化、多层次、多</w:t>
      </w:r>
      <w:r>
        <w:rPr>
          <w:rFonts w:hint="eastAsia" w:ascii="Times New Roman" w:hAnsi="Times New Roman" w:eastAsia="仿宋_GB2312"/>
          <w:sz w:val="32"/>
          <w:szCs w:val="32"/>
        </w:rPr>
        <w:t>维度</w:t>
      </w:r>
      <w:r>
        <w:rPr>
          <w:rFonts w:ascii="Times New Roman" w:hAnsi="Times New Roman" w:eastAsia="仿宋_GB2312"/>
          <w:sz w:val="32"/>
          <w:szCs w:val="32"/>
        </w:rPr>
        <w:t>的</w:t>
      </w:r>
      <w:r>
        <w:rPr>
          <w:rFonts w:hint="eastAsia" w:ascii="Times New Roman" w:hAnsi="Times New Roman" w:eastAsia="仿宋_GB2312"/>
          <w:sz w:val="32"/>
          <w:szCs w:val="32"/>
        </w:rPr>
        <w:t>体育美好</w:t>
      </w:r>
      <w:r>
        <w:rPr>
          <w:rFonts w:ascii="Times New Roman" w:hAnsi="Times New Roman" w:eastAsia="仿宋_GB2312"/>
          <w:sz w:val="32"/>
          <w:szCs w:val="32"/>
        </w:rPr>
        <w:t>需求为立足点，</w:t>
      </w:r>
      <w:r>
        <w:rPr>
          <w:rFonts w:hint="eastAsia" w:ascii="Times New Roman" w:hAnsi="Times New Roman" w:eastAsia="仿宋_GB2312"/>
          <w:sz w:val="32"/>
          <w:szCs w:val="32"/>
        </w:rPr>
        <w:t>以朝阳区的社会经济发展水平、体育资源为基础，集全区多部门之力联动开展新时代体育工作</w:t>
      </w:r>
      <w:r>
        <w:rPr>
          <w:rFonts w:ascii="Times New Roman" w:hAnsi="Times New Roman" w:eastAsia="仿宋_GB2312"/>
          <w:sz w:val="32"/>
          <w:szCs w:val="32"/>
        </w:rPr>
        <w:t>。</w:t>
      </w:r>
    </w:p>
    <w:p>
      <w:pPr>
        <w:spacing w:line="600" w:lineRule="exact"/>
        <w:ind w:firstLine="643" w:firstLineChars="200"/>
        <w:outlineLvl w:val="2"/>
        <w:rPr>
          <w:rFonts w:hint="eastAsia" w:ascii="Times New Roman" w:hAnsi="Times New Roman" w:eastAsia="仿宋_GB2312" w:cs="仿宋_GB2312"/>
          <w:b/>
          <w:bCs/>
          <w:kern w:val="0"/>
          <w:sz w:val="32"/>
          <w:szCs w:val="32"/>
          <w:shd w:val="clear" w:color="auto" w:fill="FFFFFF"/>
          <w:lang w:bidi="ar"/>
        </w:rPr>
      </w:pPr>
      <w:bookmarkStart w:id="138" w:name="_Toc10038"/>
      <w:bookmarkStart w:id="139" w:name="_Toc7105"/>
      <w:bookmarkStart w:id="140" w:name="_Toc2743"/>
      <w:bookmarkStart w:id="141" w:name="_Toc2508"/>
      <w:r>
        <w:rPr>
          <w:rFonts w:hint="eastAsia" w:ascii="Times New Roman" w:hAnsi="Times New Roman" w:eastAsia="仿宋_GB2312" w:cs="仿宋_GB2312"/>
          <w:b/>
          <w:bCs/>
          <w:kern w:val="0"/>
          <w:sz w:val="32"/>
          <w:szCs w:val="32"/>
          <w:shd w:val="clear" w:color="auto" w:fill="FFFFFF"/>
          <w:lang w:bidi="ar"/>
        </w:rPr>
        <w:t>2.坚持“事业公益”和“产业价值”相融合</w:t>
      </w:r>
      <w:bookmarkEnd w:id="138"/>
      <w:bookmarkEnd w:id="139"/>
      <w:bookmarkEnd w:id="140"/>
      <w:bookmarkEnd w:id="141"/>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保证公益和公平基本属性的同时，进一步整合社会和市场力量，探索市场化渠道，将体育发展与经济转型升级有机结合，促进事业与产业融合，丰富事业发展内容，提升产业发展质量。</w:t>
      </w:r>
    </w:p>
    <w:p>
      <w:pPr>
        <w:spacing w:line="600" w:lineRule="exact"/>
        <w:ind w:firstLine="643" w:firstLineChars="200"/>
        <w:outlineLvl w:val="2"/>
        <w:rPr>
          <w:rFonts w:hint="eastAsia" w:ascii="Times New Roman" w:hAnsi="Times New Roman" w:eastAsia="仿宋_GB2312" w:cs="仿宋_GB2312"/>
          <w:b/>
          <w:bCs/>
          <w:kern w:val="0"/>
          <w:sz w:val="32"/>
          <w:szCs w:val="32"/>
          <w:shd w:val="clear" w:color="auto" w:fill="FFFFFF"/>
          <w:lang w:bidi="ar"/>
        </w:rPr>
      </w:pPr>
      <w:bookmarkStart w:id="142" w:name="_Toc29532"/>
      <w:bookmarkStart w:id="143" w:name="_Toc21136"/>
      <w:bookmarkStart w:id="144" w:name="_Toc10867"/>
      <w:bookmarkStart w:id="145" w:name="_Toc593"/>
      <w:r>
        <w:rPr>
          <w:rFonts w:hint="eastAsia" w:ascii="Times New Roman" w:hAnsi="Times New Roman" w:eastAsia="仿宋_GB2312" w:cs="仿宋_GB2312"/>
          <w:b/>
          <w:bCs/>
          <w:kern w:val="0"/>
          <w:sz w:val="32"/>
          <w:szCs w:val="32"/>
          <w:shd w:val="clear" w:color="auto" w:fill="FFFFFF"/>
          <w:lang w:bidi="ar"/>
        </w:rPr>
        <w:t>3.坚持“</w:t>
      </w:r>
      <w:r>
        <w:rPr>
          <w:rFonts w:ascii="Times New Roman" w:hAnsi="Times New Roman" w:eastAsia="仿宋_GB2312" w:cs="仿宋_GB2312"/>
          <w:b/>
          <w:bCs/>
          <w:kern w:val="0"/>
          <w:sz w:val="32"/>
          <w:szCs w:val="32"/>
          <w:shd w:val="clear" w:color="auto" w:fill="FFFFFF"/>
          <w:lang w:bidi="ar"/>
        </w:rPr>
        <w:t>整体推进</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与</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重点突破</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相</w:t>
      </w:r>
      <w:r>
        <w:rPr>
          <w:rFonts w:hint="eastAsia" w:ascii="Times New Roman" w:hAnsi="Times New Roman" w:eastAsia="仿宋_GB2312" w:cs="仿宋_GB2312"/>
          <w:b/>
          <w:bCs/>
          <w:kern w:val="0"/>
          <w:sz w:val="32"/>
          <w:szCs w:val="32"/>
          <w:shd w:val="clear" w:color="auto" w:fill="FFFFFF"/>
          <w:lang w:bidi="ar"/>
        </w:rPr>
        <w:t>促进</w:t>
      </w:r>
      <w:bookmarkEnd w:id="142"/>
      <w:bookmarkEnd w:id="143"/>
      <w:bookmarkEnd w:id="144"/>
      <w:bookmarkEnd w:id="145"/>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既要将</w:t>
      </w:r>
      <w:r>
        <w:rPr>
          <w:rFonts w:hint="eastAsia" w:ascii="Times New Roman" w:hAnsi="Times New Roman" w:eastAsia="仿宋_GB2312"/>
          <w:sz w:val="32"/>
          <w:szCs w:val="32"/>
        </w:rPr>
        <w:t>群众体育、竞技体育、体育产业等各项细分</w:t>
      </w:r>
      <w:r>
        <w:rPr>
          <w:rFonts w:ascii="Times New Roman" w:hAnsi="Times New Roman" w:eastAsia="仿宋_GB2312"/>
          <w:sz w:val="32"/>
          <w:szCs w:val="32"/>
        </w:rPr>
        <w:t>工作进行统筹谋划</w:t>
      </w:r>
      <w:r>
        <w:rPr>
          <w:rFonts w:hint="eastAsia" w:ascii="Times New Roman" w:hAnsi="Times New Roman" w:eastAsia="仿宋_GB2312"/>
          <w:sz w:val="32"/>
          <w:szCs w:val="32"/>
        </w:rPr>
        <w:t>推进</w:t>
      </w:r>
      <w:r>
        <w:rPr>
          <w:rFonts w:ascii="Times New Roman" w:hAnsi="Times New Roman" w:eastAsia="仿宋_GB2312"/>
          <w:sz w:val="32"/>
          <w:szCs w:val="32"/>
        </w:rPr>
        <w:t>，又要</w:t>
      </w:r>
      <w:r>
        <w:rPr>
          <w:rFonts w:hint="eastAsia" w:ascii="Times New Roman" w:hAnsi="Times New Roman" w:eastAsia="仿宋_GB2312"/>
          <w:sz w:val="32"/>
          <w:szCs w:val="32"/>
        </w:rPr>
        <w:t>在各细分工作中</w:t>
      </w:r>
      <w:r>
        <w:rPr>
          <w:rFonts w:ascii="Times New Roman" w:hAnsi="Times New Roman" w:eastAsia="仿宋_GB2312"/>
          <w:sz w:val="32"/>
          <w:szCs w:val="32"/>
        </w:rPr>
        <w:t>突出重点、狠抓亮点，力争在重点领域和关键环节上取得新突破、新成效。</w:t>
      </w:r>
    </w:p>
    <w:p>
      <w:pPr>
        <w:spacing w:line="600" w:lineRule="exact"/>
        <w:ind w:firstLine="643" w:firstLineChars="200"/>
        <w:outlineLvl w:val="2"/>
        <w:rPr>
          <w:rFonts w:hint="eastAsia" w:ascii="Times New Roman" w:hAnsi="Times New Roman" w:eastAsia="仿宋_GB2312" w:cs="仿宋_GB2312"/>
          <w:b/>
          <w:bCs/>
          <w:kern w:val="0"/>
          <w:sz w:val="32"/>
          <w:szCs w:val="32"/>
          <w:shd w:val="clear" w:color="auto" w:fill="FFFFFF"/>
          <w:lang w:bidi="ar"/>
        </w:rPr>
      </w:pPr>
      <w:bookmarkStart w:id="146" w:name="_Toc28969"/>
      <w:bookmarkStart w:id="147" w:name="_Toc15312"/>
      <w:bookmarkStart w:id="148" w:name="_Toc21385"/>
      <w:bookmarkStart w:id="149" w:name="_Toc19982"/>
      <w:r>
        <w:rPr>
          <w:rFonts w:hint="eastAsia" w:ascii="Times New Roman" w:hAnsi="Times New Roman" w:eastAsia="仿宋_GB2312" w:cs="仿宋_GB2312"/>
          <w:b/>
          <w:bCs/>
          <w:kern w:val="0"/>
          <w:sz w:val="32"/>
          <w:szCs w:val="32"/>
          <w:shd w:val="clear" w:color="auto" w:fill="FFFFFF"/>
          <w:lang w:bidi="ar"/>
        </w:rPr>
        <w:t>4.坚持“</w:t>
      </w:r>
      <w:r>
        <w:rPr>
          <w:rFonts w:ascii="Times New Roman" w:hAnsi="Times New Roman" w:eastAsia="仿宋_GB2312" w:cs="仿宋_GB2312"/>
          <w:b/>
          <w:bCs/>
          <w:kern w:val="0"/>
          <w:sz w:val="32"/>
          <w:szCs w:val="32"/>
          <w:shd w:val="clear" w:color="auto" w:fill="FFFFFF"/>
          <w:lang w:bidi="ar"/>
        </w:rPr>
        <w:t>优化存量</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与</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开发增量</w:t>
      </w:r>
      <w:r>
        <w:rPr>
          <w:rFonts w:hint="eastAsia" w:ascii="Times New Roman" w:hAnsi="Times New Roman" w:eastAsia="仿宋_GB2312" w:cs="仿宋_GB2312"/>
          <w:b/>
          <w:bCs/>
          <w:kern w:val="0"/>
          <w:sz w:val="32"/>
          <w:szCs w:val="32"/>
          <w:shd w:val="clear" w:color="auto" w:fill="FFFFFF"/>
          <w:lang w:bidi="ar"/>
        </w:rPr>
        <w:t>”</w:t>
      </w:r>
      <w:r>
        <w:rPr>
          <w:rFonts w:ascii="Times New Roman" w:hAnsi="Times New Roman" w:eastAsia="仿宋_GB2312" w:cs="仿宋_GB2312"/>
          <w:b/>
          <w:bCs/>
          <w:kern w:val="0"/>
          <w:sz w:val="32"/>
          <w:szCs w:val="32"/>
          <w:shd w:val="clear" w:color="auto" w:fill="FFFFFF"/>
          <w:lang w:bidi="ar"/>
        </w:rPr>
        <w:t>相</w:t>
      </w:r>
      <w:r>
        <w:rPr>
          <w:rFonts w:hint="eastAsia" w:ascii="Times New Roman" w:hAnsi="Times New Roman" w:eastAsia="仿宋_GB2312" w:cs="仿宋_GB2312"/>
          <w:b/>
          <w:bCs/>
          <w:kern w:val="0"/>
          <w:sz w:val="32"/>
          <w:szCs w:val="32"/>
          <w:shd w:val="clear" w:color="auto" w:fill="FFFFFF"/>
          <w:lang w:bidi="ar"/>
        </w:rPr>
        <w:t>协调</w:t>
      </w:r>
      <w:bookmarkEnd w:id="146"/>
      <w:bookmarkEnd w:id="147"/>
      <w:bookmarkEnd w:id="148"/>
      <w:bookmarkEnd w:id="149"/>
    </w:p>
    <w:p>
      <w:pPr>
        <w:spacing w:line="60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既优化</w:t>
      </w:r>
      <w:r>
        <w:rPr>
          <w:rFonts w:hint="eastAsia" w:ascii="Times New Roman" w:hAnsi="Times New Roman" w:eastAsia="仿宋_GB2312"/>
          <w:sz w:val="32"/>
          <w:szCs w:val="32"/>
        </w:rPr>
        <w:t>体育</w:t>
      </w:r>
      <w:r>
        <w:rPr>
          <w:rFonts w:ascii="Times New Roman" w:hAnsi="Times New Roman" w:eastAsia="仿宋_GB2312"/>
          <w:sz w:val="32"/>
          <w:szCs w:val="32"/>
        </w:rPr>
        <w:t>资源存量，注重</w:t>
      </w:r>
      <w:r>
        <w:rPr>
          <w:rFonts w:hint="eastAsia" w:ascii="Times New Roman" w:hAnsi="Times New Roman" w:eastAsia="仿宋_GB2312"/>
          <w:sz w:val="32"/>
          <w:szCs w:val="32"/>
        </w:rPr>
        <w:t>高质量</w:t>
      </w:r>
      <w:r>
        <w:rPr>
          <w:rFonts w:ascii="Times New Roman" w:hAnsi="Times New Roman" w:eastAsia="仿宋_GB2312"/>
          <w:sz w:val="32"/>
          <w:szCs w:val="32"/>
        </w:rPr>
        <w:t>发展，又顺应新趋势新要求，</w:t>
      </w:r>
      <w:r>
        <w:rPr>
          <w:rFonts w:hint="eastAsia" w:ascii="Times New Roman" w:hAnsi="Times New Roman" w:eastAsia="仿宋_GB2312"/>
          <w:sz w:val="32"/>
          <w:szCs w:val="32"/>
        </w:rPr>
        <w:t>利用非首都功能疏解和“金角银边”区域，</w:t>
      </w:r>
      <w:r>
        <w:rPr>
          <w:rFonts w:ascii="Times New Roman" w:hAnsi="Times New Roman" w:eastAsia="仿宋_GB2312"/>
          <w:sz w:val="32"/>
          <w:szCs w:val="32"/>
        </w:rPr>
        <w:t>建设新设施、开发新功能、采用新技术、增加新内容、培育新主体。</w:t>
      </w:r>
    </w:p>
    <w:p>
      <w:pPr>
        <w:spacing w:line="600" w:lineRule="exact"/>
        <w:ind w:firstLine="643" w:firstLineChars="200"/>
        <w:outlineLvl w:val="2"/>
        <w:rPr>
          <w:rFonts w:ascii="Times New Roman" w:hAnsi="Times New Roman" w:eastAsia="仿宋_GB2312" w:cs="仿宋_GB2312"/>
          <w:b/>
          <w:bCs/>
          <w:kern w:val="0"/>
          <w:sz w:val="32"/>
          <w:szCs w:val="32"/>
          <w:shd w:val="clear" w:color="auto" w:fill="FFFFFF"/>
          <w:lang w:bidi="ar"/>
        </w:rPr>
      </w:pPr>
      <w:bookmarkStart w:id="150" w:name="_Toc1687"/>
      <w:bookmarkStart w:id="151" w:name="_Toc1107"/>
      <w:bookmarkStart w:id="152" w:name="_Toc32767"/>
      <w:bookmarkStart w:id="153" w:name="_Toc30909"/>
      <w:r>
        <w:rPr>
          <w:rFonts w:hint="eastAsia" w:ascii="Times New Roman" w:hAnsi="Times New Roman" w:eastAsia="仿宋_GB2312" w:cs="仿宋_GB2312"/>
          <w:b/>
          <w:bCs/>
          <w:kern w:val="0"/>
          <w:sz w:val="32"/>
          <w:szCs w:val="32"/>
          <w:shd w:val="clear" w:color="auto" w:fill="FFFFFF"/>
          <w:lang w:bidi="ar"/>
        </w:rPr>
        <w:t>5.坚持“</w:t>
      </w:r>
      <w:r>
        <w:rPr>
          <w:rFonts w:ascii="Times New Roman" w:hAnsi="Times New Roman" w:eastAsia="仿宋_GB2312" w:cs="仿宋_GB2312"/>
          <w:b/>
          <w:bCs/>
          <w:kern w:val="0"/>
          <w:sz w:val="32"/>
          <w:szCs w:val="32"/>
          <w:shd w:val="clear" w:color="auto" w:fill="FFFFFF"/>
          <w:lang w:bidi="ar"/>
        </w:rPr>
        <w:t>政府</w:t>
      </w:r>
      <w:r>
        <w:rPr>
          <w:rFonts w:hint="eastAsia" w:ascii="Times New Roman" w:hAnsi="Times New Roman" w:eastAsia="仿宋_GB2312" w:cs="仿宋_GB2312"/>
          <w:b/>
          <w:bCs/>
          <w:kern w:val="0"/>
          <w:sz w:val="32"/>
          <w:szCs w:val="32"/>
          <w:shd w:val="clear" w:color="auto" w:fill="FFFFFF"/>
          <w:lang w:bidi="ar"/>
        </w:rPr>
        <w:t>监管”</w:t>
      </w:r>
      <w:r>
        <w:rPr>
          <w:rFonts w:ascii="Times New Roman" w:hAnsi="Times New Roman" w:eastAsia="仿宋_GB2312" w:cs="仿宋_GB2312"/>
          <w:b/>
          <w:bCs/>
          <w:kern w:val="0"/>
          <w:sz w:val="32"/>
          <w:szCs w:val="32"/>
          <w:shd w:val="clear" w:color="auto" w:fill="FFFFFF"/>
          <w:lang w:bidi="ar"/>
        </w:rPr>
        <w:t>与</w:t>
      </w:r>
      <w:r>
        <w:rPr>
          <w:rFonts w:hint="eastAsia" w:ascii="Times New Roman" w:hAnsi="Times New Roman" w:eastAsia="仿宋_GB2312" w:cs="仿宋_GB2312"/>
          <w:b/>
          <w:bCs/>
          <w:kern w:val="0"/>
          <w:sz w:val="32"/>
          <w:szCs w:val="32"/>
          <w:shd w:val="clear" w:color="auto" w:fill="FFFFFF"/>
          <w:lang w:bidi="ar"/>
        </w:rPr>
        <w:t>“行业自律”</w:t>
      </w:r>
      <w:r>
        <w:rPr>
          <w:rFonts w:ascii="Times New Roman" w:hAnsi="Times New Roman" w:eastAsia="仿宋_GB2312" w:cs="仿宋_GB2312"/>
          <w:b/>
          <w:bCs/>
          <w:kern w:val="0"/>
          <w:sz w:val="32"/>
          <w:szCs w:val="32"/>
          <w:shd w:val="clear" w:color="auto" w:fill="FFFFFF"/>
          <w:lang w:bidi="ar"/>
        </w:rPr>
        <w:t>相</w:t>
      </w:r>
      <w:r>
        <w:rPr>
          <w:rFonts w:hint="eastAsia" w:ascii="Times New Roman" w:hAnsi="Times New Roman" w:eastAsia="仿宋_GB2312" w:cs="仿宋_GB2312"/>
          <w:b/>
          <w:bCs/>
          <w:kern w:val="0"/>
          <w:sz w:val="32"/>
          <w:szCs w:val="32"/>
          <w:shd w:val="clear" w:color="auto" w:fill="FFFFFF"/>
          <w:lang w:bidi="ar"/>
        </w:rPr>
        <w:t>同步</w:t>
      </w:r>
      <w:bookmarkEnd w:id="150"/>
      <w:bookmarkEnd w:id="151"/>
      <w:bookmarkEnd w:id="152"/>
      <w:bookmarkEnd w:id="153"/>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根据各项体育细分工作的性质，有效发挥政府在过程中的引导、号召、组织、推动、落地、监督和评价等职能作用，同时通过加强行业自律建设促进各细分领域健康发展。</w:t>
      </w:r>
    </w:p>
    <w:p>
      <w:pPr>
        <w:pStyle w:val="3"/>
        <w:bidi w:val="0"/>
        <w:rPr>
          <w:rFonts w:hint="eastAsia" w:ascii="Calibri" w:hAnsi="Calibri"/>
        </w:rPr>
      </w:pPr>
      <w:bookmarkStart w:id="154" w:name="_Toc5604"/>
      <w:bookmarkStart w:id="155" w:name="_Toc12524"/>
      <w:bookmarkStart w:id="156" w:name="_Toc8949"/>
      <w:bookmarkStart w:id="157" w:name="_Toc11454"/>
      <w:r>
        <w:rPr>
          <w:rFonts w:hint="eastAsia" w:ascii="Calibri" w:hAnsi="Calibri"/>
        </w:rPr>
        <w:t>（三）发展路径</w:t>
      </w:r>
      <w:bookmarkEnd w:id="154"/>
      <w:bookmarkEnd w:id="155"/>
      <w:bookmarkEnd w:id="156"/>
      <w:bookmarkEnd w:id="157"/>
    </w:p>
    <w:p>
      <w:pPr>
        <w:spacing w:line="600" w:lineRule="exact"/>
        <w:ind w:firstLine="643" w:firstLineChars="200"/>
        <w:outlineLvl w:val="2"/>
        <w:rPr>
          <w:rFonts w:hint="eastAsia" w:ascii="Times New Roman" w:hAnsi="Times New Roman" w:eastAsia="仿宋_GB2312" w:cs="仿宋_GB2312"/>
          <w:b/>
          <w:bCs/>
          <w:kern w:val="0"/>
          <w:sz w:val="32"/>
          <w:szCs w:val="32"/>
          <w:shd w:val="clear" w:color="auto" w:fill="FFFFFF"/>
          <w:lang w:bidi="ar"/>
        </w:rPr>
      </w:pPr>
      <w:bookmarkStart w:id="158" w:name="_Toc24642"/>
      <w:bookmarkStart w:id="159" w:name="_Toc143"/>
      <w:bookmarkStart w:id="160" w:name="_Toc1228"/>
      <w:bookmarkStart w:id="161" w:name="_Toc15672"/>
      <w:r>
        <w:rPr>
          <w:rFonts w:hint="eastAsia" w:ascii="Times New Roman" w:hAnsi="Times New Roman" w:eastAsia="仿宋_GB2312" w:cs="仿宋_GB2312"/>
          <w:b/>
          <w:bCs/>
          <w:kern w:val="0"/>
          <w:sz w:val="32"/>
          <w:szCs w:val="32"/>
          <w:shd w:val="clear" w:color="auto" w:fill="FFFFFF"/>
          <w:lang w:bidi="ar"/>
        </w:rPr>
        <w:t>1.一个目标，明确方向</w:t>
      </w:r>
      <w:bookmarkEnd w:id="158"/>
      <w:bookmarkEnd w:id="159"/>
      <w:bookmarkEnd w:id="160"/>
      <w:bookmarkEnd w:id="16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“十四五”时期以将朝阳区建设成落实中央精神（健康中国、体育强国、高质量发展）和国家政策的“落地先行示范区”为目标，远期以打造“具有较高国际影响力的体育强区”为方向。</w:t>
      </w:r>
    </w:p>
    <w:p>
      <w:pPr>
        <w:spacing w:line="600" w:lineRule="exact"/>
        <w:ind w:firstLine="643" w:firstLineChars="200"/>
        <w:outlineLvl w:val="2"/>
        <w:rPr>
          <w:rFonts w:hint="eastAsia" w:ascii="Times New Roman" w:hAnsi="Times New Roman" w:eastAsia="仿宋_GB2312" w:cs="仿宋_GB2312"/>
          <w:b/>
          <w:bCs/>
          <w:kern w:val="0"/>
          <w:sz w:val="32"/>
          <w:szCs w:val="32"/>
          <w:shd w:val="clear" w:color="auto" w:fill="FFFFFF"/>
          <w:lang w:bidi="ar"/>
        </w:rPr>
      </w:pPr>
      <w:bookmarkStart w:id="162" w:name="_Toc17204"/>
      <w:bookmarkStart w:id="163" w:name="_Toc1652"/>
      <w:bookmarkStart w:id="164" w:name="_Toc6189"/>
      <w:bookmarkStart w:id="165" w:name="_Toc15255"/>
      <w:r>
        <w:rPr>
          <w:rFonts w:hint="eastAsia" w:ascii="Times New Roman" w:hAnsi="Times New Roman" w:eastAsia="仿宋_GB2312" w:cs="仿宋_GB2312"/>
          <w:b/>
          <w:bCs/>
          <w:kern w:val="0"/>
          <w:sz w:val="32"/>
          <w:szCs w:val="32"/>
          <w:shd w:val="clear" w:color="auto" w:fill="FFFFFF"/>
          <w:lang w:bidi="ar"/>
        </w:rPr>
        <w:t>2.二大融合，配置资源</w:t>
      </w:r>
      <w:bookmarkEnd w:id="162"/>
      <w:bookmarkEnd w:id="163"/>
      <w:bookmarkEnd w:id="164"/>
      <w:bookmarkEnd w:id="16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从体育内部深入推进体育事业和体育产业的融合，广泛吸引社会力量参与，从体育外部积极寻求体育与文化、教育、科技、大健康和旅游等关联要素的融合，进一步释放高质量的社会和经济效益。</w:t>
      </w:r>
    </w:p>
    <w:p>
      <w:pPr>
        <w:spacing w:line="600" w:lineRule="exact"/>
        <w:ind w:firstLine="643" w:firstLineChars="200"/>
        <w:outlineLvl w:val="2"/>
        <w:rPr>
          <w:rFonts w:ascii="Times New Roman" w:hAnsi="Times New Roman" w:eastAsia="仿宋_GB2312" w:cs="仿宋_GB2312"/>
          <w:b/>
          <w:bCs/>
          <w:kern w:val="0"/>
          <w:sz w:val="32"/>
          <w:szCs w:val="32"/>
          <w:shd w:val="clear" w:color="auto" w:fill="FFFFFF"/>
          <w:lang w:bidi="ar"/>
        </w:rPr>
      </w:pPr>
      <w:bookmarkStart w:id="166" w:name="_Toc13383"/>
      <w:bookmarkStart w:id="167" w:name="_Toc2587"/>
      <w:bookmarkStart w:id="168" w:name="_Toc20466"/>
      <w:bookmarkStart w:id="169" w:name="_Toc30186"/>
      <w:r>
        <w:rPr>
          <w:rFonts w:hint="eastAsia" w:ascii="Times New Roman" w:hAnsi="Times New Roman" w:eastAsia="仿宋_GB2312" w:cs="仿宋_GB2312"/>
          <w:b/>
          <w:bCs/>
          <w:kern w:val="0"/>
          <w:sz w:val="32"/>
          <w:szCs w:val="32"/>
          <w:shd w:val="clear" w:color="auto" w:fill="FFFFFF"/>
          <w:lang w:bidi="ar"/>
        </w:rPr>
        <w:t>3.三张名片，形成特色</w:t>
      </w:r>
      <w:bookmarkEnd w:id="166"/>
      <w:bookmarkEnd w:id="167"/>
      <w:bookmarkEnd w:id="168"/>
      <w:bookmarkEnd w:id="169"/>
    </w:p>
    <w:p>
      <w:pPr>
        <w:spacing w:line="600" w:lineRule="exact"/>
        <w:ind w:firstLine="420" w:firstLineChars="200"/>
        <w:rPr>
          <w:rFonts w:hint="eastAsia" w:ascii="Times New Roman" w:hAnsi="Times New Roman" w:eastAsia="仿宋_GB2312"/>
          <w:sz w:val="32"/>
          <w:szCs w:val="32"/>
        </w:rPr>
      </w:pPr>
      <w:r>
        <w:rPr>
          <w:rStyle w:val="55"/>
          <w:rFonts w:hint="eastAsia"/>
        </w:rPr>
        <w:t xml:space="preserve"> ——“国际双奥典范城区”。</w:t>
      </w:r>
      <w:r>
        <w:rPr>
          <w:rFonts w:hint="eastAsia" w:ascii="Times New Roman" w:hAnsi="Times New Roman" w:eastAsia="仿宋_GB2312"/>
          <w:sz w:val="32"/>
          <w:szCs w:val="32"/>
        </w:rPr>
        <w:t>北京是世界首个双奥之城，朝阳区作为北京两届奥运会、残奥会开闭幕式和多项赛事承载地，将借助奥林匹克的平台，向全世界展示朝阳区特有的魅力，同时持续运营后奥运资源，引领朝阳区国际化新征程。</w:t>
      </w:r>
    </w:p>
    <w:p>
      <w:pPr>
        <w:spacing w:line="600" w:lineRule="exact"/>
        <w:ind w:firstLine="420" w:firstLineChars="200"/>
        <w:rPr>
          <w:rFonts w:ascii="Times New Roman" w:hAnsi="Times New Roman" w:eastAsia="仿宋_GB2312"/>
          <w:sz w:val="32"/>
          <w:szCs w:val="32"/>
        </w:rPr>
      </w:pPr>
      <w:r>
        <w:rPr>
          <w:rStyle w:val="55"/>
          <w:rFonts w:hint="eastAsia"/>
        </w:rPr>
        <w:t xml:space="preserve"> ——“网球特色区”。</w:t>
      </w:r>
      <w:r>
        <w:rPr>
          <w:rFonts w:hint="eastAsia" w:ascii="Times New Roman" w:hAnsi="Times New Roman" w:eastAsia="仿宋_GB2312"/>
          <w:sz w:val="32"/>
          <w:szCs w:val="32"/>
        </w:rPr>
        <w:t>以网球为切入点，建立具有示范效应的项目发展模式，发挥“中网”龙头作用，建设网球场地设施、培养网球文化、普及青少年网球，举办青少年网球赛事活动，开发网球产业，成为全国网球运动集聚地。</w:t>
      </w:r>
    </w:p>
    <w:p>
      <w:pPr>
        <w:spacing w:line="600" w:lineRule="exact"/>
        <w:ind w:firstLine="420" w:firstLineChars="200"/>
        <w:rPr>
          <w:rFonts w:ascii="Times New Roman" w:hAnsi="Times New Roman" w:eastAsia="仿宋_GB2312"/>
          <w:sz w:val="32"/>
          <w:szCs w:val="32"/>
        </w:rPr>
      </w:pPr>
      <w:r>
        <w:rPr>
          <w:rStyle w:val="55"/>
          <w:rFonts w:hint="eastAsia"/>
        </w:rPr>
        <w:t xml:space="preserve"> ——“全民健身数字化示范区”。</w:t>
      </w:r>
      <w:r>
        <w:rPr>
          <w:rFonts w:hint="eastAsia" w:ascii="Times New Roman" w:hAnsi="Times New Roman" w:eastAsia="仿宋_GB2312"/>
          <w:sz w:val="32"/>
          <w:szCs w:val="32"/>
        </w:rPr>
        <w:t>以全民健身公共服务体系和“一刻钟健身圈”为基础，以群众需求和满意为落脚点，以社区体育、学校体育、公园体育为三大支点，以网格化、智能化、数据化为手段，促体育人口量质齐升，助健康朝阳建设。</w:t>
      </w:r>
    </w:p>
    <w:p>
      <w:pPr>
        <w:spacing w:line="600" w:lineRule="exact"/>
        <w:ind w:firstLine="643" w:firstLineChars="200"/>
        <w:outlineLvl w:val="2"/>
        <w:rPr>
          <w:rFonts w:ascii="Times New Roman" w:hAnsi="Times New Roman" w:eastAsia="仿宋_GB2312" w:cs="仿宋_GB2312"/>
          <w:b/>
          <w:bCs/>
          <w:kern w:val="0"/>
          <w:sz w:val="32"/>
          <w:szCs w:val="32"/>
          <w:shd w:val="clear" w:color="auto" w:fill="FFFFFF"/>
          <w:lang w:bidi="ar"/>
        </w:rPr>
      </w:pPr>
      <w:bookmarkStart w:id="170" w:name="_Toc3479"/>
      <w:bookmarkStart w:id="171" w:name="_Toc3432"/>
      <w:bookmarkStart w:id="172" w:name="_Toc21107"/>
      <w:bookmarkStart w:id="173" w:name="_Toc16069"/>
      <w:r>
        <w:rPr>
          <w:rFonts w:hint="eastAsia" w:ascii="Times New Roman" w:hAnsi="Times New Roman" w:eastAsia="仿宋_GB2312" w:cs="仿宋_GB2312"/>
          <w:b/>
          <w:bCs/>
          <w:kern w:val="0"/>
          <w:sz w:val="32"/>
          <w:szCs w:val="32"/>
          <w:shd w:val="clear" w:color="auto" w:fill="FFFFFF"/>
          <w:lang w:bidi="ar"/>
        </w:rPr>
        <w:t>4.四层动力，保障发展</w:t>
      </w:r>
      <w:bookmarkEnd w:id="170"/>
      <w:bookmarkEnd w:id="171"/>
      <w:bookmarkEnd w:id="172"/>
      <w:bookmarkEnd w:id="173"/>
    </w:p>
    <w:p>
      <w:pPr>
        <w:spacing w:line="600" w:lineRule="exact"/>
        <w:ind w:firstLine="420" w:firstLineChars="200"/>
        <w:rPr>
          <w:rFonts w:hint="eastAsia" w:ascii="Times New Roman" w:hAnsi="Times New Roman" w:eastAsia="仿宋_GB2312"/>
          <w:sz w:val="32"/>
          <w:szCs w:val="32"/>
        </w:rPr>
      </w:pPr>
      <w:r>
        <w:rPr>
          <w:rStyle w:val="55"/>
          <w:rFonts w:hint="eastAsia"/>
        </w:rPr>
        <w:t>——改革推动。</w:t>
      </w:r>
      <w:r>
        <w:rPr>
          <w:rFonts w:hint="eastAsia" w:ascii="Times New Roman" w:hAnsi="Times New Roman" w:eastAsia="仿宋_GB2312"/>
          <w:sz w:val="32"/>
          <w:szCs w:val="32"/>
        </w:rPr>
        <w:t>进一步简政放权，从行政手段配置资源为主向市场配置资源为主、行政手段为辅的工作机制转变，从传统的管理模式向现代新型的治理模式转变。探索适合朝阳区的基层体育管理服务机制，推动基层体育协会组织社会化改革，加大布局群众身边的体育资源。</w:t>
      </w:r>
    </w:p>
    <w:p>
      <w:pPr>
        <w:spacing w:line="600" w:lineRule="exact"/>
        <w:ind w:firstLine="420" w:firstLineChars="200"/>
        <w:rPr>
          <w:rFonts w:ascii="Times New Roman" w:hAnsi="Times New Roman" w:eastAsia="仿宋_GB2312"/>
          <w:sz w:val="32"/>
          <w:szCs w:val="32"/>
        </w:rPr>
      </w:pPr>
      <w:r>
        <w:rPr>
          <w:rStyle w:val="55"/>
          <w:rFonts w:hint="eastAsia"/>
        </w:rPr>
        <w:t>——协同联动。</w:t>
      </w:r>
      <w:r>
        <w:rPr>
          <w:rFonts w:hint="eastAsia" w:ascii="Times New Roman" w:hAnsi="Times New Roman" w:eastAsia="仿宋_GB2312"/>
          <w:sz w:val="32"/>
          <w:szCs w:val="32"/>
        </w:rPr>
        <w:t>立足朝阳区区域功能定位与特色体育资源优势，彰显体育在推动健康朝阳、经济结构转型升级与京津冀协同发展中的带动与促进作用。以2022年冬奥会、冬残奥会为重点，联合区域相关部门和京津冀相关部门共同完成冬奥保障任务。</w:t>
      </w:r>
    </w:p>
    <w:p>
      <w:pPr>
        <w:ind w:firstLine="640" w:firstLineChars="200"/>
        <w:rPr>
          <w:rFonts w:hint="eastAsia" w:ascii="Times New Roman" w:hAnsi="Times New Roman" w:eastAsia="仿宋_GB2312" w:cs="华文仿宋"/>
          <w:kern w:val="0"/>
          <w:sz w:val="32"/>
          <w:szCs w:val="32"/>
        </w:rPr>
      </w:pPr>
      <w:r>
        <w:rPr>
          <w:rFonts w:hint="eastAsia" w:ascii="Times New Roman" w:hAnsi="Times New Roman" w:eastAsia="仿宋_GB2312" w:cs="华文仿宋"/>
          <w:kern w:val="0"/>
          <w:sz w:val="32"/>
          <w:szCs w:val="32"/>
        </w:rPr>
        <w:t>——</w:t>
      </w:r>
      <w:r>
        <w:rPr>
          <w:rFonts w:hint="eastAsia" w:ascii="Times New Roman" w:hAnsi="仿宋" w:eastAsia="仿宋_GB2312" w:cs="华文仿宋"/>
          <w:b/>
          <w:bCs/>
          <w:kern w:val="0"/>
          <w:sz w:val="32"/>
          <w:szCs w:val="32"/>
        </w:rPr>
        <w:t>赛事发动。</w:t>
      </w:r>
      <w:r>
        <w:rPr>
          <w:rFonts w:hint="eastAsia" w:ascii="Times New Roman" w:hAnsi="仿宋" w:eastAsia="仿宋_GB2312" w:cs="华文仿宋"/>
          <w:kern w:val="0"/>
          <w:sz w:val="32"/>
          <w:szCs w:val="32"/>
        </w:rPr>
        <w:t>通过举办国际和国内高水平赛事，加速朝阳区体育场馆设施软硬件升级、扩大区域国际影响力和吸引国内外游客，增加旅游及相关收入；举办老百姓喜闻乐见的大众赛事活动，引导和激发市民参与体育的热情，挖掘消费潜力，夯实体育事业和产业的发展基础。</w:t>
      </w:r>
    </w:p>
    <w:p>
      <w:pPr>
        <w:ind w:firstLine="640" w:firstLineChars="200"/>
        <w:rPr>
          <w:rFonts w:ascii="Times New Roman" w:hAnsi="Times New Roman" w:eastAsia="仿宋_GB2312" w:cs="华文仿宋"/>
          <w:kern w:val="0"/>
          <w:sz w:val="32"/>
          <w:szCs w:val="32"/>
        </w:rPr>
      </w:pPr>
      <w:r>
        <w:rPr>
          <w:rFonts w:hint="eastAsia" w:ascii="Times New Roman" w:hAnsi="Times New Roman" w:eastAsia="仿宋_GB2312" w:cs="华文仿宋"/>
          <w:kern w:val="0"/>
          <w:sz w:val="32"/>
          <w:szCs w:val="32"/>
        </w:rPr>
        <w:t>——</w:t>
      </w:r>
      <w:r>
        <w:rPr>
          <w:rFonts w:hint="eastAsia" w:ascii="Times New Roman" w:hAnsi="仿宋" w:eastAsia="仿宋_GB2312" w:cs="华文仿宋"/>
          <w:b/>
          <w:bCs/>
          <w:kern w:val="0"/>
          <w:sz w:val="32"/>
          <w:szCs w:val="32"/>
        </w:rPr>
        <w:t>产业带动。</w:t>
      </w:r>
      <w:r>
        <w:rPr>
          <w:rFonts w:hint="eastAsia" w:ascii="Times New Roman" w:hAnsi="仿宋" w:eastAsia="仿宋_GB2312" w:cs="华文仿宋"/>
          <w:kern w:val="0"/>
          <w:sz w:val="32"/>
          <w:szCs w:val="32"/>
        </w:rPr>
        <w:t>发挥市场主体作用，调动体育企业能动性，扶持体育企业做大做强，以适合朝阳区的体育产业业态为核心，形成区域优质体育品牌企业，落地优质体育项目，大力促进居民进行体育消费，推动</w:t>
      </w:r>
      <w:r>
        <w:rPr>
          <w:rFonts w:ascii="Times New Roman" w:hAnsi="仿宋" w:eastAsia="仿宋_GB2312" w:cs="华文仿宋"/>
          <w:kern w:val="0"/>
          <w:sz w:val="32"/>
          <w:szCs w:val="32"/>
        </w:rPr>
        <w:t>体育产业链和</w:t>
      </w:r>
      <w:r>
        <w:rPr>
          <w:rFonts w:hint="eastAsia" w:ascii="Times New Roman" w:hAnsi="仿宋" w:eastAsia="仿宋_GB2312" w:cs="华文仿宋"/>
          <w:kern w:val="0"/>
          <w:sz w:val="32"/>
          <w:szCs w:val="32"/>
        </w:rPr>
        <w:t>区域</w:t>
      </w:r>
      <w:r>
        <w:rPr>
          <w:rFonts w:ascii="Times New Roman" w:hAnsi="仿宋" w:eastAsia="仿宋_GB2312" w:cs="华文仿宋"/>
          <w:kern w:val="0"/>
          <w:sz w:val="32"/>
          <w:szCs w:val="32"/>
        </w:rPr>
        <w:t>经济发展深度融合</w:t>
      </w:r>
      <w:r>
        <w:rPr>
          <w:rFonts w:hint="eastAsia" w:ascii="Times New Roman" w:hAnsi="仿宋" w:eastAsia="仿宋_GB2312" w:cs="华文仿宋"/>
          <w:kern w:val="0"/>
          <w:sz w:val="32"/>
          <w:szCs w:val="32"/>
        </w:rPr>
        <w:t>，同时带动区域其他业态发展。</w:t>
      </w:r>
    </w:p>
    <w:p>
      <w:pPr>
        <w:spacing w:line="600" w:lineRule="exact"/>
        <w:ind w:firstLine="643" w:firstLineChars="200"/>
        <w:outlineLvl w:val="2"/>
        <w:rPr>
          <w:rFonts w:ascii="Times New Roman" w:hAnsi="Times New Roman" w:eastAsia="仿宋_GB2312" w:cs="仿宋_GB2312"/>
          <w:b/>
          <w:bCs/>
          <w:kern w:val="0"/>
          <w:sz w:val="32"/>
          <w:szCs w:val="32"/>
          <w:shd w:val="clear" w:color="auto" w:fill="FFFFFF"/>
          <w:lang w:bidi="ar"/>
        </w:rPr>
      </w:pPr>
      <w:bookmarkStart w:id="174" w:name="_Toc11351"/>
      <w:bookmarkStart w:id="175" w:name="_Toc12607"/>
      <w:bookmarkStart w:id="176" w:name="_Toc4665"/>
      <w:bookmarkStart w:id="177" w:name="_Toc3699"/>
      <w:r>
        <w:rPr>
          <w:rFonts w:hint="eastAsia" w:ascii="Times New Roman" w:hAnsi="Times New Roman" w:eastAsia="仿宋_GB2312" w:cs="仿宋_GB2312"/>
          <w:b/>
          <w:bCs/>
          <w:kern w:val="0"/>
          <w:sz w:val="32"/>
          <w:szCs w:val="32"/>
          <w:shd w:val="clear" w:color="auto" w:fill="FFFFFF"/>
          <w:lang w:bidi="ar"/>
        </w:rPr>
        <w:t>5.五大模块，细分工作</w:t>
      </w:r>
      <w:bookmarkEnd w:id="174"/>
      <w:bookmarkEnd w:id="175"/>
      <w:bookmarkEnd w:id="176"/>
      <w:bookmarkEnd w:id="17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朝阳区“十四五”时期体育工作分为群众体育、竞技体育、体育产业、冬奥保障和体育文化交流五大模块，共计24条主要任务、13个重点项目和5大区级重大工程，在保证各模块工作质量的同时，更要兼顾各模块的联系。</w:t>
      </w:r>
    </w:p>
    <w:p>
      <w:pPr>
        <w:pStyle w:val="3"/>
        <w:bidi w:val="0"/>
        <w:rPr>
          <w:rFonts w:hint="eastAsia" w:ascii="Calibri" w:hAnsi="Calibri"/>
        </w:rPr>
      </w:pPr>
      <w:bookmarkStart w:id="178" w:name="_Toc20850"/>
      <w:bookmarkStart w:id="179" w:name="_Toc11933"/>
      <w:bookmarkStart w:id="180" w:name="_Toc645"/>
      <w:bookmarkStart w:id="181" w:name="_Toc2547"/>
      <w:r>
        <w:rPr>
          <w:rFonts w:hint="eastAsia" w:ascii="Calibri" w:hAnsi="Calibri"/>
        </w:rPr>
        <w:t>（四）战略目标</w:t>
      </w:r>
      <w:bookmarkEnd w:id="178"/>
      <w:bookmarkEnd w:id="179"/>
      <w:bookmarkEnd w:id="180"/>
      <w:bookmarkEnd w:id="18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要作为落实中央精神和国家、北京市政策的“落地先行示范区”，按照朝阳区“</w:t>
      </w:r>
      <w:r>
        <w:rPr>
          <w:rFonts w:ascii="Times New Roman" w:hAnsi="Times New Roman" w:eastAsia="仿宋_GB2312"/>
          <w:sz w:val="32"/>
          <w:szCs w:val="32"/>
        </w:rPr>
        <w:t>文化、国际化、大尺度绿化</w:t>
      </w:r>
      <w:r>
        <w:rPr>
          <w:rFonts w:hint="eastAsia" w:ascii="Times New Roman" w:hAnsi="Times New Roman" w:eastAsia="仿宋_GB2312"/>
          <w:sz w:val="32"/>
          <w:szCs w:val="32"/>
        </w:rPr>
        <w:t>”</w:t>
      </w:r>
      <w:r>
        <w:rPr>
          <w:rFonts w:ascii="Times New Roman" w:hAnsi="Times New Roman" w:eastAsia="仿宋_GB2312"/>
          <w:sz w:val="32"/>
          <w:szCs w:val="32"/>
        </w:rPr>
        <w:t>主攻方向</w:t>
      </w:r>
      <w:r>
        <w:rPr>
          <w:rFonts w:hint="eastAsia" w:ascii="Times New Roman" w:hAnsi="Times New Roman" w:eastAsia="仿宋_GB2312"/>
          <w:sz w:val="32"/>
          <w:szCs w:val="32"/>
        </w:rPr>
        <w:t>，以提升全区居民健康水平、满足居民对体育的需求为基础，巩固和提升朝阳区体育发展各项指标整体水平全市领先的地位和优势，完成好冬奥保障任务，构建体育事业和体育产业互动发展的高质量运行体系，形成“朝阳体育模式”，切实提高区域体育发展的总体实力和影响力。</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到2025年，努力建设成和区域经济社会发展水平相适应的，群众体育普及、竞技体育领先、体育产业繁荣、人才结构合理、保障体系有力的新时代高质量发展体育强区。</w:t>
      </w:r>
    </w:p>
    <w:p>
      <w:pPr>
        <w:pStyle w:val="3"/>
        <w:bidi w:val="0"/>
        <w:rPr>
          <w:rFonts w:hint="eastAsia" w:ascii="Calibri" w:hAnsi="Calibri"/>
        </w:rPr>
      </w:pPr>
      <w:bookmarkStart w:id="182" w:name="_Toc19089"/>
      <w:bookmarkStart w:id="183" w:name="_Toc16604"/>
      <w:bookmarkStart w:id="184" w:name="_Toc29879"/>
      <w:bookmarkStart w:id="185" w:name="_Toc11683"/>
      <w:r>
        <w:rPr>
          <w:rFonts w:hint="eastAsia" w:ascii="Calibri" w:hAnsi="Calibri"/>
        </w:rPr>
        <w:t>（五）具体目标</w:t>
      </w:r>
      <w:bookmarkEnd w:id="182"/>
      <w:bookmarkEnd w:id="183"/>
      <w:bookmarkEnd w:id="184"/>
      <w:bookmarkEnd w:id="185"/>
    </w:p>
    <w:p>
      <w:pPr>
        <w:spacing w:line="600" w:lineRule="exact"/>
        <w:ind w:firstLine="420" w:firstLineChars="200"/>
        <w:rPr>
          <w:rFonts w:hint="eastAsia" w:ascii="Times New Roman" w:hAnsi="Times New Roman" w:eastAsia="仿宋_GB2312"/>
          <w:kern w:val="0"/>
          <w:sz w:val="32"/>
          <w:szCs w:val="32"/>
          <w:lang w:val="zh-CN"/>
        </w:rPr>
      </w:pPr>
      <w:r>
        <w:rPr>
          <w:rStyle w:val="55"/>
          <w:rFonts w:hint="eastAsia"/>
        </w:rPr>
        <w:t>——群众体育方面：</w:t>
      </w:r>
      <w:r>
        <w:rPr>
          <w:rStyle w:val="55"/>
        </w:rPr>
        <w:t>深入推进“六边工程”，完善全民健身公共服务体系</w:t>
      </w:r>
      <w:r>
        <w:rPr>
          <w:rStyle w:val="55"/>
          <w:rFonts w:hint="eastAsia"/>
        </w:rPr>
        <w:t>，</w:t>
      </w:r>
      <w:r>
        <w:rPr>
          <w:rStyle w:val="55"/>
        </w:rPr>
        <w:t>到2025年，体育健身成为群众生活方式的新常态</w:t>
      </w:r>
      <w:r>
        <w:rPr>
          <w:rStyle w:val="55"/>
          <w:rFonts w:hint="eastAsia"/>
        </w:rPr>
        <w:t>。</w:t>
      </w:r>
      <w:r>
        <w:rPr>
          <w:rFonts w:ascii="Times New Roman" w:hAnsi="Times New Roman" w:eastAsia="仿宋_GB2312"/>
          <w:sz w:val="32"/>
          <w:szCs w:val="32"/>
        </w:rPr>
        <w:t>经常参加体育锻炼的人数比例达到52%以上，国民体质合格率达到90%以</w:t>
      </w:r>
      <w:r>
        <w:rPr>
          <w:rFonts w:hint="eastAsia" w:ascii="Times New Roman" w:hAnsi="Times New Roman" w:eastAsia="仿宋_GB2312"/>
          <w:sz w:val="32"/>
          <w:szCs w:val="32"/>
        </w:rPr>
        <w:t>，推动全民健身“进公园、进社区、进校园” 三进工程。利用公园绿地，建设一批满足群众健身需求和休闲需求的体育设施，打造城市居民</w:t>
      </w:r>
      <w:r>
        <w:rPr>
          <w:rFonts w:ascii="Times New Roman" w:hAnsi="Times New Roman" w:eastAsia="仿宋_GB2312"/>
          <w:sz w:val="32"/>
          <w:szCs w:val="32"/>
        </w:rPr>
        <w:t>健身</w:t>
      </w:r>
      <w:r>
        <w:rPr>
          <w:rFonts w:hint="eastAsia" w:ascii="Times New Roman" w:hAnsi="Times New Roman" w:eastAsia="仿宋_GB2312"/>
          <w:sz w:val="32"/>
          <w:szCs w:val="32"/>
        </w:rPr>
        <w:t>集合地。全面创建市级全民健身示范街道和体育特色乡。</w:t>
      </w:r>
      <w:r>
        <w:rPr>
          <w:rFonts w:ascii="Times New Roman" w:hAnsi="Times New Roman" w:eastAsia="仿宋_GB2312"/>
          <w:sz w:val="32"/>
          <w:szCs w:val="32"/>
        </w:rPr>
        <w:t>社区体育场地设施建设有创新</w:t>
      </w:r>
      <w:r>
        <w:rPr>
          <w:rFonts w:hint="eastAsia" w:ascii="Times New Roman" w:hAnsi="Times New Roman" w:eastAsia="仿宋_GB2312"/>
          <w:sz w:val="32"/>
          <w:szCs w:val="32"/>
        </w:rPr>
        <w:t>，建设满足群众就近就便需求的健身路径</w:t>
      </w:r>
      <w:r>
        <w:rPr>
          <w:rFonts w:ascii="Times New Roman" w:hAnsi="Times New Roman" w:eastAsia="仿宋_GB2312"/>
          <w:sz w:val="32"/>
          <w:szCs w:val="32"/>
        </w:rPr>
        <w:t>；全民健身赛事活动丰富多彩，健身组织多元化发展，每个街乡至少打造1个品牌活动和1支品牌队伍。</w:t>
      </w:r>
      <w:r>
        <w:rPr>
          <w:rFonts w:hint="eastAsia" w:ascii="Times New Roman" w:hAnsi="Times New Roman" w:eastAsia="仿宋_GB2312"/>
          <w:sz w:val="32"/>
          <w:szCs w:val="32"/>
        </w:rPr>
        <w:t>促进社会体育指导员在群众中发挥作用达到100%。</w:t>
      </w:r>
      <w:r>
        <w:rPr>
          <w:rFonts w:ascii="Times New Roman" w:hAnsi="Times New Roman" w:eastAsia="仿宋_GB2312"/>
          <w:sz w:val="32"/>
          <w:szCs w:val="32"/>
        </w:rPr>
        <w:t>全民健身公共服务均等化得到进一步保障，老幼残等人群得到重点关注；全民健身智慧化程度</w:t>
      </w:r>
      <w:r>
        <w:rPr>
          <w:rFonts w:hint="eastAsia" w:ascii="Times New Roman" w:hAnsi="Times New Roman" w:eastAsia="仿宋_GB2312"/>
          <w:sz w:val="32"/>
          <w:szCs w:val="32"/>
        </w:rPr>
        <w:t>达到新</w:t>
      </w:r>
      <w:r>
        <w:rPr>
          <w:rFonts w:ascii="Times New Roman" w:hAnsi="Times New Roman" w:eastAsia="仿宋_GB2312"/>
          <w:sz w:val="32"/>
          <w:szCs w:val="32"/>
        </w:rPr>
        <w:t>高，建成基于新技术的朝阳区全民健身智慧化大平台。“体医结合”新模式取得进一步探索。</w:t>
      </w:r>
      <w:r>
        <w:rPr>
          <w:rFonts w:hint="eastAsia" w:ascii="Times New Roman" w:hAnsi="Times New Roman" w:eastAsia="仿宋_GB2312"/>
          <w:kern w:val="0"/>
          <w:sz w:val="32"/>
          <w:szCs w:val="32"/>
          <w:lang w:val="zh-CN"/>
        </w:rPr>
        <w:t>与区卫健委、首都体育学院共同合作，设立“脑卒中”等慢性病预防和康复研究课题，</w:t>
      </w:r>
      <w:r>
        <w:rPr>
          <w:rFonts w:hint="eastAsia" w:ascii="Times New Roman" w:hAnsi="Times New Roman" w:eastAsia="仿宋_GB2312"/>
          <w:kern w:val="0"/>
          <w:sz w:val="32"/>
          <w:szCs w:val="32"/>
        </w:rPr>
        <w:t>助力</w:t>
      </w:r>
      <w:r>
        <w:rPr>
          <w:rFonts w:hint="eastAsia" w:ascii="Times New Roman" w:hAnsi="Times New Roman" w:eastAsia="仿宋_GB2312"/>
          <w:kern w:val="0"/>
          <w:sz w:val="32"/>
          <w:szCs w:val="32"/>
          <w:lang w:val="zh-CN"/>
        </w:rPr>
        <w:t>“健康朝阳”</w:t>
      </w:r>
      <w:r>
        <w:rPr>
          <w:rFonts w:hint="eastAsia" w:ascii="Times New Roman" w:hAnsi="Times New Roman" w:eastAsia="仿宋_GB2312"/>
          <w:kern w:val="0"/>
          <w:sz w:val="32"/>
          <w:szCs w:val="32"/>
        </w:rPr>
        <w:t>建设</w:t>
      </w:r>
      <w:r>
        <w:rPr>
          <w:rFonts w:hint="eastAsia" w:ascii="Times New Roman" w:hAnsi="Times New Roman" w:eastAsia="仿宋_GB2312"/>
          <w:kern w:val="0"/>
          <w:sz w:val="32"/>
          <w:szCs w:val="32"/>
          <w:lang w:val="zh-CN"/>
        </w:rPr>
        <w:t>。</w:t>
      </w:r>
    </w:p>
    <w:p>
      <w:pPr>
        <w:spacing w:line="600" w:lineRule="exact"/>
        <w:ind w:firstLine="420" w:firstLineChars="200"/>
        <w:rPr>
          <w:rFonts w:hint="eastAsia" w:ascii="Times New Roman" w:hAnsi="Times New Roman" w:eastAsia="仿宋_GB2312"/>
          <w:sz w:val="32"/>
          <w:szCs w:val="32"/>
        </w:rPr>
      </w:pPr>
      <w:r>
        <w:rPr>
          <w:rStyle w:val="55"/>
          <w:rFonts w:hint="eastAsia"/>
        </w:rPr>
        <w:t>——竞技体育方面：形成体育和教育部门深度融合，社会力量广泛参与的，以提升青少年体质和竞技体育后备人才质量为双核的体教融合发展格局。</w:t>
      </w:r>
      <w:r>
        <w:rPr>
          <w:rFonts w:hint="eastAsia" w:ascii="Times New Roman" w:hAnsi="Times New Roman" w:eastAsia="仿宋_GB2312"/>
          <w:sz w:val="32"/>
          <w:szCs w:val="32"/>
        </w:rPr>
        <w:t>青少年参加体育活动意识增强，保障课后一小时锻炼时间，普遍学会2项以上体育锻炼项目，体质监测水平高于北京市平均水平；体育教育成为学校素质教育中不可替代的内容，体育传统项目学校校址数量不低于70所，国家级体育俱乐部数量不低于15所，建设一所集小学、初中、高中为一体的全日制体育运动学校；形成以网球、游泳、“三大球”、冰雪运动为重点冬夏运动项目的布局，体育后备人才输送总量和比赛成绩保持北京市各区县前列，2022年北京市第十六届运动会保持金牌总数和团体总分位居全市前列，北京市第二届冬运会力争实现项目全覆盖，保持金牌总数和团体总分位居全市前列，形成区级青少年运动联赛体系和品牌，</w:t>
      </w:r>
      <w:r>
        <w:rPr>
          <w:rFonts w:hint="eastAsia" w:ascii="Times New Roman" w:hAnsi="Times New Roman" w:eastAsia="仿宋_GB2312" w:cs="宋体"/>
          <w:kern w:val="0"/>
          <w:sz w:val="32"/>
          <w:szCs w:val="32"/>
        </w:rPr>
        <w:t>坚决做到兴奋剂问题“零容忍”</w:t>
      </w:r>
      <w:r>
        <w:rPr>
          <w:rFonts w:hint="eastAsia" w:ascii="Times New Roman" w:hAnsi="Times New Roman" w:eastAsia="仿宋_GB2312"/>
          <w:sz w:val="32"/>
          <w:szCs w:val="32"/>
        </w:rPr>
        <w:t>，运动员数据库功能系统完善，应用效能不断释放。社会力量广泛参与，青少年体育冬夏令营形成常态，社区青少年体育活动有所创新。</w:t>
      </w:r>
    </w:p>
    <w:p>
      <w:pPr>
        <w:spacing w:line="600" w:lineRule="exact"/>
        <w:ind w:firstLine="420" w:firstLineChars="200"/>
        <w:rPr>
          <w:rFonts w:hint="eastAsia" w:ascii="Times New Roman" w:hAnsi="Times New Roman" w:eastAsia="仿宋_GB2312"/>
          <w:sz w:val="32"/>
          <w:szCs w:val="32"/>
        </w:rPr>
      </w:pPr>
      <w:r>
        <w:rPr>
          <w:rStyle w:val="55"/>
          <w:rFonts w:hint="eastAsia"/>
        </w:rPr>
        <w:t>——体育产业方面：以政府引导、市场主导、企业主体的现代化高质量高效益体育产业体系初步形成。</w:t>
      </w:r>
      <w:r>
        <w:rPr>
          <w:rFonts w:hint="eastAsia" w:ascii="Times New Roman" w:hAnsi="Times New Roman" w:eastAsia="仿宋_GB2312"/>
          <w:sz w:val="32"/>
          <w:szCs w:val="32"/>
        </w:rPr>
        <w:t>到2025年，在就业指标上，体育产业从业人员达到6万人以上（全职型从业人员2.5万人以上）；在产业链上，政府以平台类搭建为主，体育企业以内容类和服务类供给为主，体育相关企业以延伸类供给为主；在产业结构上，以体育服务业为主，体育服务业营收占比体育产业总营收不低于80%，以体育竞赛表演、体育培训与教育、体育传媒和体育场馆运营为主营业态；在空间布局上，以奥林匹克产业集群和改造后的工人体育场产业集群为主，提升区域产业附加值；在市场发展上，加大对区域体育经营场馆和体育市场项目的安全教育和监管，无重大安全事故发生，市场健康有序发展。</w:t>
      </w:r>
    </w:p>
    <w:p>
      <w:pPr>
        <w:spacing w:line="600" w:lineRule="exact"/>
        <w:ind w:firstLine="420" w:firstLineChars="200"/>
        <w:rPr>
          <w:rFonts w:hint="eastAsia" w:ascii="Times New Roman" w:hAnsi="Times New Roman" w:eastAsia="仿宋_GB2312"/>
          <w:sz w:val="32"/>
          <w:szCs w:val="32"/>
        </w:rPr>
      </w:pPr>
      <w:r>
        <w:rPr>
          <w:rStyle w:val="55"/>
          <w:rFonts w:hint="eastAsia"/>
        </w:rPr>
        <w:t>——冬奥保障方面：</w:t>
      </w:r>
      <w:r>
        <w:rPr>
          <w:rStyle w:val="55"/>
        </w:rPr>
        <w:t>尽全区之力做好</w:t>
      </w:r>
      <w:r>
        <w:rPr>
          <w:rStyle w:val="55"/>
          <w:lang w:val="zh-TW" w:eastAsia="zh-TW"/>
        </w:rPr>
        <w:t>冬奥会、</w:t>
      </w:r>
      <w:r>
        <w:rPr>
          <w:rStyle w:val="55"/>
          <w:rFonts w:hint="eastAsia"/>
        </w:rPr>
        <w:t>冬</w:t>
      </w:r>
      <w:r>
        <w:rPr>
          <w:rStyle w:val="55"/>
          <w:lang w:val="zh-TW" w:eastAsia="zh-TW"/>
        </w:rPr>
        <w:t>残奥会</w:t>
      </w:r>
      <w:r>
        <w:rPr>
          <w:rStyle w:val="55"/>
        </w:rPr>
        <w:t>各项保障。为区域内各冬奥场馆软硬件建设做好协调工作，为在朝阳区举办的各项</w:t>
      </w:r>
      <w:r>
        <w:rPr>
          <w:rStyle w:val="55"/>
          <w:lang w:val="zh-TW" w:eastAsia="zh-TW"/>
        </w:rPr>
        <w:t>冬奥会、残奥会赛前测试赛</w:t>
      </w:r>
      <w:r>
        <w:rPr>
          <w:rStyle w:val="55"/>
        </w:rPr>
        <w:t>、开幕式、正赛、闭幕式等赛事活动顺利进行提供全方位支持。</w:t>
      </w:r>
      <w:r>
        <w:rPr>
          <w:rFonts w:hint="eastAsia" w:ascii="Times New Roman" w:hAnsi="Times New Roman" w:eastAsia="仿宋_GB2312"/>
          <w:bCs/>
          <w:sz w:val="32"/>
          <w:szCs w:val="32"/>
        </w:rPr>
        <w:t>对标对表，以</w:t>
      </w:r>
      <w:r>
        <w:rPr>
          <w:rFonts w:ascii="Times New Roman" w:hAnsi="Times New Roman" w:eastAsia="仿宋_GB2312"/>
          <w:bCs/>
          <w:sz w:val="32"/>
          <w:szCs w:val="32"/>
        </w:rPr>
        <w:t>北京赛区（朝阳）5项测试赛</w:t>
      </w:r>
      <w:r>
        <w:rPr>
          <w:rFonts w:hint="eastAsia" w:ascii="Times New Roman" w:hAnsi="Times New Roman" w:eastAsia="仿宋_GB2312"/>
          <w:bCs/>
          <w:sz w:val="32"/>
          <w:szCs w:val="32"/>
        </w:rPr>
        <w:t>为重点</w:t>
      </w:r>
      <w:r>
        <w:rPr>
          <w:rFonts w:ascii="Times New Roman" w:hAnsi="Times New Roman" w:eastAsia="仿宋_GB2312"/>
          <w:bCs/>
          <w:sz w:val="32"/>
          <w:szCs w:val="32"/>
        </w:rPr>
        <w:t>，进行</w:t>
      </w:r>
      <w:r>
        <w:rPr>
          <w:rFonts w:hint="eastAsia" w:ascii="Times New Roman" w:hAnsi="Times New Roman" w:eastAsia="仿宋_GB2312"/>
          <w:bCs/>
          <w:sz w:val="32"/>
          <w:szCs w:val="32"/>
        </w:rPr>
        <w:t>“</w:t>
      </w:r>
      <w:r>
        <w:rPr>
          <w:rFonts w:ascii="Times New Roman" w:hAnsi="Times New Roman" w:eastAsia="仿宋_GB2312"/>
          <w:bCs/>
          <w:sz w:val="32"/>
          <w:szCs w:val="32"/>
        </w:rPr>
        <w:t>全覆盖、全要素、全流程、全过程</w:t>
      </w:r>
      <w:r>
        <w:rPr>
          <w:rFonts w:hint="eastAsia" w:ascii="Times New Roman" w:hAnsi="Times New Roman" w:eastAsia="仿宋_GB2312"/>
          <w:bCs/>
          <w:sz w:val="32"/>
          <w:szCs w:val="32"/>
        </w:rPr>
        <w:t>”</w:t>
      </w:r>
      <w:r>
        <w:rPr>
          <w:rFonts w:ascii="Times New Roman" w:hAnsi="Times New Roman" w:eastAsia="仿宋_GB2312"/>
          <w:bCs/>
          <w:sz w:val="32"/>
          <w:szCs w:val="32"/>
        </w:rPr>
        <w:t>的测试</w:t>
      </w:r>
      <w:r>
        <w:rPr>
          <w:rFonts w:hint="eastAsia" w:ascii="Times New Roman" w:hAnsi="Times New Roman" w:eastAsia="仿宋_GB2312"/>
          <w:bCs/>
          <w:sz w:val="32"/>
          <w:szCs w:val="32"/>
        </w:rPr>
        <w:t>筹备。重点做好国家体育馆运行团队组建工作。举办丰富多彩的冰雪活动，普及冬奥会知识、观赛礼仪，</w:t>
      </w:r>
      <w:r>
        <w:rPr>
          <w:rFonts w:ascii="Times New Roman" w:hAnsi="Times New Roman" w:eastAsia="仿宋_GB2312"/>
          <w:sz w:val="32"/>
          <w:szCs w:val="32"/>
        </w:rPr>
        <w:t>培育一批懂冰雪、会教学、知礼仪的冰雪运动社会体育指导员和</w:t>
      </w:r>
      <w:r>
        <w:rPr>
          <w:rFonts w:hint="eastAsia" w:ascii="Times New Roman" w:hAnsi="Times New Roman" w:eastAsia="仿宋_GB2312"/>
          <w:sz w:val="32"/>
          <w:szCs w:val="32"/>
        </w:rPr>
        <w:t>社会</w:t>
      </w:r>
      <w:r>
        <w:rPr>
          <w:rFonts w:ascii="Times New Roman" w:hAnsi="Times New Roman" w:eastAsia="仿宋_GB2312"/>
          <w:sz w:val="32"/>
          <w:szCs w:val="32"/>
        </w:rPr>
        <w:t>志愿者，带动区域100万人次参与冰雪运动，区域中小学生参与冰雪体验全覆盖，</w:t>
      </w:r>
      <w:r>
        <w:rPr>
          <w:rFonts w:hint="eastAsia" w:ascii="Times New Roman" w:hAnsi="Times New Roman" w:eastAsia="仿宋_GB2312"/>
          <w:bCs/>
          <w:sz w:val="32"/>
          <w:szCs w:val="32"/>
        </w:rPr>
        <w:t>继续打造百万冰场，引领群众参与冰雪活动，</w:t>
      </w:r>
      <w:r>
        <w:rPr>
          <w:rFonts w:ascii="Times New Roman" w:hAnsi="Times New Roman" w:eastAsia="仿宋_GB2312"/>
          <w:sz w:val="32"/>
          <w:szCs w:val="32"/>
        </w:rPr>
        <w:t>形成冬奥文化氛围浓厚，冬奥旅游火热，后奥运时期双奥遗产持续开发的新时代。</w:t>
      </w:r>
    </w:p>
    <w:p>
      <w:pPr>
        <w:spacing w:line="600" w:lineRule="exact"/>
        <w:ind w:firstLine="420" w:firstLineChars="200"/>
        <w:rPr>
          <w:rFonts w:hint="eastAsia" w:ascii="Times New Roman" w:hAnsi="Times New Roman" w:eastAsia="仿宋_GB2312"/>
          <w:sz w:val="32"/>
          <w:szCs w:val="32"/>
        </w:rPr>
      </w:pPr>
      <w:r>
        <w:rPr>
          <w:rStyle w:val="55"/>
          <w:rFonts w:hint="eastAsia"/>
        </w:rPr>
        <w:t>——文化交流方面：</w:t>
      </w:r>
      <w:r>
        <w:rPr>
          <w:rFonts w:hint="eastAsia" w:ascii="Times New Roman" w:hAnsi="Times New Roman" w:eastAsia="仿宋_GB2312"/>
          <w:sz w:val="32"/>
          <w:szCs w:val="32"/>
        </w:rPr>
        <w:t>网球、冰雪等运动项目文化进一步普及，奥运精神和双奥文化不断被弘扬和挖掘，顽强拼搏、无私奉献，文明观赛、文明健身，增强规则意识、合作精神和交往能力等新时代体育文化精神价值观逐渐深入民心。与京津冀城市和区域的体育交流频繁，借国际赛事活动，进一步扩大朝阳区国际知名度和影响力。</w:t>
      </w:r>
    </w:p>
    <w:p>
      <w:pPr>
        <w:ind w:firstLine="1476" w:firstLineChars="700"/>
        <w:rPr>
          <w:rFonts w:hint="eastAsia"/>
          <w:b/>
          <w:bCs/>
        </w:rPr>
      </w:pPr>
      <w:r>
        <w:rPr>
          <w:rFonts w:hint="eastAsia"/>
          <w:b/>
          <w:bCs/>
        </w:rPr>
        <w:t>表1  “十四五”时期朝阳区体育发展规划主要指标</w:t>
      </w:r>
    </w:p>
    <w:tbl>
      <w:tblPr>
        <w:tblStyle w:val="15"/>
        <w:tblW w:w="8158" w:type="dxa"/>
        <w:jc w:val="center"/>
        <w:tblLayout w:type="fixed"/>
        <w:tblCellMar>
          <w:top w:w="0" w:type="dxa"/>
          <w:left w:w="0" w:type="dxa"/>
          <w:bottom w:w="0" w:type="dxa"/>
          <w:right w:w="0" w:type="dxa"/>
        </w:tblCellMar>
      </w:tblPr>
      <w:tblGrid>
        <w:gridCol w:w="889"/>
        <w:gridCol w:w="5086"/>
        <w:gridCol w:w="923"/>
        <w:gridCol w:w="1260"/>
      </w:tblGrid>
      <w:tr>
        <w:tblPrEx>
          <w:tblCellMar>
            <w:top w:w="0" w:type="dxa"/>
            <w:left w:w="0" w:type="dxa"/>
            <w:bottom w:w="0" w:type="dxa"/>
            <w:right w:w="0" w:type="dxa"/>
          </w:tblCellMar>
        </w:tblPrEx>
        <w:trPr>
          <w:trHeight w:val="831" w:hRule="atLeast"/>
          <w:tblHeader/>
          <w:jc w:val="center"/>
        </w:trPr>
        <w:tc>
          <w:tcPr>
            <w:tcW w:w="889" w:type="dxa"/>
            <w:tcBorders>
              <w:top w:val="outset" w:color="000000" w:sz="8" w:space="0"/>
              <w:left w:val="outset" w:color="000000" w:sz="8" w:space="0"/>
              <w:bottom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指标</w:t>
            </w:r>
          </w:p>
          <w:p>
            <w:pPr>
              <w:widowControl/>
              <w:snapToGrid w:val="0"/>
              <w:spacing w:line="400" w:lineRule="exact"/>
              <w:jc w:val="center"/>
              <w:rPr>
                <w:sz w:val="24"/>
              </w:rPr>
            </w:pPr>
            <w:r>
              <w:rPr>
                <w:rFonts w:hint="eastAsia"/>
                <w:sz w:val="24"/>
              </w:rPr>
              <w:t>分类</w:t>
            </w:r>
          </w:p>
        </w:tc>
        <w:tc>
          <w:tcPr>
            <w:tcW w:w="5086" w:type="dxa"/>
            <w:tcBorders>
              <w:top w:val="outset" w:color="000000" w:sz="8" w:space="0"/>
              <w:left w:val="single" w:color="auto" w:sz="0" w:space="0"/>
              <w:bottom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指标名称</w:t>
            </w:r>
          </w:p>
        </w:tc>
        <w:tc>
          <w:tcPr>
            <w:tcW w:w="923" w:type="dxa"/>
            <w:tcBorders>
              <w:top w:val="outset" w:color="000000" w:sz="8" w:space="0"/>
              <w:left w:val="single" w:color="auto" w:sz="0" w:space="0"/>
              <w:bottom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单位</w:t>
            </w:r>
          </w:p>
        </w:tc>
        <w:tc>
          <w:tcPr>
            <w:tcW w:w="1260" w:type="dxa"/>
            <w:tcBorders>
              <w:top w:val="outset" w:color="000000" w:sz="8" w:space="0"/>
              <w:left w:val="single" w:color="auto" w:sz="0" w:space="0"/>
              <w:bottom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2025年</w:t>
            </w:r>
          </w:p>
          <w:p>
            <w:pPr>
              <w:widowControl/>
              <w:snapToGrid w:val="0"/>
              <w:spacing w:line="400" w:lineRule="exact"/>
              <w:jc w:val="center"/>
              <w:rPr>
                <w:sz w:val="24"/>
              </w:rPr>
            </w:pPr>
            <w:r>
              <w:rPr>
                <w:rFonts w:hint="eastAsia"/>
                <w:sz w:val="24"/>
              </w:rPr>
              <w:t>目标</w:t>
            </w:r>
          </w:p>
        </w:tc>
      </w:tr>
      <w:tr>
        <w:tblPrEx>
          <w:tblCellMar>
            <w:top w:w="0" w:type="dxa"/>
            <w:left w:w="0" w:type="dxa"/>
            <w:bottom w:w="0" w:type="dxa"/>
            <w:right w:w="0" w:type="dxa"/>
          </w:tblCellMar>
        </w:tblPrEx>
        <w:trPr>
          <w:trHeight w:val="425" w:hRule="atLeast"/>
          <w:jc w:val="center"/>
        </w:trPr>
        <w:tc>
          <w:tcPr>
            <w:tcW w:w="889" w:type="dxa"/>
            <w:vMerge w:val="restart"/>
            <w:tcBorders>
              <w:top w:val="single" w:color="auto" w:sz="0" w:space="0"/>
              <w:left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群众</w:t>
            </w:r>
          </w:p>
          <w:p>
            <w:pPr>
              <w:widowControl/>
              <w:snapToGrid w:val="0"/>
              <w:spacing w:line="400" w:lineRule="exact"/>
              <w:jc w:val="center"/>
              <w:rPr>
                <w:sz w:val="24"/>
              </w:rPr>
            </w:pPr>
            <w:r>
              <w:rPr>
                <w:rFonts w:hint="eastAsia"/>
                <w:sz w:val="24"/>
              </w:rPr>
              <w:t>体育</w:t>
            </w: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经常参加体育锻炼人数比例</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＞52</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国民体质合格率</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＞90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社会体育指导员数量占常住人口数量比例</w:t>
            </w:r>
          </w:p>
        </w:tc>
        <w:tc>
          <w:tcPr>
            <w:tcW w:w="923" w:type="dxa"/>
            <w:tcBorders>
              <w:top w:val="single" w:color="auto" w:sz="0" w:space="0"/>
              <w:left w:val="single" w:color="auto" w:sz="0" w:space="0"/>
              <w:bottom w:val="single"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w:t>
            </w:r>
          </w:p>
        </w:tc>
        <w:tc>
          <w:tcPr>
            <w:tcW w:w="1260" w:type="dxa"/>
            <w:tcBorders>
              <w:top w:val="single" w:color="auto" w:sz="0" w:space="0"/>
              <w:left w:val="single" w:color="auto" w:sz="0" w:space="0"/>
              <w:bottom w:val="single" w:color="000000" w:sz="8" w:space="0"/>
              <w:right w:val="in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0.3</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提高社会体育指导员的利用率达到以上</w:t>
            </w:r>
          </w:p>
        </w:tc>
        <w:tc>
          <w:tcPr>
            <w:tcW w:w="923" w:type="dxa"/>
            <w:tcBorders>
              <w:top w:val="single" w:color="auto" w:sz="0" w:space="0"/>
              <w:left w:val="single" w:color="auto" w:sz="0" w:space="0"/>
              <w:bottom w:val="single"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w:t>
            </w:r>
          </w:p>
        </w:tc>
        <w:tc>
          <w:tcPr>
            <w:tcW w:w="1260" w:type="dxa"/>
            <w:tcBorders>
              <w:top w:val="single" w:color="auto" w:sz="0" w:space="0"/>
              <w:left w:val="single" w:color="auto" w:sz="0" w:space="0"/>
              <w:bottom w:val="single" w:color="000000" w:sz="8" w:space="0"/>
              <w:right w:val="in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≥20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人均体育场地指标</w:t>
            </w:r>
          </w:p>
        </w:tc>
        <w:tc>
          <w:tcPr>
            <w:tcW w:w="923" w:type="dxa"/>
            <w:tcBorders>
              <w:top w:val="single" w:color="auto" w:sz="0" w:space="0"/>
              <w:left w:val="single" w:color="auto" w:sz="0" w:space="0"/>
              <w:bottom w:val="inset"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m</w:t>
            </w:r>
            <w:r>
              <w:rPr>
                <w:sz w:val="24"/>
                <w:vertAlign w:val="superscript"/>
              </w:rPr>
              <w:t>2</w:t>
            </w:r>
            <w:r>
              <w:rPr>
                <w:rFonts w:hint="eastAsia"/>
                <w:sz w:val="24"/>
              </w:rPr>
              <w:t>/人</w:t>
            </w:r>
          </w:p>
        </w:tc>
        <w:tc>
          <w:tcPr>
            <w:tcW w:w="1260" w:type="dxa"/>
            <w:tcBorders>
              <w:top w:val="single" w:color="auto" w:sz="0" w:space="0"/>
              <w:left w:val="single" w:color="auto" w:sz="0" w:space="0"/>
              <w:bottom w:val="inset" w:color="000000" w:sz="8" w:space="0"/>
              <w:right w:val="in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w:t>
            </w:r>
            <w:r>
              <w:rPr>
                <w:sz w:val="24"/>
              </w:rPr>
              <w:t>2</w:t>
            </w:r>
            <w:r>
              <w:rPr>
                <w:rFonts w:hint="eastAsia"/>
                <w:sz w:val="24"/>
              </w:rPr>
              <w:t>.6</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公共体育设施向公众开放率</w:t>
            </w:r>
          </w:p>
        </w:tc>
        <w:tc>
          <w:tcPr>
            <w:tcW w:w="923" w:type="dxa"/>
            <w:tcBorders>
              <w:top w:val="single" w:color="auto" w:sz="0" w:space="0"/>
              <w:left w:val="single" w:color="auto" w:sz="0" w:space="0"/>
              <w:bottom w:val="inset"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w:t>
            </w:r>
          </w:p>
        </w:tc>
        <w:tc>
          <w:tcPr>
            <w:tcW w:w="1260" w:type="dxa"/>
            <w:tcBorders>
              <w:top w:val="single" w:color="auto" w:sz="0" w:space="0"/>
              <w:left w:val="single" w:color="auto" w:sz="0" w:space="0"/>
              <w:bottom w:val="inset" w:color="000000" w:sz="8" w:space="0"/>
              <w:right w:val="in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100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全民健身设施满意度</w:t>
            </w:r>
          </w:p>
        </w:tc>
        <w:tc>
          <w:tcPr>
            <w:tcW w:w="923" w:type="dxa"/>
            <w:tcBorders>
              <w:top w:val="single" w:color="auto" w:sz="0" w:space="0"/>
              <w:left w:val="single" w:color="auto" w:sz="0" w:space="0"/>
              <w:bottom w:val="single" w:color="auto" w:sz="0"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w:t>
            </w:r>
          </w:p>
        </w:tc>
        <w:tc>
          <w:tcPr>
            <w:tcW w:w="1260" w:type="dxa"/>
            <w:tcBorders>
              <w:top w:val="single" w:color="auto" w:sz="0" w:space="0"/>
              <w:left w:val="single" w:color="auto" w:sz="0" w:space="0"/>
              <w:bottom w:val="single" w:color="auto" w:sz="0"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≥80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每个街区乡拥有的品牌健身活动数量</w:t>
            </w:r>
          </w:p>
        </w:tc>
        <w:tc>
          <w:tcPr>
            <w:tcW w:w="923" w:type="dxa"/>
            <w:tcBorders>
              <w:top w:val="single" w:color="auto" w:sz="0" w:space="0"/>
              <w:left w:val="single" w:color="auto" w:sz="0" w:space="0"/>
              <w:bottom w:val="single" w:color="auto" w:sz="0"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个</w:t>
            </w:r>
          </w:p>
        </w:tc>
        <w:tc>
          <w:tcPr>
            <w:tcW w:w="1260" w:type="dxa"/>
            <w:tcBorders>
              <w:top w:val="single" w:color="auto" w:sz="0" w:space="0"/>
              <w:left w:val="single" w:color="auto" w:sz="0" w:space="0"/>
              <w:bottom w:val="single" w:color="auto" w:sz="0"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≥1</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每个街区乡拥有的健身队伍数量</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个</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≥1</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before="100" w:beforeAutospacing="1" w:after="100" w:afterAutospacing="1" w:line="400" w:lineRule="exact"/>
              <w:jc w:val="left"/>
              <w:rPr>
                <w:rFonts w:hint="eastAsia"/>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各级体育协会或社团数量</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个</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＞35</w:t>
            </w:r>
          </w:p>
        </w:tc>
      </w:tr>
      <w:tr>
        <w:tblPrEx>
          <w:tblCellMar>
            <w:top w:w="0" w:type="dxa"/>
            <w:left w:w="0" w:type="dxa"/>
            <w:bottom w:w="0" w:type="dxa"/>
            <w:right w:w="0" w:type="dxa"/>
          </w:tblCellMar>
        </w:tblPrEx>
        <w:trPr>
          <w:trHeight w:val="425" w:hRule="atLeast"/>
          <w:jc w:val="center"/>
        </w:trPr>
        <w:tc>
          <w:tcPr>
            <w:tcW w:w="889" w:type="dxa"/>
            <w:vMerge w:val="restart"/>
            <w:tcBorders>
              <w:left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竞技</w:t>
            </w:r>
          </w:p>
          <w:p>
            <w:pPr>
              <w:widowControl/>
              <w:snapToGrid w:val="0"/>
              <w:spacing w:line="400" w:lineRule="exact"/>
              <w:jc w:val="center"/>
              <w:rPr>
                <w:b/>
                <w:bCs/>
                <w:sz w:val="24"/>
              </w:rPr>
            </w:pPr>
            <w:r>
              <w:rPr>
                <w:rFonts w:hint="eastAsia"/>
                <w:sz w:val="24"/>
              </w:rPr>
              <w:t>体育</w:t>
            </w: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体育传统项目学校校址数量</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所</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≥70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 xml:space="preserve">市级以上青少年体育俱乐部数量   </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所</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≥15</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兴奋剂事件</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例</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五年向上输送优秀体育后备人才数量</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名</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＞240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五年注册运动员人次</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名</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＞20000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五年注册青少年冬季项目运动员</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人次</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＞6000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训练网点数量</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所</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 xml:space="preserve">≥130  </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北京市第十六届运动会金牌总数和团体总分</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前列</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bottom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北京市第二届冬运会金牌总数和团体总分</w:t>
            </w:r>
          </w:p>
        </w:tc>
        <w:tc>
          <w:tcPr>
            <w:tcW w:w="923"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w:t>
            </w:r>
          </w:p>
        </w:tc>
        <w:tc>
          <w:tcPr>
            <w:tcW w:w="1260" w:type="dxa"/>
            <w:tcBorders>
              <w:top w:val="single" w:color="auto" w:sz="4"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前列</w:t>
            </w:r>
          </w:p>
        </w:tc>
      </w:tr>
      <w:tr>
        <w:tblPrEx>
          <w:tblCellMar>
            <w:top w:w="0" w:type="dxa"/>
            <w:left w:w="0" w:type="dxa"/>
            <w:bottom w:w="0" w:type="dxa"/>
            <w:right w:w="0" w:type="dxa"/>
          </w:tblCellMar>
        </w:tblPrEx>
        <w:trPr>
          <w:trHeight w:val="425" w:hRule="atLeast"/>
          <w:jc w:val="center"/>
        </w:trPr>
        <w:tc>
          <w:tcPr>
            <w:tcW w:w="889" w:type="dxa"/>
            <w:vMerge w:val="restart"/>
            <w:tcBorders>
              <w:top w:val="single" w:color="auto" w:sz="0" w:space="0"/>
              <w:left w:val="outset" w:color="000000" w:sz="8" w:space="0"/>
              <w:right w:val="outset" w:color="000000" w:sz="8" w:space="0"/>
            </w:tcBorders>
            <w:noWrap w:val="0"/>
            <w:vAlign w:val="center"/>
          </w:tcPr>
          <w:p>
            <w:pPr>
              <w:widowControl/>
              <w:snapToGrid w:val="0"/>
              <w:spacing w:line="400" w:lineRule="exact"/>
              <w:jc w:val="center"/>
              <w:rPr>
                <w:sz w:val="24"/>
              </w:rPr>
            </w:pPr>
            <w:r>
              <w:rPr>
                <w:rFonts w:hint="eastAsia"/>
                <w:sz w:val="24"/>
              </w:rPr>
              <w:t>体育</w:t>
            </w:r>
          </w:p>
          <w:p>
            <w:pPr>
              <w:widowControl/>
              <w:snapToGrid w:val="0"/>
              <w:spacing w:line="400" w:lineRule="exact"/>
              <w:jc w:val="center"/>
              <w:rPr>
                <w:sz w:val="24"/>
              </w:rPr>
            </w:pPr>
            <w:r>
              <w:rPr>
                <w:rFonts w:hint="eastAsia"/>
                <w:sz w:val="24"/>
              </w:rPr>
              <w:t>产业</w:t>
            </w:r>
          </w:p>
          <w:p>
            <w:pPr>
              <w:widowControl/>
              <w:snapToGrid w:val="0"/>
              <w:spacing w:line="400" w:lineRule="exact"/>
              <w:jc w:val="center"/>
              <w:rPr>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平均年度体育产业从业人员</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万人</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≥5</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体育产业全职型从业人员</w:t>
            </w:r>
          </w:p>
        </w:tc>
        <w:tc>
          <w:tcPr>
            <w:tcW w:w="923" w:type="dxa"/>
            <w:tcBorders>
              <w:top w:val="single" w:color="auto" w:sz="0" w:space="0"/>
              <w:left w:val="single" w:color="auto" w:sz="0" w:space="0"/>
              <w:bottom w:val="single"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万人</w:t>
            </w:r>
          </w:p>
        </w:tc>
        <w:tc>
          <w:tcPr>
            <w:tcW w:w="1260" w:type="dxa"/>
            <w:tcBorders>
              <w:top w:val="single" w:color="auto" w:sz="0" w:space="0"/>
              <w:left w:val="single" w:color="auto" w:sz="0" w:space="0"/>
              <w:bottom w:val="single" w:color="000000" w:sz="8" w:space="0"/>
              <w:right w:val="in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≥2.5</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体育市场重大安全事故</w:t>
            </w:r>
          </w:p>
        </w:tc>
        <w:tc>
          <w:tcPr>
            <w:tcW w:w="923" w:type="dxa"/>
            <w:tcBorders>
              <w:top w:val="single" w:color="auto" w:sz="0" w:space="0"/>
              <w:left w:val="single" w:color="auto" w:sz="0" w:space="0"/>
              <w:bottom w:val="inset"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例</w:t>
            </w:r>
          </w:p>
        </w:tc>
        <w:tc>
          <w:tcPr>
            <w:tcW w:w="1260" w:type="dxa"/>
            <w:tcBorders>
              <w:top w:val="single" w:color="auto" w:sz="0" w:space="0"/>
              <w:left w:val="single" w:color="auto" w:sz="0" w:space="0"/>
              <w:bottom w:val="inset" w:color="000000" w:sz="8" w:space="0"/>
              <w:right w:val="in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0</w:t>
            </w:r>
          </w:p>
        </w:tc>
      </w:tr>
      <w:tr>
        <w:tblPrEx>
          <w:tblCellMar>
            <w:top w:w="0" w:type="dxa"/>
            <w:left w:w="0" w:type="dxa"/>
            <w:bottom w:w="0" w:type="dxa"/>
            <w:right w:w="0" w:type="dxa"/>
          </w:tblCellMar>
        </w:tblPrEx>
        <w:trPr>
          <w:trHeight w:val="425" w:hRule="atLeast"/>
          <w:jc w:val="center"/>
        </w:trPr>
        <w:tc>
          <w:tcPr>
            <w:tcW w:w="889" w:type="dxa"/>
            <w:vMerge w:val="restart"/>
            <w:tcBorders>
              <w:left w:val="outset" w:color="000000" w:sz="8" w:space="0"/>
              <w:right w:val="outset" w:color="000000" w:sz="8" w:space="0"/>
            </w:tcBorders>
            <w:noWrap w:val="0"/>
            <w:vAlign w:val="center"/>
          </w:tcPr>
          <w:p>
            <w:pPr>
              <w:widowControl/>
              <w:snapToGrid w:val="0"/>
              <w:spacing w:line="400" w:lineRule="exact"/>
              <w:jc w:val="center"/>
              <w:rPr>
                <w:rFonts w:hint="eastAsia"/>
                <w:sz w:val="24"/>
              </w:rPr>
            </w:pPr>
            <w:r>
              <w:rPr>
                <w:rFonts w:hint="eastAsia"/>
                <w:sz w:val="24"/>
              </w:rPr>
              <w:t>冬奥</w:t>
            </w:r>
          </w:p>
          <w:p>
            <w:pPr>
              <w:widowControl/>
              <w:snapToGrid w:val="0"/>
              <w:spacing w:line="400" w:lineRule="exact"/>
              <w:jc w:val="center"/>
              <w:rPr>
                <w:sz w:val="24"/>
              </w:rPr>
            </w:pPr>
            <w:r>
              <w:rPr>
                <w:rFonts w:hint="eastAsia"/>
                <w:sz w:val="24"/>
              </w:rPr>
              <w:t>保障</w:t>
            </w: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rFonts w:hint="eastAsia"/>
                <w:sz w:val="24"/>
              </w:rPr>
            </w:pPr>
            <w:r>
              <w:rPr>
                <w:rFonts w:hint="eastAsia"/>
                <w:sz w:val="24"/>
              </w:rPr>
              <w:t>冰雪场地面积</w:t>
            </w:r>
          </w:p>
        </w:tc>
        <w:tc>
          <w:tcPr>
            <w:tcW w:w="923" w:type="dxa"/>
            <w:tcBorders>
              <w:top w:val="single" w:color="auto" w:sz="0" w:space="0"/>
              <w:left w:val="single" w:color="auto" w:sz="0" w:space="0"/>
              <w:bottom w:val="inset" w:color="000000" w:sz="8" w:space="0"/>
              <w:right w:val="single"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2"/>
                <w:szCs w:val="22"/>
              </w:rPr>
              <w:t>万平方米</w:t>
            </w:r>
          </w:p>
        </w:tc>
        <w:tc>
          <w:tcPr>
            <w:tcW w:w="1260" w:type="dxa"/>
            <w:tcBorders>
              <w:top w:val="single" w:color="auto" w:sz="0" w:space="0"/>
              <w:left w:val="single" w:color="auto" w:sz="0" w:space="0"/>
              <w:bottom w:val="inset" w:color="000000" w:sz="8" w:space="0"/>
              <w:right w:val="in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≥100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rFonts w:hint="eastAsia"/>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区域参与冰雪运动人数</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万人次</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≥100</w:t>
            </w:r>
          </w:p>
        </w:tc>
      </w:tr>
      <w:tr>
        <w:tblPrEx>
          <w:tblCellMar>
            <w:top w:w="0" w:type="dxa"/>
            <w:left w:w="0" w:type="dxa"/>
            <w:bottom w:w="0" w:type="dxa"/>
            <w:right w:w="0" w:type="dxa"/>
          </w:tblCellMar>
        </w:tblPrEx>
        <w:trPr>
          <w:trHeight w:val="425" w:hRule="atLeast"/>
          <w:jc w:val="center"/>
        </w:trPr>
        <w:tc>
          <w:tcPr>
            <w:tcW w:w="889" w:type="dxa"/>
            <w:vMerge w:val="continue"/>
            <w:tcBorders>
              <w:left w:val="outset" w:color="000000" w:sz="8" w:space="0"/>
              <w:right w:val="outset" w:color="000000" w:sz="8" w:space="0"/>
            </w:tcBorders>
            <w:noWrap w:val="0"/>
            <w:vAlign w:val="center"/>
          </w:tcPr>
          <w:p>
            <w:pPr>
              <w:widowControl/>
              <w:snapToGrid w:val="0"/>
              <w:spacing w:line="400" w:lineRule="exact"/>
              <w:jc w:val="center"/>
              <w:rPr>
                <w:rFonts w:hint="eastAsia"/>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left="210" w:leftChars="100"/>
              <w:jc w:val="left"/>
              <w:rPr>
                <w:sz w:val="24"/>
              </w:rPr>
            </w:pPr>
            <w:r>
              <w:rPr>
                <w:rFonts w:hint="eastAsia"/>
                <w:sz w:val="24"/>
              </w:rPr>
              <w:t>平均每年区级以上冰雪赛事活动数量</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场</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rFonts w:hint="eastAsia"/>
                <w:sz w:val="24"/>
              </w:rPr>
            </w:pPr>
            <w:r>
              <w:rPr>
                <w:rFonts w:hint="eastAsia"/>
                <w:sz w:val="24"/>
              </w:rPr>
              <w:t>≥10</w:t>
            </w:r>
          </w:p>
        </w:tc>
      </w:tr>
      <w:tr>
        <w:tblPrEx>
          <w:tblCellMar>
            <w:top w:w="0" w:type="dxa"/>
            <w:left w:w="0" w:type="dxa"/>
            <w:bottom w:w="0" w:type="dxa"/>
            <w:right w:w="0" w:type="dxa"/>
          </w:tblCellMar>
        </w:tblPrEx>
        <w:trPr>
          <w:trHeight w:val="425" w:hRule="atLeast"/>
          <w:jc w:val="center"/>
        </w:trPr>
        <w:tc>
          <w:tcPr>
            <w:tcW w:w="889" w:type="dxa"/>
            <w:vMerge w:val="restart"/>
            <w:tcBorders>
              <w:left w:val="outset" w:color="000000" w:sz="8" w:space="0"/>
              <w:right w:val="outset" w:color="000000" w:sz="8" w:space="0"/>
            </w:tcBorders>
            <w:noWrap w:val="0"/>
            <w:vAlign w:val="center"/>
          </w:tcPr>
          <w:p>
            <w:pPr>
              <w:widowControl/>
              <w:snapToGrid w:val="0"/>
              <w:spacing w:line="400" w:lineRule="exact"/>
              <w:jc w:val="center"/>
              <w:rPr>
                <w:rFonts w:hint="eastAsia"/>
                <w:sz w:val="24"/>
              </w:rPr>
            </w:pPr>
            <w:r>
              <w:rPr>
                <w:rFonts w:hint="eastAsia"/>
                <w:sz w:val="24"/>
              </w:rPr>
              <w:t>文化</w:t>
            </w:r>
          </w:p>
          <w:p>
            <w:pPr>
              <w:widowControl/>
              <w:snapToGrid w:val="0"/>
              <w:spacing w:line="400" w:lineRule="exact"/>
              <w:jc w:val="center"/>
              <w:rPr>
                <w:b/>
                <w:bCs/>
                <w:sz w:val="24"/>
              </w:rPr>
            </w:pPr>
            <w:r>
              <w:rPr>
                <w:rFonts w:hint="eastAsia"/>
                <w:sz w:val="24"/>
              </w:rPr>
              <w:t>交流</w:t>
            </w: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left"/>
              <w:rPr>
                <w:sz w:val="24"/>
              </w:rPr>
            </w:pPr>
            <w:r>
              <w:rPr>
                <w:rFonts w:hint="eastAsia"/>
                <w:sz w:val="24"/>
              </w:rPr>
              <w:t xml:space="preserve">  平均每年体育文化宣传展示活动数量</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场</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≥1</w:t>
            </w:r>
          </w:p>
        </w:tc>
      </w:tr>
      <w:tr>
        <w:tblPrEx>
          <w:tblCellMar>
            <w:top w:w="0" w:type="dxa"/>
            <w:left w:w="0" w:type="dxa"/>
            <w:bottom w:w="0" w:type="dxa"/>
            <w:right w:w="0" w:type="dxa"/>
          </w:tblCellMar>
        </w:tblPrEx>
        <w:trPr>
          <w:trHeight w:val="446" w:hRule="atLeast"/>
          <w:jc w:val="center"/>
        </w:trPr>
        <w:tc>
          <w:tcPr>
            <w:tcW w:w="889" w:type="dxa"/>
            <w:vMerge w:val="continue"/>
            <w:tcBorders>
              <w:left w:val="outset" w:color="000000" w:sz="8" w:space="0"/>
              <w:bottom w:val="outset" w:color="000000" w:sz="8" w:space="0"/>
              <w:right w:val="outset" w:color="000000" w:sz="8" w:space="0"/>
            </w:tcBorders>
            <w:noWrap w:val="0"/>
            <w:vAlign w:val="center"/>
          </w:tcPr>
          <w:p>
            <w:pPr>
              <w:widowControl/>
              <w:snapToGrid w:val="0"/>
              <w:spacing w:line="400" w:lineRule="exact"/>
              <w:jc w:val="center"/>
              <w:rPr>
                <w:b/>
                <w:bCs/>
                <w:sz w:val="24"/>
              </w:rPr>
            </w:pPr>
          </w:p>
        </w:tc>
        <w:tc>
          <w:tcPr>
            <w:tcW w:w="5086"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ind w:firstLine="240" w:firstLineChars="100"/>
              <w:jc w:val="left"/>
              <w:rPr>
                <w:sz w:val="24"/>
              </w:rPr>
            </w:pPr>
            <w:r>
              <w:rPr>
                <w:rFonts w:hint="eastAsia"/>
                <w:sz w:val="24"/>
              </w:rPr>
              <w:t>平均每年京津冀体育交流活动数量</w:t>
            </w:r>
          </w:p>
        </w:tc>
        <w:tc>
          <w:tcPr>
            <w:tcW w:w="923"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场</w:t>
            </w:r>
          </w:p>
        </w:tc>
        <w:tc>
          <w:tcPr>
            <w:tcW w:w="1260" w:type="dxa"/>
            <w:tcBorders>
              <w:top w:val="single" w:color="auto" w:sz="0" w:space="0"/>
              <w:left w:val="single" w:color="auto" w:sz="0" w:space="0"/>
              <w:bottom w:val="outset" w:color="000000" w:sz="8" w:space="0"/>
              <w:right w:val="outset" w:color="000000" w:sz="8" w:space="0"/>
            </w:tcBorders>
            <w:noWrap w:val="0"/>
            <w:vAlign w:val="center"/>
          </w:tcPr>
          <w:p>
            <w:pPr>
              <w:widowControl/>
              <w:snapToGrid w:val="0"/>
              <w:spacing w:before="100" w:beforeAutospacing="1" w:after="100" w:afterAutospacing="1" w:line="400" w:lineRule="exact"/>
              <w:jc w:val="center"/>
              <w:rPr>
                <w:sz w:val="24"/>
              </w:rPr>
            </w:pPr>
            <w:r>
              <w:rPr>
                <w:rFonts w:hint="eastAsia"/>
                <w:sz w:val="24"/>
              </w:rPr>
              <w:t>≥1</w:t>
            </w:r>
          </w:p>
        </w:tc>
      </w:tr>
    </w:tbl>
    <w:p>
      <w:pPr>
        <w:pStyle w:val="2"/>
        <w:spacing w:after="0" w:afterLines="0"/>
        <w:ind w:firstLine="643" w:firstLineChars="200"/>
        <w:rPr>
          <w:rFonts w:ascii="黑体" w:hAnsi="黑体"/>
          <w:szCs w:val="32"/>
        </w:rPr>
      </w:pPr>
      <w:bookmarkStart w:id="186" w:name="_Toc9432"/>
      <w:bookmarkStart w:id="187" w:name="_Toc738"/>
      <w:bookmarkStart w:id="188" w:name="_Toc23504"/>
      <w:bookmarkStart w:id="189" w:name="_Toc22155"/>
      <w:r>
        <w:rPr>
          <w:rFonts w:hint="eastAsia" w:ascii="黑体" w:hAnsi="黑体"/>
          <w:szCs w:val="32"/>
        </w:rPr>
        <w:t>四、“十四五”时期体育发展的主要任务</w:t>
      </w:r>
      <w:bookmarkEnd w:id="186"/>
      <w:bookmarkEnd w:id="187"/>
      <w:bookmarkEnd w:id="188"/>
      <w:bookmarkEnd w:id="189"/>
    </w:p>
    <w:p>
      <w:pPr>
        <w:pStyle w:val="3"/>
        <w:bidi w:val="0"/>
        <w:rPr>
          <w:rFonts w:hint="eastAsia" w:ascii="Calibri" w:hAnsi="Calibri"/>
        </w:rPr>
      </w:pPr>
      <w:bookmarkStart w:id="190" w:name="_Toc21389"/>
      <w:bookmarkStart w:id="191" w:name="_Toc14059"/>
      <w:bookmarkStart w:id="192" w:name="_Toc6307"/>
      <w:bookmarkStart w:id="193" w:name="_Toc9505"/>
      <w:r>
        <w:rPr>
          <w:rFonts w:hint="eastAsia" w:ascii="Calibri" w:hAnsi="Calibri"/>
        </w:rPr>
        <w:t>（一）全民健身公共体育服务水平达新高度</w:t>
      </w:r>
      <w:bookmarkEnd w:id="190"/>
      <w:bookmarkEnd w:id="191"/>
      <w:bookmarkEnd w:id="192"/>
      <w:bookmarkEnd w:id="193"/>
    </w:p>
    <w:p>
      <w:pPr>
        <w:pStyle w:val="4"/>
        <w:ind w:firstLine="643" w:firstLineChars="200"/>
        <w:rPr>
          <w:rFonts w:hint="eastAsia" w:ascii="Times New Roman" w:hAnsi="Times New Roman" w:eastAsia="仿宋_GB2312"/>
        </w:rPr>
      </w:pPr>
      <w:bookmarkStart w:id="194" w:name="_Toc31261"/>
      <w:bookmarkStart w:id="195" w:name="_Toc32270"/>
      <w:bookmarkStart w:id="196" w:name="_Toc19013"/>
      <w:bookmarkStart w:id="197" w:name="_Toc30822"/>
      <w:r>
        <w:rPr>
          <w:rFonts w:hint="eastAsia" w:ascii="Times New Roman" w:hAnsi="Times New Roman" w:eastAsia="仿宋_GB2312"/>
        </w:rPr>
        <w:t>1.</w:t>
      </w:r>
      <w:r>
        <w:rPr>
          <w:rFonts w:hint="eastAsia" w:ascii="Times New Roman" w:eastAsia="仿宋_GB2312"/>
        </w:rPr>
        <w:t>政策指引，双管齐下，完善全民健身公共服务体系</w:t>
      </w:r>
      <w:bookmarkEnd w:id="194"/>
      <w:bookmarkEnd w:id="195"/>
      <w:bookmarkEnd w:id="196"/>
      <w:bookmarkEnd w:id="19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强化政府基本公共服务兜底职能，将全民健身资金列入财政预算。健全区全民健身工作区、街（乡）、社区（村）三级系统组织管理智慧化网络，抓好全民健身“六个身边</w:t>
      </w:r>
      <w:r>
        <w:rPr>
          <w:rFonts w:ascii="Times New Roman" w:hAnsi="Times New Roman" w:eastAsia="仿宋_GB2312"/>
          <w:sz w:val="32"/>
          <w:szCs w:val="32"/>
        </w:rPr>
        <w:t>”</w:t>
      </w:r>
      <w:r>
        <w:rPr>
          <w:rFonts w:hint="eastAsia" w:ascii="Times New Roman" w:hAnsi="Times New Roman" w:eastAsia="仿宋_GB2312"/>
          <w:sz w:val="32"/>
          <w:szCs w:val="32"/>
        </w:rPr>
        <w:t>工程建设和相关体育资源的配置及监管工作，全面创建市级全民健身示范街道和体育特色乡，逐步推动基本公共体育服务在城乡、行业和人群间的均等化。</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进一步落实全民健身国家战略，助力健康朝阳建设，统筹制定并实施《朝阳区全民健身实施计划（2021—2025年）》和《朝阳区社区体育基本服务标准》。发挥专业服务机构的业务能力，尝试探索公共体育服务社会化运作模式，通过完善政府购买服务政策，制定《朝阳区购买公共体育服务指导性目录（2021—2025年）》，把政府直接提供的一部分公共体育服务事项以及政府履职所需服务事项，按照一定的方式和程序，向具备条件的体育社团、社会力量和事业单位采购。</w:t>
      </w:r>
    </w:p>
    <w:p>
      <w:pPr>
        <w:pStyle w:val="4"/>
        <w:ind w:firstLine="643" w:firstLineChars="200"/>
        <w:rPr>
          <w:rFonts w:hint="eastAsia" w:ascii="Times New Roman" w:hAnsi="Times New Roman" w:eastAsia="仿宋_GB2312"/>
        </w:rPr>
      </w:pPr>
      <w:bookmarkStart w:id="198" w:name="_Toc19011"/>
      <w:bookmarkStart w:id="199" w:name="_Toc451"/>
      <w:bookmarkStart w:id="200" w:name="_Toc31276"/>
      <w:bookmarkStart w:id="201" w:name="_Toc8939"/>
      <w:r>
        <w:rPr>
          <w:rFonts w:hint="eastAsia" w:ascii="Times New Roman" w:hAnsi="Times New Roman" w:eastAsia="仿宋_GB2312"/>
        </w:rPr>
        <w:t>2.</w:t>
      </w:r>
      <w:r>
        <w:rPr>
          <w:rFonts w:hint="eastAsia" w:ascii="Times New Roman" w:eastAsia="仿宋_GB2312"/>
        </w:rPr>
        <w:t>筹地巧建，分类智配，升级全民健身场地设施体系</w:t>
      </w:r>
      <w:bookmarkEnd w:id="198"/>
      <w:bookmarkEnd w:id="199"/>
      <w:bookmarkEnd w:id="200"/>
      <w:bookmarkEnd w:id="201"/>
    </w:p>
    <w:p>
      <w:pPr>
        <w:spacing w:line="600" w:lineRule="exact"/>
        <w:ind w:firstLine="640" w:firstLineChars="200"/>
        <w:jc w:val="left"/>
        <w:rPr>
          <w:rFonts w:ascii="Times New Roman" w:hAnsi="Times New Roman" w:eastAsia="仿宋_GB2312"/>
          <w:sz w:val="32"/>
          <w:szCs w:val="32"/>
        </w:rPr>
      </w:pPr>
      <w:r>
        <w:rPr>
          <w:rFonts w:hint="eastAsia" w:ascii="Times New Roman" w:hAnsi="Times New Roman" w:eastAsia="仿宋_GB2312"/>
          <w:sz w:val="32"/>
          <w:szCs w:val="32"/>
        </w:rPr>
        <w:t>按照朝阳区体育设施空间布局专项规划（2018年－2035年）和《朝阳区公共体育场地设施规划（2021年-2025年）》的要求和标准，多方筹集利用土地资源，区级层面，利用规划公共体育用地建设大、中型综合性体育场地设施，利用各类公园、河湖、绿地建设朝阳区绿色生态休闲健身活动空间体系；街道级层面，利用现有疏解腾退用地120处（共计122.6万平方米）设置依托街区的体育设施；社区级层面，利用城市“金角银边”（闲置用地和边角地）分散建设室外健身路径器材或其他适合于场地面积的健身活动场地，充分挖掘现有设施潜力，统筹利用楼宇、地下空间，提高综合利用效益和健身设施的可及性。逐步建成区级－街道级－社区级健身场地设施网络，人均体育场地面积达到2.55 m</w:t>
      </w:r>
      <w:r>
        <w:rPr>
          <w:rFonts w:hint="eastAsia" w:ascii="Times New Roman" w:hAnsi="Times New Roman" w:eastAsia="仿宋_GB2312"/>
          <w:sz w:val="32"/>
          <w:szCs w:val="32"/>
          <w:vertAlign w:val="superscript"/>
        </w:rPr>
        <w:t>2</w:t>
      </w:r>
      <w:r>
        <w:rPr>
          <w:rFonts w:hint="eastAsia" w:ascii="Times New Roman" w:hAnsi="Times New Roman" w:eastAsia="仿宋_GB2312"/>
          <w:sz w:val="32"/>
          <w:szCs w:val="32"/>
        </w:rPr>
        <w:t>/人以上，形成内容更加丰富的“一刻钟健身圈”。新建居住区和社区按照“室内人均建筑面积不低于0.1平方米或室外人均用地不低于0.3平方米”的标准配建全民健身设施。进一步扩大各级各类学校体育场地场馆在闲时对公众的开放程度。新建或改建的体育场地设施要以智能型、科技型为主，力争将现有场地设施进行智慧化升级，利用软件服务化、小程序等技术手段优化区级体育健身场地信息服务系统，尝试建立全民健身电子“一卡通”信息系统。结合朝阳区“网球特色区”、“三大球”建设，重点不断增加网球和“三大球”场地数量。鼓励社会力量参与体育场地设施服务供给体系，推动现有体育场地和场馆的“双改”（改造功能、改革机制）工作，形成一批兼具社会效应和经济效益的“双改”示范场馆。</w:t>
      </w:r>
    </w:p>
    <w:p>
      <w:pPr>
        <w:pStyle w:val="4"/>
        <w:ind w:firstLine="643" w:firstLineChars="200"/>
        <w:rPr>
          <w:rFonts w:hint="eastAsia" w:ascii="Times New Roman" w:hAnsi="Times New Roman" w:eastAsia="仿宋_GB2312"/>
        </w:rPr>
      </w:pPr>
      <w:bookmarkStart w:id="202" w:name="_Toc29620"/>
      <w:bookmarkStart w:id="203" w:name="_Toc10254"/>
      <w:bookmarkStart w:id="204" w:name="_Toc24684"/>
      <w:bookmarkStart w:id="205" w:name="_Toc6171"/>
      <w:r>
        <w:rPr>
          <w:rFonts w:hint="eastAsia" w:ascii="Times New Roman" w:hAnsi="Times New Roman" w:eastAsia="仿宋_GB2312"/>
        </w:rPr>
        <w:t>3.</w:t>
      </w:r>
      <w:r>
        <w:rPr>
          <w:rFonts w:hint="eastAsia" w:ascii="Times New Roman" w:eastAsia="仿宋_GB2312"/>
        </w:rPr>
        <w:t>精品引领，全民共享，丰富全民健身赛事活动体系</w:t>
      </w:r>
      <w:bookmarkEnd w:id="202"/>
      <w:bookmarkEnd w:id="203"/>
      <w:bookmarkEnd w:id="204"/>
      <w:bookmarkEnd w:id="205"/>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以“增强居民健身意识，提升身体素质水平，增加美好生活内容”为宗旨，建立由区级－街道级－社区级三级全民健身赛事活动体系，举办丰富多彩的各类全民健身赛事活动，强化赛事活动数量和质量在全市的引领性。打造3-5项区级精品赛事，10项街道社区级传统优质赛事活动，继续举办足球、篮球、排球、网球、冰雪运动、羽毛球、乒乓球、游泳、广场舞等项目的单项区级联赛，塑造朝阳区“民间CBA”篮球联赛、“民间大满贯”网球联赛等区域品牌。以普及推进网球进校园为主体，以组织具有朝阳特色赛事为抓手，通过“三进活动”（进校园、进公园、进社区）大力推动区域网球普及，大幅度提升网球人口。运用各类新媒体实现线上线下的赛事互动体验，扩大赛事参与人群覆盖面，营造全民日常健身活动氛围。鼓励机关、团体、企事业单位、学校等单位广泛举办各类体育比赛与活动，引导支持体育社会组织等社会力量举办群众性体育赛事活动。</w:t>
      </w:r>
    </w:p>
    <w:p>
      <w:pPr>
        <w:pStyle w:val="4"/>
        <w:ind w:firstLine="643" w:firstLineChars="200"/>
        <w:rPr>
          <w:rFonts w:hint="eastAsia" w:ascii="Times New Roman" w:hAnsi="Times New Roman" w:eastAsia="仿宋_GB2312"/>
        </w:rPr>
      </w:pPr>
      <w:bookmarkStart w:id="206" w:name="_Toc30990"/>
      <w:bookmarkStart w:id="207" w:name="_Toc14327"/>
      <w:bookmarkStart w:id="208" w:name="_Toc13411"/>
      <w:bookmarkStart w:id="209" w:name="_Toc12957"/>
      <w:r>
        <w:rPr>
          <w:rFonts w:hint="eastAsia" w:ascii="Times New Roman" w:hAnsi="Times New Roman" w:eastAsia="仿宋_GB2312"/>
        </w:rPr>
        <w:t>4.</w:t>
      </w:r>
      <w:r>
        <w:rPr>
          <w:rFonts w:hint="eastAsia" w:ascii="Times New Roman" w:eastAsia="仿宋_GB2312"/>
        </w:rPr>
        <w:t>下沉搭建，改革提质，优化全民健身组织网络体系</w:t>
      </w:r>
      <w:bookmarkEnd w:id="206"/>
      <w:bookmarkEnd w:id="207"/>
      <w:bookmarkEnd w:id="208"/>
      <w:bookmarkEnd w:id="209"/>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继续优化全民健身工作区、街（乡）、社区（村）三级系统体协组织管理网络，推进“三下沉”，即重心下沉、资源下沉、服务下沉，在有条件的社区搭建“六个一”基层健身组织体系，即一站（晨晚练辅导站）、一场（社区文体活动广场或社区健身俱乐部）、一会（运动项目协会）、一项（特色健身项目）、一队（高水平的表演展示团队）、一批（社会体育指导员和裁判员）。不断扩增区级体育协会数量并推动协会通过“企业式”或“联盟式”加速实体化改革进程，制定协会实体化后运营扶持及指导办法，设立体育社会组织专项扶持资金。</w:t>
      </w:r>
    </w:p>
    <w:p>
      <w:pPr>
        <w:pStyle w:val="4"/>
        <w:ind w:firstLine="643" w:firstLineChars="200"/>
        <w:rPr>
          <w:rFonts w:hint="eastAsia" w:ascii="Times New Roman" w:hAnsi="Times New Roman" w:eastAsia="仿宋_GB2312"/>
        </w:rPr>
      </w:pPr>
      <w:bookmarkStart w:id="210" w:name="_Toc17861"/>
      <w:bookmarkStart w:id="211" w:name="_Toc278"/>
      <w:bookmarkStart w:id="212" w:name="_Toc17569"/>
      <w:bookmarkStart w:id="213" w:name="_Toc31703"/>
      <w:r>
        <w:rPr>
          <w:rFonts w:hint="eastAsia" w:ascii="Times New Roman" w:hAnsi="Times New Roman" w:eastAsia="仿宋_GB2312"/>
        </w:rPr>
        <w:t>5.</w:t>
      </w:r>
      <w:r>
        <w:rPr>
          <w:rFonts w:hint="eastAsia" w:ascii="Times New Roman" w:eastAsia="仿宋_GB2312"/>
        </w:rPr>
        <w:t>以人为本，关爱重点，建立全民健身人群促动机制</w:t>
      </w:r>
      <w:bookmarkEnd w:id="210"/>
      <w:bookmarkEnd w:id="211"/>
      <w:bookmarkEnd w:id="212"/>
      <w:bookmarkEnd w:id="213"/>
      <w:r>
        <w:rPr>
          <w:rFonts w:hint="eastAsia" w:ascii="Times New Roman" w:hAnsi="Times New Roman" w:eastAsia="仿宋_GB2312"/>
        </w:rPr>
        <w:t xml:space="preserve"> </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针对校内与校外、上班与下班、工作与退休等人群特点，搭建以社区为重要抓手，集健身指导、社区赛事、体质测试等多功能为一体的参与平台，激发全民健身参与活力，形成政社互动、全民健身与业余训练融合发展的运作模式。以老年人、残疾人、少数民族群体作为社区体育重点关爱对象，依托各街乡、社区、村全民健身工作委员会，将老年人、残疾人、少数民族全民健身工作列入社区公共服务的重要内容，科学指导不同人群积极参与全民健身活动；成立朝阳区幼儿体育促进会（暂定名），打造区域幼儿园幼儿体育特色项目和品牌赛事活动，举办朝阳区幼儿体育大会（暂定名）；联合区残联加强对残疾人的体育康复、体育培训、体育竞赛等服务力度。每年培养的社会体育指导员再培训、再提升率达100%，建立起社会体育指导员在群众中监测和督促机制，研究探索建立社会体育指导员退出机制，建立社会体育指导员名录库，促使社会体育指导员100%发挥作用，社会体育指导员要积极动员和组织基层社区居民参与到各类体育表演、业余赛事中，协助参与者提高健身技能水平，协助各类全民健身活动的开展，引领健身休闲新风尚，促进不同社团之间的交流，共建美好和谐的健身体育交流圈，带动更多的人加入到社会体育中来，促进社会和谐共进与协调发展。</w:t>
      </w:r>
    </w:p>
    <w:p>
      <w:pPr>
        <w:pStyle w:val="4"/>
        <w:ind w:firstLine="643" w:firstLineChars="200"/>
        <w:rPr>
          <w:rFonts w:hint="eastAsia" w:ascii="Times New Roman" w:hAnsi="Times New Roman" w:eastAsia="仿宋_GB2312"/>
        </w:rPr>
      </w:pPr>
      <w:bookmarkStart w:id="214" w:name="_Toc15034"/>
      <w:bookmarkStart w:id="215" w:name="_Toc3531"/>
      <w:bookmarkStart w:id="216" w:name="_Toc10898"/>
      <w:bookmarkStart w:id="217" w:name="_Toc14333"/>
      <w:r>
        <w:rPr>
          <w:rFonts w:hint="eastAsia" w:ascii="Times New Roman" w:hAnsi="Times New Roman" w:eastAsia="仿宋_GB2312"/>
        </w:rPr>
        <w:t>6.</w:t>
      </w:r>
      <w:r>
        <w:rPr>
          <w:rFonts w:hint="eastAsia" w:ascii="Times New Roman" w:eastAsia="仿宋_GB2312"/>
        </w:rPr>
        <w:t>科学护航，智能升级，构建新基建上的数字化体系</w:t>
      </w:r>
      <w:bookmarkEnd w:id="214"/>
      <w:bookmarkEnd w:id="215"/>
      <w:bookmarkEnd w:id="216"/>
      <w:bookmarkEnd w:id="217"/>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倡导“运动是良医”的理念，健康关口前移，充分发挥朝阳区体质健康指导中心和体科所作用，进一步探索“体医结合”新模式，为测试人群提供科学的运动处方及健康生活习惯指导意见，举办线上或线下科学健身讲座，鼓励增加针对不同人群的体质监测和健身指导供给服务，开展高血压、糖尿病、肥胖病等常见慢性疾病运动干预和运动康复。</w:t>
      </w:r>
      <w:r>
        <w:rPr>
          <w:rFonts w:hint="eastAsia" w:ascii="Times New Roman" w:hAnsi="Times New Roman" w:eastAsia="仿宋_GB2312" w:cs="Arial"/>
          <w:kern w:val="0"/>
          <w:sz w:val="32"/>
          <w:szCs w:val="32"/>
        </w:rPr>
        <w:t>鼓励</w:t>
      </w:r>
      <w:r>
        <w:rPr>
          <w:rFonts w:ascii="Times New Roman" w:hAnsi="Times New Roman" w:eastAsia="仿宋_GB2312" w:cs="Arial"/>
          <w:kern w:val="0"/>
          <w:sz w:val="32"/>
          <w:szCs w:val="32"/>
        </w:rPr>
        <w:t>高校、医院和研究所等</w:t>
      </w:r>
      <w:r>
        <w:rPr>
          <w:rFonts w:hint="eastAsia" w:ascii="Times New Roman" w:hAnsi="Times New Roman" w:eastAsia="仿宋_GB2312" w:cs="Arial"/>
          <w:kern w:val="0"/>
          <w:sz w:val="32"/>
          <w:szCs w:val="32"/>
        </w:rPr>
        <w:t>探索</w:t>
      </w:r>
      <w:r>
        <w:rPr>
          <w:rFonts w:ascii="Times New Roman" w:hAnsi="Times New Roman" w:eastAsia="仿宋_GB2312" w:cs="Arial"/>
          <w:kern w:val="0"/>
          <w:sz w:val="32"/>
          <w:szCs w:val="32"/>
        </w:rPr>
        <w:t>“</w:t>
      </w:r>
      <w:r>
        <w:rPr>
          <w:rFonts w:hint="eastAsia" w:ascii="Times New Roman" w:hAnsi="Times New Roman" w:eastAsia="仿宋_GB2312" w:cs="Arial"/>
          <w:kern w:val="0"/>
          <w:sz w:val="32"/>
          <w:szCs w:val="32"/>
        </w:rPr>
        <w:t>体医融合</w:t>
      </w:r>
      <w:r>
        <w:rPr>
          <w:rFonts w:ascii="Times New Roman" w:hAnsi="Times New Roman" w:eastAsia="仿宋_GB2312" w:cs="Arial"/>
          <w:kern w:val="0"/>
          <w:sz w:val="32"/>
          <w:szCs w:val="32"/>
        </w:rPr>
        <w:t>”</w:t>
      </w:r>
      <w:r>
        <w:rPr>
          <w:rFonts w:hint="eastAsia" w:ascii="Times New Roman" w:hAnsi="Times New Roman" w:eastAsia="仿宋_GB2312" w:cs="Arial"/>
          <w:kern w:val="0"/>
          <w:sz w:val="32"/>
          <w:szCs w:val="32"/>
        </w:rPr>
        <w:t>新模式</w:t>
      </w:r>
      <w:r>
        <w:rPr>
          <w:rFonts w:ascii="Times New Roman" w:hAnsi="Times New Roman" w:eastAsia="仿宋_GB2312" w:cs="Arial"/>
          <w:kern w:val="0"/>
          <w:sz w:val="32"/>
          <w:szCs w:val="32"/>
        </w:rPr>
        <w:t>，发挥体育运动康复</w:t>
      </w:r>
      <w:r>
        <w:rPr>
          <w:rFonts w:hint="eastAsia" w:ascii="Times New Roman" w:hAnsi="Times New Roman" w:eastAsia="仿宋_GB2312" w:cs="Arial"/>
          <w:kern w:val="0"/>
          <w:sz w:val="32"/>
          <w:szCs w:val="32"/>
        </w:rPr>
        <w:t>职能</w:t>
      </w:r>
      <w:r>
        <w:rPr>
          <w:rFonts w:ascii="Times New Roman" w:hAnsi="Times New Roman" w:eastAsia="仿宋_GB2312" w:cs="Arial"/>
          <w:kern w:val="0"/>
          <w:sz w:val="32"/>
          <w:szCs w:val="32"/>
        </w:rPr>
        <w:t>，</w:t>
      </w:r>
      <w:r>
        <w:rPr>
          <w:rFonts w:hint="eastAsia" w:ascii="Times New Roman" w:hAnsi="Times New Roman" w:eastAsia="仿宋_GB2312" w:cs="仿宋_GB2312"/>
          <w:sz w:val="32"/>
          <w:szCs w:val="32"/>
        </w:rPr>
        <w:t>探索体质监测与健康指导、公共卫生、疾病防治相结合的发展模式。</w:t>
      </w:r>
      <w:r>
        <w:rPr>
          <w:rFonts w:hint="eastAsia" w:ascii="Times New Roman" w:hAnsi="Times New Roman" w:eastAsia="仿宋_GB2312"/>
          <w:sz w:val="32"/>
          <w:szCs w:val="32"/>
        </w:rPr>
        <w:t>与区卫健委、首都体育学院共同合作建立脑卒中等慢性病预防与健康研究课题，打造健康朝阳。</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借力新基建，运用物联网、云计算、大数据等新信息技术，促进朝阳区体育场馆活动预订、赛事信息发布、经营服务统计等整合应用，推进智慧健身路径和智慧健身步道建设。鼓励社会力量建设分布于城乡社区、重点商圈、工业园区的智慧健身中心、智慧健身馆。依托已有资源，提升朝阳区智慧化全民健身公共服务能力，实现资源整合、数据共享，加强分析应用。</w:t>
      </w:r>
    </w:p>
    <w:p>
      <w:pPr>
        <w:pStyle w:val="3"/>
        <w:bidi w:val="0"/>
        <w:rPr>
          <w:rFonts w:hint="eastAsia" w:ascii="Calibri" w:hAnsi="Calibri"/>
        </w:rPr>
      </w:pPr>
      <w:bookmarkStart w:id="218" w:name="_Toc25288"/>
      <w:bookmarkStart w:id="219" w:name="_Toc19497"/>
      <w:bookmarkStart w:id="220" w:name="_Toc16942"/>
      <w:bookmarkStart w:id="221" w:name="_Toc22004"/>
      <w:r>
        <w:rPr>
          <w:rFonts w:hint="eastAsia" w:ascii="Calibri" w:hAnsi="Calibri"/>
        </w:rPr>
        <w:t>（二）青少年体育实力继续领先融入新内涵</w:t>
      </w:r>
      <w:bookmarkEnd w:id="218"/>
      <w:bookmarkEnd w:id="219"/>
      <w:bookmarkEnd w:id="220"/>
      <w:bookmarkEnd w:id="221"/>
    </w:p>
    <w:p>
      <w:pPr>
        <w:pStyle w:val="4"/>
        <w:ind w:firstLine="643" w:firstLineChars="200"/>
        <w:rPr>
          <w:rFonts w:hint="eastAsia" w:ascii="Times New Roman" w:hAnsi="Times New Roman" w:eastAsia="仿宋_GB2312"/>
        </w:rPr>
      </w:pPr>
      <w:bookmarkStart w:id="222" w:name="_Toc23707"/>
      <w:bookmarkStart w:id="223" w:name="_Toc4756"/>
      <w:bookmarkStart w:id="224" w:name="_Toc25606"/>
      <w:bookmarkStart w:id="225" w:name="_Toc30043"/>
      <w:r>
        <w:rPr>
          <w:rFonts w:hint="eastAsia" w:ascii="Times New Roman" w:hAnsi="Times New Roman" w:eastAsia="仿宋_GB2312"/>
        </w:rPr>
        <w:t>1.</w:t>
      </w:r>
      <w:r>
        <w:rPr>
          <w:rFonts w:hint="eastAsia" w:ascii="Times New Roman" w:eastAsia="仿宋_GB2312"/>
        </w:rPr>
        <w:t>深化体教融合，理顺青少年体育运行机制</w:t>
      </w:r>
      <w:bookmarkEnd w:id="222"/>
      <w:bookmarkEnd w:id="223"/>
      <w:bookmarkEnd w:id="224"/>
      <w:bookmarkEnd w:id="225"/>
    </w:p>
    <w:p>
      <w:pPr>
        <w:pStyle w:val="14"/>
        <w:widowControl/>
        <w:spacing w:before="0" w:beforeAutospacing="0" w:after="0" w:afterAutospacing="0"/>
        <w:ind w:firstLine="640" w:firstLineChars="200"/>
        <w:rPr>
          <w:rFonts w:hint="eastAsia" w:ascii="Times New Roman" w:hAnsi="Times New Roman" w:eastAsia="仿宋_GB2312"/>
          <w:kern w:val="2"/>
          <w:sz w:val="32"/>
          <w:szCs w:val="32"/>
        </w:rPr>
      </w:pPr>
      <w:r>
        <w:rPr>
          <w:rFonts w:hint="eastAsia" w:ascii="Times New Roman" w:hAnsi="Times New Roman" w:eastAsia="仿宋_GB2312"/>
          <w:kern w:val="2"/>
          <w:sz w:val="32"/>
          <w:szCs w:val="32"/>
        </w:rPr>
        <w:t>细化落实《关于深化体教融合 促进青少年健康发展的意见》，按照一体化设计、一体化推进原则研究制定《朝阳区关于深化体教融合 促进青少年健康发展的实施方案》，明确区体育局与教育局的责任，以普及与提高青少年身体素质和运动能力为核心，建立任务明确、措施完善、保障有力、奖惩严明的组织管理体系和制度，推进体教融合工作常态化。将青少年体质健康促进与后备人才培养有机融合，建立体育特色幼儿园、中小学（含传统特色学校和训练网点校）、业余体校（青少年体育训练中心）和青少年体育俱乐部的“四位一体”的项目普及、体质提升、人才选拔和精英培养机制。</w:t>
      </w:r>
    </w:p>
    <w:p>
      <w:pPr>
        <w:pStyle w:val="4"/>
        <w:ind w:firstLine="643" w:firstLineChars="200"/>
        <w:rPr>
          <w:rFonts w:hint="eastAsia" w:ascii="Times New Roman" w:hAnsi="Times New Roman" w:eastAsia="仿宋_GB2312"/>
        </w:rPr>
      </w:pPr>
      <w:bookmarkStart w:id="226" w:name="_Toc5653"/>
      <w:bookmarkStart w:id="227" w:name="_Toc24496"/>
      <w:bookmarkStart w:id="228" w:name="_Toc13715"/>
      <w:bookmarkStart w:id="229" w:name="_Toc22163"/>
      <w:r>
        <w:rPr>
          <w:rFonts w:hint="eastAsia" w:ascii="Times New Roman" w:hAnsi="Times New Roman" w:eastAsia="仿宋_GB2312"/>
        </w:rPr>
        <w:t>2.</w:t>
      </w:r>
      <w:r>
        <w:rPr>
          <w:rFonts w:hint="eastAsia" w:ascii="Times New Roman" w:eastAsia="仿宋_GB2312"/>
        </w:rPr>
        <w:t>提升体育素养，发挥运动中育身育心功能</w:t>
      </w:r>
      <w:bookmarkEnd w:id="226"/>
      <w:bookmarkEnd w:id="227"/>
      <w:bookmarkEnd w:id="228"/>
      <w:bookmarkEnd w:id="229"/>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树立体育育人理念，促进青少年身心健康，保持学生体质监测合格率位居全市前列。联合教育部门共同推动中小学生掌握两项以上运动技能，从激发学生体育兴趣出发，强化体育课与课外锻炼，形成丰富的“三点半后体育活动”和“每天校园锻炼1小时”内容体系和常态化机制。以学生体育课程达标、三大球联赛、暑期赛事活动以及青少年体育俱乐部联赛等为抓手，逐步养成爱运动、自觉锻炼的习惯和终身体育意识。推动体育传统特色学校建设，鼓励其建立高水平运动队。普及冰雪运动项目文化，继续深入开展冰壶、滑冰、滑雪等冰雪运动技能提升活动。关注推动幼儿体育发展，鼓励区域幼儿园设立至少一项幼儿特色体育项目。</w:t>
      </w:r>
    </w:p>
    <w:p>
      <w:pPr>
        <w:pStyle w:val="4"/>
        <w:ind w:firstLine="643" w:firstLineChars="200"/>
        <w:rPr>
          <w:rFonts w:hint="eastAsia" w:ascii="Times New Roman" w:hAnsi="Times New Roman" w:eastAsia="仿宋_GB2312"/>
        </w:rPr>
      </w:pPr>
      <w:bookmarkStart w:id="230" w:name="_Toc15520"/>
      <w:bookmarkStart w:id="231" w:name="_Toc14945"/>
      <w:bookmarkStart w:id="232" w:name="_Toc13985"/>
      <w:bookmarkStart w:id="233" w:name="_Toc13317"/>
      <w:r>
        <w:rPr>
          <w:rFonts w:hint="eastAsia" w:ascii="Times New Roman" w:hAnsi="Times New Roman" w:eastAsia="仿宋_GB2312"/>
        </w:rPr>
        <w:t>3.</w:t>
      </w:r>
      <w:r>
        <w:rPr>
          <w:rFonts w:hint="eastAsia" w:ascii="Times New Roman" w:eastAsia="仿宋_GB2312"/>
        </w:rPr>
        <w:t>优化项目布局，构建科学高效的训练体系</w:t>
      </w:r>
      <w:bookmarkEnd w:id="230"/>
      <w:bookmarkEnd w:id="231"/>
      <w:bookmarkEnd w:id="232"/>
      <w:bookmarkEnd w:id="233"/>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立足市运会，瞄准青运会、全运会，遵循训练、竞赛和文化学习规律，着力抓好科学选材、训练和保障，努力提升竞技体育发展内涵、训练水平和综合效益，建立以为朝阳争光为目标的科学化青少年竞技体育训练体系。合理布局区业余训练项目，确保28个市运会大项全覆盖，延续游泳、网球、“三大球”、射击、射箭、皮划艇、赛艇、橄榄球、田径等优势特色项目各年龄梯队建设，促进夏季项目和冬季项目、奥运项目和非奥运项目协调发展。把中小学校作为后备人才培养的重要基地之一，提高运动员思想和文化水平，让更多的优秀运动员从学校走出来。在训练组织中，认真编撰符合本区情况的训练大纲，严格施训，确保训练人员、训练时间、训练内容、训练效果四落实，扎实打牢运动员的训练基础。加大科研经费投入，增加训练过程中科研监测力度和频度，系统完善运动员数据库功能，深入挖掘应用效能。加强科研攻关、</w:t>
      </w:r>
      <w:r>
        <w:rPr>
          <w:rFonts w:hint="eastAsia" w:ascii="Times New Roman" w:hAnsi="Times New Roman" w:eastAsia="仿宋_GB2312" w:cs="仿宋_GB2312"/>
          <w:sz w:val="32"/>
          <w:szCs w:val="32"/>
        </w:rPr>
        <w:t>科技服务和保障工作</w:t>
      </w:r>
      <w:r>
        <w:rPr>
          <w:rFonts w:hint="eastAsia" w:ascii="Times New Roman" w:hAnsi="Times New Roman" w:eastAsia="仿宋_GB2312"/>
          <w:sz w:val="32"/>
          <w:szCs w:val="32"/>
        </w:rPr>
        <w:t>，强化训练质量和督导，全面提升业余训练科学化水平。</w:t>
      </w:r>
    </w:p>
    <w:p>
      <w:pPr>
        <w:pStyle w:val="4"/>
        <w:ind w:firstLine="643" w:firstLineChars="200"/>
        <w:rPr>
          <w:rFonts w:hint="eastAsia" w:ascii="Times New Roman" w:hAnsi="Times New Roman" w:eastAsia="仿宋_GB2312"/>
        </w:rPr>
      </w:pPr>
      <w:bookmarkStart w:id="234" w:name="_Toc30263"/>
      <w:bookmarkStart w:id="235" w:name="_Toc4488"/>
      <w:bookmarkStart w:id="236" w:name="_Toc16839"/>
      <w:bookmarkStart w:id="237" w:name="_Toc1474"/>
      <w:r>
        <w:rPr>
          <w:rFonts w:hint="eastAsia" w:ascii="Times New Roman" w:hAnsi="Times New Roman" w:eastAsia="仿宋_GB2312"/>
        </w:rPr>
        <w:t>4.</w:t>
      </w:r>
      <w:r>
        <w:rPr>
          <w:rFonts w:hint="eastAsia" w:ascii="Times New Roman" w:eastAsia="仿宋_GB2312"/>
        </w:rPr>
        <w:t>保持成绩领先，提升体育竞赛质量和品牌</w:t>
      </w:r>
      <w:bookmarkEnd w:id="234"/>
      <w:bookmarkEnd w:id="235"/>
      <w:bookmarkEnd w:id="236"/>
      <w:bookmarkEnd w:id="23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充分发挥体育竞赛的杠杆作用，以赛促练提升能效。确保市运会备战和参赛顺利进行，参加2022年北京市第十六届运动会力争实现项目全覆盖，力争保持团体总分和金牌总数位居前列，但不以竞技比赛成绩作为衡量工作绩效的唯一标准，努力取得运动成绩和精神文明双丰收。联合教育局共同举办或承办各级别多项目的青少年体育比赛，提升青少年区级联赛质量和加速联赛品牌化进程。以打造“网球特色区”和2022年冬奥会为契机，打造以国际水平赛事为龙头的多年龄段网球和冰雪运动青少年赛事体系，提升我区青少年网球和冰雪运动竞技运动水平。建立“三大球”校园联盟，完善青少年“三大球”四级赛事（幼儿园－小学－初中－高中）体系，定期开展校园“三大球”的班级、年级联赛，每年开展中小学“三大球”联赛。</w:t>
      </w:r>
    </w:p>
    <w:p>
      <w:pPr>
        <w:pStyle w:val="4"/>
        <w:ind w:firstLine="643" w:firstLineChars="200"/>
        <w:rPr>
          <w:rFonts w:hint="eastAsia" w:ascii="Times New Roman" w:hAnsi="Times New Roman" w:eastAsia="仿宋_GB2312"/>
        </w:rPr>
      </w:pPr>
      <w:bookmarkStart w:id="238" w:name="_Toc3222"/>
      <w:bookmarkStart w:id="239" w:name="_Toc6979"/>
      <w:bookmarkStart w:id="240" w:name="_Toc32018"/>
      <w:bookmarkStart w:id="241" w:name="_Toc10815"/>
      <w:r>
        <w:rPr>
          <w:rFonts w:hint="eastAsia" w:ascii="Times New Roman" w:hAnsi="Times New Roman" w:eastAsia="仿宋_GB2312"/>
        </w:rPr>
        <w:t>5.</w:t>
      </w:r>
      <w:r>
        <w:rPr>
          <w:rFonts w:hint="eastAsia" w:ascii="Times New Roman" w:eastAsia="仿宋_GB2312"/>
        </w:rPr>
        <w:t>夯实人才基础，保证师资和后备力量储备</w:t>
      </w:r>
      <w:bookmarkEnd w:id="238"/>
      <w:bookmarkEnd w:id="239"/>
      <w:bookmarkEnd w:id="240"/>
      <w:bookmarkEnd w:id="24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制定并实施《朝阳区青少年体育人才“功尖”计划》，开启青少年后备人才培养工程，及时解决教练员和运动员的后顾之忧。培养适合时代要求的教练队伍，采取体制内外共建的方式，将自我培养与外部引进有机结合，培养和引进一批有素质、有思想、有方法、有成绩的基层教练员，对一些自身困难大的重难点训练项目，采取购买服务的方式获取教学资源。加强教练员队伍制度建设，完善考核方案与激励机制，将输送后备人才、运动员综合素质、业务学习等方面列入考核重点。注重教练员梯队建设，加强职称评定工作。严格组织纪律，坚决杜绝在工作上、在比赛中出现兴奋剂事件、带头违反赛事规定等违背体育道德的现象。拓宽后备人才培养渠道，实现注册、向上输送“体育尖子”人数平稳增长，同时已输送的运动员在全运会、亚运会和奥运会上取得的成绩有所提高。保障运动员个人利益，增加运动员基础保险和商业保险投入。</w:t>
      </w:r>
    </w:p>
    <w:p>
      <w:pPr>
        <w:pStyle w:val="4"/>
        <w:ind w:firstLine="643" w:firstLineChars="200"/>
        <w:rPr>
          <w:rFonts w:ascii="Times New Roman" w:hAnsi="Times New Roman" w:eastAsia="仿宋_GB2312"/>
        </w:rPr>
      </w:pPr>
      <w:bookmarkStart w:id="242" w:name="_Toc21120"/>
      <w:bookmarkStart w:id="243" w:name="_Toc13755"/>
      <w:bookmarkStart w:id="244" w:name="_Toc23766"/>
      <w:bookmarkStart w:id="245" w:name="_Toc16990"/>
      <w:r>
        <w:rPr>
          <w:rFonts w:hint="eastAsia" w:ascii="Times New Roman" w:hAnsi="Times New Roman" w:eastAsia="仿宋_GB2312"/>
        </w:rPr>
        <w:t>6.</w:t>
      </w:r>
      <w:r>
        <w:rPr>
          <w:rFonts w:hint="eastAsia" w:ascii="Times New Roman" w:eastAsia="仿宋_GB2312"/>
        </w:rPr>
        <w:t>突出精细管理，打造软硬兼备的业余体校</w:t>
      </w:r>
      <w:bookmarkEnd w:id="242"/>
      <w:bookmarkEnd w:id="243"/>
      <w:bookmarkEnd w:id="244"/>
      <w:bookmarkEnd w:id="24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对区现有三大业余体校尝试探索业余体校改革，推动建立青少年体育训练中心，配备复合型教练员保障团队，以适当形式与当地中小学校合作，为其提供场地设施、教学服务、师资力量等。加大精细化管理力度，利用现代信息技术对体校的人员管理、教学实施、训练组织等各方面建立相应的管理路径，各体校要做好运动员和运动队档案管理，通过规范化、科学化管理使体校运作高效有序，通过软硬结合充分发挥体校的最佳效益。建立体校动态评估检查体系，每个体校相互间要善于学习借鉴，逐步建立长效激励机制。完成好第一体校的迁址工作，建设一所集小学、初中、高中为一体的全日制体育运动学校，重视运动员文化教育，并与相关体育高校加强联系，打通升学渠道，扩大招生范围，提升竞争实力。</w:t>
      </w:r>
    </w:p>
    <w:p>
      <w:pPr>
        <w:pStyle w:val="4"/>
        <w:ind w:firstLine="643" w:firstLineChars="200"/>
        <w:rPr>
          <w:rFonts w:hint="eastAsia" w:ascii="Times New Roman" w:hAnsi="Times New Roman" w:eastAsia="仿宋_GB2312"/>
        </w:rPr>
      </w:pPr>
      <w:bookmarkStart w:id="246" w:name="_Toc12527"/>
      <w:bookmarkStart w:id="247" w:name="_Toc18092"/>
      <w:bookmarkStart w:id="248" w:name="_Toc1083"/>
      <w:bookmarkStart w:id="249" w:name="_Toc5695"/>
      <w:r>
        <w:rPr>
          <w:rFonts w:hint="eastAsia" w:ascii="Times New Roman" w:hAnsi="Times New Roman" w:eastAsia="仿宋_GB2312"/>
        </w:rPr>
        <w:t>7.</w:t>
      </w:r>
      <w:r>
        <w:rPr>
          <w:rFonts w:hint="eastAsia" w:ascii="Times New Roman" w:eastAsia="仿宋_GB2312"/>
        </w:rPr>
        <w:t>拓宽发展路径，调动与引导社会力量参与</w:t>
      </w:r>
      <w:bookmarkEnd w:id="246"/>
      <w:bookmarkEnd w:id="247"/>
      <w:bookmarkEnd w:id="248"/>
      <w:bookmarkEnd w:id="249"/>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从竞技体育“政府管办合一”向政府、社会、市场、学校、家庭多元多方转变，调动社会、市场力量和家庭主动投入体育人才培养的积极性，逐步将有群众基础、有市场潜力、社会关注度高的竞技体育项目与学校、企业、协会等社会组织联办。支持各类社会力量举办多种形式的青训基地，拓宽体育后备人才的培养渠道。扶持区域15个以上高水平青少年体育俱乐部，充分发挥俱乐部在青少年体育专业指导服务方面的作用。鼓励社会力量举办以提升身体素质和运动技能为目的冬夏令营。</w:t>
      </w:r>
    </w:p>
    <w:p>
      <w:pPr>
        <w:pStyle w:val="3"/>
        <w:bidi w:val="0"/>
        <w:rPr>
          <w:rFonts w:hint="eastAsia" w:ascii="Calibri" w:hAnsi="Calibri"/>
        </w:rPr>
      </w:pPr>
      <w:bookmarkStart w:id="250" w:name="_Toc14687"/>
      <w:bookmarkStart w:id="251" w:name="_Toc16059"/>
      <w:bookmarkStart w:id="252" w:name="_Toc24131"/>
      <w:bookmarkStart w:id="253" w:name="_Toc27816"/>
      <w:r>
        <w:rPr>
          <w:rFonts w:hint="eastAsia" w:ascii="Calibri" w:hAnsi="Calibri"/>
        </w:rPr>
        <w:t>（三）体育产业逐步形成高质量发展新模式</w:t>
      </w:r>
      <w:bookmarkEnd w:id="250"/>
      <w:bookmarkEnd w:id="251"/>
      <w:bookmarkEnd w:id="252"/>
      <w:bookmarkEnd w:id="253"/>
    </w:p>
    <w:p>
      <w:pPr>
        <w:pStyle w:val="4"/>
        <w:ind w:firstLine="643" w:firstLineChars="200"/>
        <w:rPr>
          <w:rFonts w:hint="eastAsia" w:ascii="Times New Roman" w:hAnsi="Times New Roman" w:eastAsia="仿宋_GB2312"/>
        </w:rPr>
      </w:pPr>
      <w:bookmarkStart w:id="254" w:name="_Toc28339"/>
      <w:bookmarkStart w:id="255" w:name="_Toc11745"/>
      <w:bookmarkStart w:id="256" w:name="_Toc11870"/>
      <w:bookmarkStart w:id="257" w:name="_Toc10140"/>
      <w:r>
        <w:rPr>
          <w:rFonts w:hint="eastAsia" w:ascii="Times New Roman" w:hAnsi="Times New Roman" w:eastAsia="仿宋_GB2312"/>
        </w:rPr>
        <w:t>1.</w:t>
      </w:r>
      <w:r>
        <w:rPr>
          <w:rFonts w:hint="eastAsia" w:ascii="Times New Roman" w:eastAsia="仿宋_GB2312"/>
        </w:rPr>
        <w:t>政府联动引导，推动体育产业高质量精准落策</w:t>
      </w:r>
      <w:bookmarkEnd w:id="254"/>
      <w:bookmarkEnd w:id="255"/>
      <w:bookmarkEnd w:id="256"/>
      <w:bookmarkEnd w:id="257"/>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统筹区域相关部门，加强朝阳区体育产业联席会建设，以“一心一会”（即朝阳区体育产业管理中心、朝阳区体育产业促进会）为全区体育产业管理和服务载体，统筹多方资源，设置体育产业发展专项引导或扶持资金，助力产业发展。发挥各级政策体系扶持引导作用，将《国务院办公厅关于促进全民健身和体育消费推动体育产业高质量发展的意见》《体育强国建设纲要》等国家、北京市关于体育产业的发展政策在朝阳区精准实施，</w:t>
      </w:r>
      <w:r>
        <w:rPr>
          <w:rFonts w:ascii="Times New Roman" w:hAnsi="Times New Roman" w:eastAsia="仿宋_GB2312"/>
          <w:sz w:val="32"/>
          <w:szCs w:val="32"/>
        </w:rPr>
        <w:t>做好相关政策落地</w:t>
      </w:r>
      <w:r>
        <w:rPr>
          <w:rFonts w:hint="eastAsia" w:ascii="Times New Roman" w:hAnsi="Times New Roman" w:eastAsia="仿宋_GB2312"/>
          <w:sz w:val="32"/>
          <w:szCs w:val="32"/>
        </w:rPr>
        <w:t>推进</w:t>
      </w:r>
      <w:r>
        <w:rPr>
          <w:rFonts w:ascii="Times New Roman" w:hAnsi="Times New Roman" w:eastAsia="仿宋_GB2312"/>
          <w:sz w:val="32"/>
          <w:szCs w:val="32"/>
        </w:rPr>
        <w:t>工作，以及落实好《朝阳区加快发展体育产业促进体育消费的实施意见》</w:t>
      </w:r>
      <w:r>
        <w:rPr>
          <w:rFonts w:hint="eastAsia" w:ascii="Times New Roman" w:hAnsi="Times New Roman" w:eastAsia="仿宋_GB2312"/>
          <w:sz w:val="32"/>
          <w:szCs w:val="32"/>
        </w:rPr>
        <w:t>，全面服务区域体育产业高质量发展工作。</w:t>
      </w:r>
    </w:p>
    <w:p>
      <w:pPr>
        <w:pStyle w:val="4"/>
        <w:ind w:firstLine="643" w:firstLineChars="200"/>
        <w:rPr>
          <w:rFonts w:hint="eastAsia" w:ascii="Times New Roman" w:hAnsi="Times New Roman" w:eastAsia="仿宋_GB2312"/>
        </w:rPr>
      </w:pPr>
      <w:bookmarkStart w:id="258" w:name="_Toc10119"/>
      <w:bookmarkStart w:id="259" w:name="_Toc23052"/>
      <w:bookmarkStart w:id="260" w:name="_Toc3742"/>
      <w:bookmarkStart w:id="261" w:name="_Toc18488"/>
      <w:r>
        <w:rPr>
          <w:rFonts w:hint="eastAsia" w:ascii="Times New Roman" w:hAnsi="Times New Roman" w:eastAsia="仿宋_GB2312"/>
        </w:rPr>
        <w:t>2.</w:t>
      </w:r>
      <w:r>
        <w:rPr>
          <w:rFonts w:hint="eastAsia" w:ascii="Times New Roman" w:eastAsia="仿宋_GB2312"/>
        </w:rPr>
        <w:t>激活消费热情，</w:t>
      </w:r>
      <w:r>
        <w:rPr>
          <w:rFonts w:hint="eastAsia" w:ascii="Times New Roman" w:eastAsia="仿宋_GB2312"/>
          <w:szCs w:val="32"/>
        </w:rPr>
        <w:t>增强体育产业发展的原生动力</w:t>
      </w:r>
      <w:bookmarkEnd w:id="258"/>
      <w:bookmarkEnd w:id="259"/>
      <w:bookmarkEnd w:id="260"/>
      <w:bookmarkEnd w:id="26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适应居民日益增长的健康生活需求，引导居民树立体育消费观念，促进体育运动成为一种生活方式，体育消费成为日常消费的内容之一。针对不同收入人群、不同年龄层次，积极开发内容丰富，特色鲜明的体育消费产品和活动品牌，注重体育体验和体育观赏，积极扩大中低收入群体的体育消费，同时满足更加多样化和个性化的高端体育消费需求。借助新时代新基建升级，推动体育消费线上线下消费融通，鼓励发展数字体育产业新业态，以优质的服务和产品提升体育消费水平，营造便捷的体育消费氛围。借助2022年冬奥会契机，刺激冬奥消费，鼓励大众参与冰雪活动，尝试发放滑雪场、滑冰场消费优惠券。</w:t>
      </w:r>
    </w:p>
    <w:p>
      <w:pPr>
        <w:pStyle w:val="4"/>
        <w:ind w:firstLine="643" w:firstLineChars="200"/>
        <w:rPr>
          <w:rFonts w:ascii="Times New Roman" w:hAnsi="Times New Roman" w:eastAsia="仿宋_GB2312"/>
        </w:rPr>
      </w:pPr>
      <w:bookmarkStart w:id="262" w:name="_Toc24854"/>
      <w:bookmarkStart w:id="263" w:name="_Toc25619"/>
      <w:bookmarkStart w:id="264" w:name="_Toc14476"/>
      <w:bookmarkStart w:id="265" w:name="_Toc6468"/>
      <w:r>
        <w:rPr>
          <w:rFonts w:hint="eastAsia" w:ascii="Times New Roman" w:hAnsi="Times New Roman" w:eastAsia="仿宋_GB2312"/>
        </w:rPr>
        <w:t>3.</w:t>
      </w:r>
      <w:r>
        <w:rPr>
          <w:rFonts w:hint="eastAsia" w:ascii="Times New Roman" w:eastAsia="仿宋_GB2312"/>
        </w:rPr>
        <w:t>政企集资聚力，争创国家级体育产业优质品牌</w:t>
      </w:r>
      <w:bookmarkEnd w:id="262"/>
      <w:bookmarkEnd w:id="263"/>
      <w:bookmarkEnd w:id="264"/>
      <w:bookmarkEnd w:id="265"/>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继续发挥朝阳区作为北京市唯一的国家级体育产业联系点的平台优势，对接国家体育总局和北京市体育局相关资源，协调区发改委、商务局、国资委等部门，为包括但不限于体育上市公司总部、国际体育协会分会、体育IP项目等国内外优质体育资源落户朝阳区提供绿色通道，重点推动网球、足球、游泳等国际知名体育赛事活动落户朝阳区，努力通过赛事活动和IP文化为区域商业赋能。鼓励区域集聚行业优质要素资源，坚持重大产业项目带动战略，助力区域内规模以上体育企业打造具有国际知名度和美誉度的体育产业品牌项目。加强国家体育产业基地建设工作，争创成为国家体育产业示范基地，推动企业和体育项目入榜国家体育产业示范单位和示范项目。</w:t>
      </w:r>
    </w:p>
    <w:p>
      <w:pPr>
        <w:pStyle w:val="4"/>
        <w:ind w:firstLine="643" w:firstLineChars="200"/>
        <w:rPr>
          <w:rFonts w:ascii="Times New Roman" w:hAnsi="Times New Roman" w:eastAsia="仿宋_GB2312"/>
        </w:rPr>
      </w:pPr>
      <w:bookmarkStart w:id="266" w:name="_Toc29877"/>
      <w:bookmarkStart w:id="267" w:name="_Toc19961"/>
      <w:bookmarkStart w:id="268" w:name="_Toc5828"/>
      <w:bookmarkStart w:id="269" w:name="_Toc18680"/>
      <w:r>
        <w:rPr>
          <w:rFonts w:hint="eastAsia" w:ascii="Times New Roman" w:hAnsi="Times New Roman" w:eastAsia="仿宋_GB2312"/>
        </w:rPr>
        <w:t>4.</w:t>
      </w:r>
      <w:r>
        <w:rPr>
          <w:rFonts w:hint="eastAsia" w:ascii="Times New Roman" w:eastAsia="仿宋_GB2312"/>
        </w:rPr>
        <w:t>优化产业结构，聚焦重点领域向支柱行业迈进</w:t>
      </w:r>
      <w:bookmarkEnd w:id="266"/>
      <w:bookmarkEnd w:id="267"/>
      <w:bookmarkEnd w:id="268"/>
      <w:bookmarkEnd w:id="269"/>
    </w:p>
    <w:p>
      <w:pPr>
        <w:spacing w:line="600" w:lineRule="exact"/>
        <w:ind w:firstLine="640" w:firstLineChars="200"/>
        <w:jc w:val="left"/>
        <w:rPr>
          <w:rFonts w:hint="eastAsia" w:ascii="Times New Roman" w:hAnsi="Times New Roman" w:eastAsia="仿宋_GB2312"/>
          <w:sz w:val="32"/>
          <w:szCs w:val="32"/>
        </w:rPr>
      </w:pPr>
      <w:r>
        <w:rPr>
          <w:rFonts w:hint="eastAsia" w:ascii="Times New Roman" w:hAnsi="Times New Roman" w:eastAsia="仿宋_GB2312"/>
          <w:sz w:val="32"/>
          <w:szCs w:val="32"/>
        </w:rPr>
        <w:t>根据朝阳区的发展定位，着力提升体育服务业在现代服务业中的比重，壮大体育服务业创新潜力领域，鼓励旅游、健康、文化、传媒、科技、金融等向体育领域拓展，推动体育产业与相关产业的复合经营。推动数字技术助力各业态创新发展，不断延伸朝阳区体育产业链条，逐渐形成特色鲜明的“433”式发展结构，即重点支持体育竞赛表演、体育健身休闲、体育教育与培训和体育场地设施管理四大核心业态高质量发展；保持体育传媒与信息服务、体育广告与会展服务和体育用品及器材销售三大业态稳步发展；扶持体育健康与运动康复服务、体育金融与资产管理服务和体育经纪与代理服务业态成长速度。在运动项目产业上，重点发展网球、足球、电子竞技和冰雪产业（含冬奥旅游业）。继续深化开发“东西南北中”五个传统体育产业核心区域（东部以朝阳体育健身休闲公园为核心，打造北京国际时尚运动中心。西部以工人体育场为核心，打造职业联赛及体育娱乐中心。南部以北京工业大学场馆为核心，打造体育文化中心。北部以奥林匹克公园为核心，升级奥运功能区，形成国际品牌赛事及体育旅游中心。中部以朝阳公园体育园区为核心，打造大众健身休闲中心），提升产业附加值。</w:t>
      </w:r>
    </w:p>
    <w:p>
      <w:pPr>
        <w:spacing w:line="600" w:lineRule="exact"/>
        <w:ind w:firstLine="640" w:firstLineChars="200"/>
        <w:rPr>
          <w:rFonts w:hint="eastAsia" w:ascii="仿宋_GB2312" w:hAnsi="华文中宋" w:eastAsia="仿宋_GB2312"/>
          <w:sz w:val="32"/>
          <w:szCs w:val="32"/>
        </w:rPr>
      </w:pPr>
    </w:p>
    <w:tbl>
      <w:tblPr>
        <w:tblStyle w:val="15"/>
        <w:tblW w:w="8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2417"/>
        <w:gridCol w:w="5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8340" w:type="dxa"/>
            <w:gridSpan w:val="3"/>
            <w:noWrap w:val="0"/>
            <w:vAlign w:val="top"/>
          </w:tcPr>
          <w:p>
            <w:pPr>
              <w:spacing w:line="500" w:lineRule="exact"/>
              <w:jc w:val="center"/>
              <w:rPr>
                <w:rFonts w:ascii="仿宋" w:hAnsi="仿宋" w:eastAsia="仿宋" w:cs="仿宋"/>
                <w:sz w:val="24"/>
              </w:rPr>
            </w:pPr>
            <w:r>
              <w:rPr>
                <w:rFonts w:hint="eastAsia" w:ascii="仿宋" w:hAnsi="仿宋" w:eastAsia="仿宋" w:cs="仿宋"/>
                <w:b/>
                <w:bCs/>
                <w:sz w:val="24"/>
              </w:rPr>
              <w:t>专栏1     “433”式产业结构重点项目发展要点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743" w:type="dxa"/>
            <w:noWrap w:val="0"/>
            <w:vAlign w:val="top"/>
          </w:tcPr>
          <w:p>
            <w:pPr>
              <w:spacing w:line="500" w:lineRule="exact"/>
              <w:jc w:val="center"/>
              <w:rPr>
                <w:rFonts w:ascii="仿宋" w:hAnsi="仿宋" w:eastAsia="仿宋" w:cs="仿宋"/>
                <w:sz w:val="24"/>
              </w:rPr>
            </w:pPr>
          </w:p>
        </w:tc>
        <w:tc>
          <w:tcPr>
            <w:tcW w:w="2417" w:type="dxa"/>
            <w:noWrap w:val="0"/>
            <w:vAlign w:val="top"/>
          </w:tcPr>
          <w:p>
            <w:pPr>
              <w:spacing w:line="500" w:lineRule="exact"/>
              <w:jc w:val="center"/>
              <w:rPr>
                <w:rFonts w:ascii="仿宋" w:hAnsi="仿宋" w:eastAsia="仿宋" w:cs="仿宋"/>
                <w:b/>
                <w:bCs/>
                <w:sz w:val="24"/>
              </w:rPr>
            </w:pPr>
            <w:r>
              <w:rPr>
                <w:rFonts w:hint="eastAsia" w:ascii="仿宋" w:hAnsi="仿宋" w:eastAsia="仿宋" w:cs="仿宋"/>
                <w:b/>
                <w:bCs/>
                <w:sz w:val="24"/>
              </w:rPr>
              <w:t>业态名称</w:t>
            </w:r>
          </w:p>
        </w:tc>
        <w:tc>
          <w:tcPr>
            <w:tcW w:w="5180" w:type="dxa"/>
            <w:noWrap w:val="0"/>
            <w:vAlign w:val="top"/>
          </w:tcPr>
          <w:p>
            <w:pPr>
              <w:spacing w:line="500" w:lineRule="exact"/>
              <w:jc w:val="center"/>
              <w:rPr>
                <w:rFonts w:ascii="仿宋" w:hAnsi="仿宋" w:eastAsia="仿宋" w:cs="仿宋"/>
                <w:b/>
                <w:bCs/>
                <w:sz w:val="24"/>
              </w:rPr>
            </w:pPr>
            <w:r>
              <w:rPr>
                <w:rFonts w:hint="eastAsia" w:ascii="仿宋" w:hAnsi="仿宋" w:eastAsia="仿宋" w:cs="仿宋"/>
                <w:b/>
                <w:bCs/>
                <w:sz w:val="24"/>
              </w:rPr>
              <w:t>发展思路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743" w:type="dxa"/>
            <w:vMerge w:val="restart"/>
            <w:noWrap w:val="0"/>
            <w:vAlign w:val="top"/>
          </w:tcPr>
          <w:p>
            <w:pPr>
              <w:spacing w:line="500" w:lineRule="exact"/>
              <w:jc w:val="center"/>
              <w:rPr>
                <w:rFonts w:hint="eastAsia" w:ascii="仿宋" w:hAnsi="仿宋" w:eastAsia="仿宋" w:cs="仿宋"/>
                <w:b/>
                <w:bCs/>
                <w:sz w:val="24"/>
              </w:rPr>
            </w:pPr>
          </w:p>
          <w:p>
            <w:pPr>
              <w:spacing w:line="500" w:lineRule="exact"/>
              <w:jc w:val="center"/>
              <w:rPr>
                <w:rFonts w:hint="eastAsia" w:ascii="仿宋" w:hAnsi="仿宋" w:eastAsia="仿宋" w:cs="仿宋"/>
                <w:b/>
                <w:bCs/>
                <w:sz w:val="24"/>
              </w:rPr>
            </w:pPr>
          </w:p>
          <w:p>
            <w:pPr>
              <w:spacing w:line="500" w:lineRule="exact"/>
              <w:jc w:val="center"/>
              <w:rPr>
                <w:rFonts w:hint="eastAsia" w:ascii="仿宋" w:hAnsi="仿宋" w:eastAsia="仿宋" w:cs="仿宋"/>
                <w:b/>
                <w:bCs/>
                <w:sz w:val="24"/>
              </w:rPr>
            </w:pPr>
            <w:r>
              <w:rPr>
                <w:rFonts w:hint="eastAsia" w:ascii="仿宋" w:hAnsi="仿宋" w:eastAsia="仿宋" w:cs="仿宋"/>
                <w:b/>
                <w:bCs/>
                <w:sz w:val="24"/>
              </w:rPr>
              <w:t>1</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重点</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打造</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业态</w:t>
            </w:r>
          </w:p>
          <w:p>
            <w:pPr>
              <w:spacing w:line="500" w:lineRule="exact"/>
              <w:jc w:val="center"/>
              <w:rPr>
                <w:rFonts w:ascii="仿宋" w:hAnsi="仿宋" w:eastAsia="仿宋" w:cs="仿宋"/>
                <w:b/>
                <w:bCs/>
                <w:sz w:val="24"/>
              </w:rPr>
            </w:pPr>
            <w:r>
              <w:rPr>
                <w:rFonts w:hint="eastAsia" w:ascii="仿宋" w:hAnsi="仿宋" w:eastAsia="仿宋" w:cs="仿宋"/>
                <w:b/>
                <w:bCs/>
                <w:sz w:val="24"/>
              </w:rPr>
              <w:t>项目</w:t>
            </w: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体育竞赛表演</w:t>
            </w:r>
          </w:p>
        </w:tc>
        <w:tc>
          <w:tcPr>
            <w:tcW w:w="5180" w:type="dxa"/>
            <w:noWrap w:val="0"/>
            <w:vAlign w:val="top"/>
          </w:tcPr>
          <w:p>
            <w:pPr>
              <w:spacing w:line="500" w:lineRule="exact"/>
              <w:jc w:val="center"/>
              <w:rPr>
                <w:rFonts w:ascii="仿宋" w:hAnsi="仿宋" w:eastAsia="仿宋" w:cs="仿宋"/>
                <w:sz w:val="24"/>
              </w:rPr>
            </w:pPr>
            <w:r>
              <w:rPr>
                <w:rFonts w:hint="eastAsia" w:ascii="仿宋" w:hAnsi="仿宋" w:eastAsia="仿宋" w:cs="仿宋"/>
                <w:sz w:val="24"/>
              </w:rPr>
              <w:t>-鼓励引进顶级赛事IP，形成区域高端赛事品牌；</w:t>
            </w:r>
          </w:p>
          <w:p>
            <w:pPr>
              <w:spacing w:line="500" w:lineRule="exact"/>
              <w:jc w:val="center"/>
              <w:rPr>
                <w:rFonts w:hint="eastAsia" w:ascii="仿宋" w:hAnsi="仿宋" w:eastAsia="仿宋" w:cs="仿宋"/>
                <w:sz w:val="24"/>
              </w:rPr>
            </w:pPr>
            <w:r>
              <w:rPr>
                <w:rFonts w:hint="eastAsia" w:ascii="仿宋" w:hAnsi="仿宋" w:eastAsia="仿宋" w:cs="仿宋"/>
                <w:sz w:val="24"/>
              </w:rPr>
              <w:t>-加快自主赛事IP培育，开发区域自有特色赛事；</w:t>
            </w:r>
          </w:p>
          <w:p>
            <w:pPr>
              <w:spacing w:line="500" w:lineRule="exact"/>
              <w:jc w:val="center"/>
              <w:rPr>
                <w:rFonts w:ascii="仿宋" w:hAnsi="仿宋" w:eastAsia="仿宋" w:cs="仿宋"/>
                <w:sz w:val="24"/>
              </w:rPr>
            </w:pPr>
            <w:r>
              <w:rPr>
                <w:rFonts w:hint="eastAsia" w:ascii="仿宋" w:hAnsi="仿宋" w:eastAsia="仿宋" w:cs="仿宋"/>
                <w:sz w:val="24"/>
              </w:rPr>
              <w:t>-支持职业俱乐部发展，塑区域代表性体育元素。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743" w:type="dxa"/>
            <w:vMerge w:val="continue"/>
            <w:noWrap w:val="0"/>
            <w:vAlign w:val="top"/>
          </w:tcPr>
          <w:p>
            <w:pPr>
              <w:spacing w:line="500" w:lineRule="exact"/>
              <w:jc w:val="center"/>
              <w:rPr>
                <w:rFonts w:hint="eastAsia" w:ascii="仿宋" w:hAnsi="仿宋" w:eastAsia="仿宋" w:cs="仿宋"/>
                <w:b/>
                <w:bCs/>
                <w:sz w:val="24"/>
              </w:rPr>
            </w:pP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体育健身休闲</w:t>
            </w:r>
          </w:p>
        </w:tc>
        <w:tc>
          <w:tcPr>
            <w:tcW w:w="5180" w:type="dxa"/>
            <w:noWrap w:val="0"/>
            <w:vAlign w:val="top"/>
          </w:tcPr>
          <w:p>
            <w:pPr>
              <w:spacing w:line="500" w:lineRule="exact"/>
              <w:jc w:val="center"/>
              <w:rPr>
                <w:rFonts w:hint="eastAsia" w:ascii="仿宋" w:hAnsi="仿宋" w:eastAsia="仿宋" w:cs="仿宋"/>
                <w:sz w:val="24"/>
              </w:rPr>
            </w:pPr>
            <w:r>
              <w:rPr>
                <w:rFonts w:hint="eastAsia" w:ascii="仿宋" w:hAnsi="仿宋" w:eastAsia="仿宋" w:cs="仿宋"/>
                <w:sz w:val="24"/>
              </w:rPr>
              <w:t>-引导企业向专业化、规范化、品牌化方向发展；</w:t>
            </w:r>
          </w:p>
          <w:p>
            <w:pPr>
              <w:spacing w:line="500" w:lineRule="exact"/>
              <w:jc w:val="center"/>
              <w:rPr>
                <w:rFonts w:hint="eastAsia" w:ascii="仿宋" w:hAnsi="仿宋" w:eastAsia="仿宋" w:cs="仿宋"/>
                <w:sz w:val="24"/>
              </w:rPr>
            </w:pPr>
            <w:r>
              <w:rPr>
                <w:rFonts w:hint="eastAsia" w:ascii="仿宋" w:hAnsi="仿宋" w:eastAsia="仿宋" w:cs="仿宋"/>
                <w:sz w:val="24"/>
              </w:rPr>
              <w:t>-尽量满足多样化、个性化的体育健身休闲需求；</w:t>
            </w:r>
          </w:p>
          <w:p>
            <w:pPr>
              <w:spacing w:line="500" w:lineRule="exact"/>
              <w:rPr>
                <w:rFonts w:ascii="仿宋" w:hAnsi="仿宋" w:eastAsia="仿宋" w:cs="仿宋"/>
                <w:sz w:val="24"/>
              </w:rPr>
            </w:pPr>
            <w:r>
              <w:rPr>
                <w:rFonts w:hint="eastAsia" w:ascii="仿宋" w:hAnsi="仿宋" w:eastAsia="仿宋" w:cs="仿宋"/>
                <w:sz w:val="24"/>
              </w:rPr>
              <w:t>-打造一批知名的健身休闲品牌项目和场所。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743" w:type="dxa"/>
            <w:vMerge w:val="continue"/>
            <w:noWrap w:val="0"/>
            <w:vAlign w:val="top"/>
          </w:tcPr>
          <w:p>
            <w:pPr>
              <w:spacing w:line="500" w:lineRule="exact"/>
              <w:jc w:val="center"/>
              <w:rPr>
                <w:rFonts w:hint="eastAsia" w:ascii="仿宋" w:hAnsi="仿宋" w:eastAsia="仿宋" w:cs="仿宋"/>
                <w:b/>
                <w:bCs/>
                <w:sz w:val="24"/>
              </w:rPr>
            </w:pP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体育教育与培训</w:t>
            </w:r>
          </w:p>
        </w:tc>
        <w:tc>
          <w:tcPr>
            <w:tcW w:w="5180" w:type="dxa"/>
            <w:noWrap w:val="0"/>
            <w:vAlign w:val="top"/>
          </w:tcPr>
          <w:p>
            <w:pPr>
              <w:spacing w:line="500" w:lineRule="exact"/>
              <w:jc w:val="center"/>
              <w:rPr>
                <w:rFonts w:hint="eastAsia" w:ascii="仿宋" w:hAnsi="仿宋" w:eastAsia="仿宋" w:cs="仿宋"/>
                <w:sz w:val="24"/>
              </w:rPr>
            </w:pPr>
            <w:r>
              <w:rPr>
                <w:rFonts w:hint="eastAsia" w:ascii="仿宋" w:hAnsi="仿宋" w:eastAsia="仿宋" w:cs="仿宋"/>
                <w:sz w:val="24"/>
              </w:rPr>
              <w:t>-规范青少年身体素质和运动技能的培训市场；</w:t>
            </w:r>
          </w:p>
          <w:p>
            <w:pPr>
              <w:spacing w:line="500" w:lineRule="exact"/>
              <w:jc w:val="center"/>
              <w:rPr>
                <w:rFonts w:hint="eastAsia" w:ascii="仿宋" w:hAnsi="仿宋" w:eastAsia="仿宋" w:cs="仿宋"/>
                <w:sz w:val="24"/>
              </w:rPr>
            </w:pPr>
            <w:r>
              <w:rPr>
                <w:rFonts w:hint="eastAsia" w:ascii="仿宋" w:hAnsi="仿宋" w:eastAsia="仿宋" w:cs="仿宋"/>
                <w:sz w:val="24"/>
              </w:rPr>
              <w:t>-打造一批线上线下一体化、智能化培训课程；</w:t>
            </w:r>
          </w:p>
          <w:p>
            <w:pPr>
              <w:spacing w:line="500" w:lineRule="exact"/>
              <w:jc w:val="center"/>
              <w:rPr>
                <w:rFonts w:ascii="仿宋" w:hAnsi="仿宋" w:eastAsia="仿宋" w:cs="仿宋"/>
                <w:sz w:val="24"/>
              </w:rPr>
            </w:pPr>
            <w:r>
              <w:rPr>
                <w:rFonts w:hint="eastAsia" w:ascii="仿宋" w:hAnsi="仿宋" w:eastAsia="仿宋" w:cs="仿宋"/>
                <w:sz w:val="24"/>
              </w:rPr>
              <w:t>-为体育培训企业提供低价或免费的共享空间。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743" w:type="dxa"/>
            <w:vMerge w:val="continue"/>
            <w:noWrap w:val="0"/>
            <w:vAlign w:val="top"/>
          </w:tcPr>
          <w:p>
            <w:pPr>
              <w:spacing w:line="500" w:lineRule="exact"/>
              <w:jc w:val="center"/>
              <w:rPr>
                <w:rFonts w:hint="eastAsia" w:ascii="仿宋" w:hAnsi="仿宋" w:eastAsia="仿宋" w:cs="仿宋"/>
                <w:b/>
                <w:bCs/>
                <w:sz w:val="24"/>
              </w:rPr>
            </w:pP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体育场地设施管理</w:t>
            </w:r>
          </w:p>
        </w:tc>
        <w:tc>
          <w:tcPr>
            <w:tcW w:w="5180" w:type="dxa"/>
            <w:noWrap w:val="0"/>
            <w:vAlign w:val="top"/>
          </w:tcPr>
          <w:p>
            <w:pPr>
              <w:spacing w:line="500" w:lineRule="exact"/>
              <w:rPr>
                <w:rFonts w:hint="eastAsia" w:ascii="仿宋" w:hAnsi="仿宋" w:eastAsia="仿宋" w:cs="仿宋"/>
                <w:sz w:val="24"/>
              </w:rPr>
            </w:pPr>
            <w:r>
              <w:rPr>
                <w:rFonts w:hint="eastAsia" w:ascii="仿宋" w:hAnsi="仿宋" w:eastAsia="仿宋" w:cs="仿宋"/>
                <w:sz w:val="24"/>
              </w:rPr>
              <w:t>-提高场馆服务水平，增强有效供给能力；</w:t>
            </w:r>
          </w:p>
          <w:p>
            <w:pPr>
              <w:spacing w:line="500" w:lineRule="exact"/>
              <w:rPr>
                <w:rFonts w:hint="eastAsia" w:ascii="仿宋" w:hAnsi="仿宋" w:eastAsia="仿宋" w:cs="仿宋"/>
                <w:sz w:val="24"/>
              </w:rPr>
            </w:pPr>
            <w:r>
              <w:rPr>
                <w:rFonts w:hint="eastAsia" w:ascii="仿宋" w:hAnsi="仿宋" w:eastAsia="仿宋" w:cs="仿宋"/>
                <w:sz w:val="24"/>
              </w:rPr>
              <w:t>-努力创新服务项目，升级为智慧型场馆；</w:t>
            </w:r>
          </w:p>
          <w:p>
            <w:pPr>
              <w:spacing w:line="500" w:lineRule="exact"/>
              <w:rPr>
                <w:rFonts w:hint="eastAsia" w:ascii="仿宋" w:hAnsi="仿宋" w:eastAsia="仿宋" w:cs="仿宋"/>
                <w:sz w:val="24"/>
              </w:rPr>
            </w:pPr>
            <w:r>
              <w:rPr>
                <w:rFonts w:hint="eastAsia" w:ascii="仿宋" w:hAnsi="仿宋" w:eastAsia="仿宋" w:cs="仿宋"/>
                <w:sz w:val="24"/>
              </w:rPr>
              <w:t>-打造1-2家国内一流的体育场馆运营公司。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743" w:type="dxa"/>
            <w:vMerge w:val="restart"/>
            <w:noWrap w:val="0"/>
            <w:vAlign w:val="top"/>
          </w:tcPr>
          <w:p>
            <w:pPr>
              <w:spacing w:line="500" w:lineRule="exact"/>
              <w:jc w:val="center"/>
              <w:rPr>
                <w:rFonts w:hint="eastAsia" w:ascii="仿宋" w:hAnsi="仿宋" w:eastAsia="仿宋" w:cs="仿宋"/>
                <w:b/>
                <w:bCs/>
                <w:sz w:val="24"/>
              </w:rPr>
            </w:pPr>
          </w:p>
          <w:p>
            <w:pPr>
              <w:spacing w:line="500" w:lineRule="exact"/>
              <w:jc w:val="center"/>
              <w:rPr>
                <w:rFonts w:hint="eastAsia" w:ascii="仿宋" w:hAnsi="仿宋" w:eastAsia="仿宋" w:cs="仿宋"/>
                <w:b/>
                <w:bCs/>
                <w:sz w:val="24"/>
              </w:rPr>
            </w:pPr>
            <w:r>
              <w:rPr>
                <w:rFonts w:hint="eastAsia" w:ascii="仿宋" w:hAnsi="仿宋" w:eastAsia="仿宋" w:cs="仿宋"/>
                <w:b/>
                <w:bCs/>
                <w:sz w:val="24"/>
              </w:rPr>
              <w:t>2</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稳步</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业态</w:t>
            </w:r>
          </w:p>
          <w:p>
            <w:pPr>
              <w:spacing w:line="500" w:lineRule="exact"/>
              <w:jc w:val="center"/>
              <w:rPr>
                <w:rFonts w:ascii="仿宋" w:hAnsi="仿宋" w:eastAsia="仿宋" w:cs="仿宋"/>
                <w:b/>
                <w:bCs/>
                <w:sz w:val="24"/>
              </w:rPr>
            </w:pPr>
            <w:r>
              <w:rPr>
                <w:rFonts w:hint="eastAsia" w:ascii="仿宋" w:hAnsi="仿宋" w:eastAsia="仿宋" w:cs="仿宋"/>
                <w:b/>
                <w:bCs/>
                <w:sz w:val="24"/>
              </w:rPr>
              <w:t>项目</w:t>
            </w: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体育传媒与信息</w:t>
            </w:r>
          </w:p>
        </w:tc>
        <w:tc>
          <w:tcPr>
            <w:tcW w:w="5180" w:type="dxa"/>
            <w:noWrap w:val="0"/>
            <w:vAlign w:val="top"/>
          </w:tcPr>
          <w:p>
            <w:pPr>
              <w:spacing w:line="500" w:lineRule="exact"/>
              <w:jc w:val="center"/>
              <w:rPr>
                <w:rFonts w:hint="eastAsia" w:ascii="仿宋" w:hAnsi="仿宋" w:eastAsia="仿宋" w:cs="仿宋"/>
                <w:sz w:val="24"/>
              </w:rPr>
            </w:pPr>
            <w:r>
              <w:rPr>
                <w:rFonts w:hint="eastAsia" w:ascii="仿宋" w:hAnsi="仿宋" w:eastAsia="仿宋" w:cs="仿宋"/>
                <w:sz w:val="24"/>
              </w:rPr>
              <w:t>-体育传统媒体和新兴媒体制作优质体育节目；</w:t>
            </w:r>
          </w:p>
          <w:p>
            <w:pPr>
              <w:spacing w:line="500" w:lineRule="exact"/>
              <w:jc w:val="center"/>
              <w:rPr>
                <w:rFonts w:ascii="仿宋" w:hAnsi="仿宋" w:eastAsia="仿宋" w:cs="仿宋"/>
                <w:sz w:val="24"/>
              </w:rPr>
            </w:pPr>
            <w:r>
              <w:rPr>
                <w:rFonts w:hint="eastAsia" w:ascii="仿宋" w:hAnsi="仿宋" w:eastAsia="仿宋" w:cs="仿宋"/>
                <w:sz w:val="24"/>
              </w:rPr>
              <w:t>-大力促进“体育+互联网+其他业态”的融合。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743" w:type="dxa"/>
            <w:vMerge w:val="continue"/>
            <w:noWrap w:val="0"/>
            <w:vAlign w:val="top"/>
          </w:tcPr>
          <w:p>
            <w:pPr>
              <w:spacing w:line="500" w:lineRule="exact"/>
              <w:jc w:val="center"/>
              <w:rPr>
                <w:rFonts w:hint="eastAsia" w:ascii="仿宋" w:hAnsi="仿宋" w:eastAsia="仿宋" w:cs="仿宋"/>
                <w:b/>
                <w:bCs/>
                <w:sz w:val="24"/>
              </w:rPr>
            </w:pP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体育彩票</w:t>
            </w:r>
          </w:p>
        </w:tc>
        <w:tc>
          <w:tcPr>
            <w:tcW w:w="5180" w:type="dxa"/>
            <w:noWrap w:val="0"/>
            <w:vAlign w:val="top"/>
          </w:tcPr>
          <w:p>
            <w:pPr>
              <w:spacing w:line="500" w:lineRule="exact"/>
              <w:rPr>
                <w:rFonts w:hint="eastAsia" w:ascii="仿宋" w:hAnsi="仿宋" w:eastAsia="仿宋" w:cs="仿宋"/>
                <w:sz w:val="24"/>
              </w:rPr>
            </w:pPr>
            <w:r>
              <w:rPr>
                <w:rFonts w:hint="eastAsia" w:ascii="仿宋" w:hAnsi="仿宋" w:eastAsia="仿宋" w:cs="仿宋"/>
                <w:sz w:val="24"/>
              </w:rPr>
              <w:t>-规范区域体育彩票销售网点的日常管理；</w:t>
            </w:r>
          </w:p>
          <w:p>
            <w:pPr>
              <w:spacing w:line="500" w:lineRule="exact"/>
              <w:rPr>
                <w:rFonts w:ascii="仿宋" w:hAnsi="仿宋" w:eastAsia="仿宋" w:cs="仿宋"/>
                <w:sz w:val="24"/>
              </w:rPr>
            </w:pPr>
            <w:r>
              <w:rPr>
                <w:rFonts w:hint="eastAsia" w:ascii="仿宋" w:hAnsi="仿宋" w:eastAsia="仿宋" w:cs="仿宋"/>
                <w:sz w:val="24"/>
              </w:rPr>
              <w:t>-引导彩民依据自身能力购买和杜绝黑彩。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743" w:type="dxa"/>
            <w:vMerge w:val="continue"/>
            <w:noWrap w:val="0"/>
            <w:vAlign w:val="top"/>
          </w:tcPr>
          <w:p>
            <w:pPr>
              <w:spacing w:line="500" w:lineRule="exact"/>
              <w:jc w:val="center"/>
              <w:rPr>
                <w:rFonts w:hint="eastAsia" w:ascii="仿宋" w:hAnsi="仿宋" w:eastAsia="仿宋" w:cs="仿宋"/>
                <w:b/>
                <w:bCs/>
                <w:sz w:val="24"/>
              </w:rPr>
            </w:pP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体育用品及器材销售</w:t>
            </w:r>
          </w:p>
        </w:tc>
        <w:tc>
          <w:tcPr>
            <w:tcW w:w="5180" w:type="dxa"/>
            <w:noWrap w:val="0"/>
            <w:vAlign w:val="top"/>
          </w:tcPr>
          <w:p>
            <w:pPr>
              <w:spacing w:line="500" w:lineRule="exact"/>
              <w:rPr>
                <w:rFonts w:ascii="仿宋" w:hAnsi="仿宋" w:eastAsia="仿宋" w:cs="仿宋"/>
                <w:sz w:val="24"/>
              </w:rPr>
            </w:pPr>
            <w:r>
              <w:rPr>
                <w:rFonts w:hint="eastAsia" w:ascii="仿宋" w:hAnsi="仿宋" w:eastAsia="仿宋" w:cs="仿宋"/>
                <w:sz w:val="24"/>
              </w:rPr>
              <w:t>-鼓励采用线上销售和线下产品体验结合；</w:t>
            </w:r>
          </w:p>
          <w:p>
            <w:pPr>
              <w:spacing w:line="500" w:lineRule="exact"/>
              <w:rPr>
                <w:rFonts w:ascii="仿宋" w:hAnsi="仿宋" w:eastAsia="仿宋" w:cs="仿宋"/>
                <w:sz w:val="24"/>
              </w:rPr>
            </w:pPr>
            <w:r>
              <w:rPr>
                <w:rFonts w:hint="eastAsia" w:ascii="仿宋" w:hAnsi="仿宋" w:eastAsia="仿宋" w:cs="仿宋"/>
                <w:sz w:val="24"/>
              </w:rPr>
              <w:t>-做好产品安全监管和提升产品科技含量。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743" w:type="dxa"/>
            <w:vMerge w:val="restart"/>
            <w:noWrap w:val="0"/>
            <w:vAlign w:val="top"/>
          </w:tcPr>
          <w:p>
            <w:pPr>
              <w:spacing w:line="500" w:lineRule="exact"/>
              <w:jc w:val="center"/>
              <w:rPr>
                <w:rFonts w:hint="eastAsia" w:ascii="仿宋" w:hAnsi="仿宋" w:eastAsia="仿宋" w:cs="仿宋"/>
                <w:b/>
                <w:bCs/>
                <w:sz w:val="24"/>
              </w:rPr>
            </w:pPr>
          </w:p>
          <w:p>
            <w:pPr>
              <w:spacing w:line="500" w:lineRule="exact"/>
              <w:jc w:val="center"/>
              <w:rPr>
                <w:rFonts w:hint="eastAsia" w:ascii="仿宋" w:hAnsi="仿宋" w:eastAsia="仿宋" w:cs="仿宋"/>
                <w:b/>
                <w:bCs/>
                <w:sz w:val="24"/>
              </w:rPr>
            </w:pPr>
            <w:r>
              <w:rPr>
                <w:rFonts w:hint="eastAsia" w:ascii="仿宋" w:hAnsi="仿宋" w:eastAsia="仿宋" w:cs="仿宋"/>
                <w:b/>
                <w:bCs/>
                <w:sz w:val="24"/>
              </w:rPr>
              <w:t>3</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扶持</w:t>
            </w:r>
          </w:p>
          <w:p>
            <w:pPr>
              <w:spacing w:line="500" w:lineRule="exact"/>
              <w:jc w:val="center"/>
              <w:rPr>
                <w:rFonts w:hint="eastAsia" w:ascii="仿宋" w:hAnsi="仿宋" w:eastAsia="仿宋" w:cs="仿宋"/>
                <w:b/>
                <w:bCs/>
                <w:sz w:val="24"/>
              </w:rPr>
            </w:pPr>
            <w:r>
              <w:rPr>
                <w:rFonts w:hint="eastAsia" w:ascii="仿宋" w:hAnsi="仿宋" w:eastAsia="仿宋" w:cs="仿宋"/>
                <w:b/>
                <w:bCs/>
                <w:sz w:val="24"/>
              </w:rPr>
              <w:t>业态</w:t>
            </w:r>
          </w:p>
          <w:p>
            <w:pPr>
              <w:spacing w:line="500" w:lineRule="exact"/>
              <w:jc w:val="center"/>
              <w:rPr>
                <w:rFonts w:ascii="仿宋" w:hAnsi="仿宋" w:eastAsia="仿宋" w:cs="仿宋"/>
                <w:b/>
                <w:bCs/>
                <w:sz w:val="24"/>
              </w:rPr>
            </w:pPr>
            <w:r>
              <w:rPr>
                <w:rFonts w:hint="eastAsia" w:ascii="仿宋" w:hAnsi="仿宋" w:eastAsia="仿宋" w:cs="仿宋"/>
                <w:b/>
                <w:bCs/>
                <w:sz w:val="24"/>
              </w:rPr>
              <w:t>项目</w:t>
            </w: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体育健康与运动康复</w:t>
            </w:r>
          </w:p>
        </w:tc>
        <w:tc>
          <w:tcPr>
            <w:tcW w:w="5180" w:type="dxa"/>
            <w:noWrap w:val="0"/>
            <w:vAlign w:val="top"/>
          </w:tcPr>
          <w:p>
            <w:pPr>
              <w:spacing w:line="500" w:lineRule="exact"/>
              <w:rPr>
                <w:rFonts w:hint="eastAsia" w:ascii="仿宋" w:hAnsi="仿宋" w:eastAsia="仿宋" w:cs="仿宋"/>
                <w:sz w:val="24"/>
              </w:rPr>
            </w:pPr>
            <w:r>
              <w:rPr>
                <w:rFonts w:hint="eastAsia" w:ascii="仿宋" w:hAnsi="仿宋" w:eastAsia="仿宋" w:cs="仿宋"/>
                <w:sz w:val="24"/>
              </w:rPr>
              <w:t>-提倡购买科学健身指导监测服务；</w:t>
            </w:r>
          </w:p>
          <w:p>
            <w:pPr>
              <w:spacing w:line="500" w:lineRule="exact"/>
              <w:rPr>
                <w:rFonts w:ascii="仿宋" w:hAnsi="仿宋" w:eastAsia="仿宋" w:cs="仿宋"/>
                <w:sz w:val="24"/>
              </w:rPr>
            </w:pPr>
            <w:r>
              <w:rPr>
                <w:rFonts w:hint="eastAsia" w:ascii="仿宋" w:hAnsi="仿宋" w:eastAsia="仿宋" w:cs="仿宋"/>
                <w:sz w:val="24"/>
              </w:rPr>
              <w:t>-鼓励社会力量开办运动康复机构。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743" w:type="dxa"/>
            <w:vMerge w:val="continue"/>
            <w:noWrap w:val="0"/>
            <w:vAlign w:val="top"/>
          </w:tcPr>
          <w:p>
            <w:pPr>
              <w:spacing w:line="500" w:lineRule="exact"/>
              <w:jc w:val="center"/>
              <w:rPr>
                <w:rFonts w:hint="eastAsia" w:ascii="仿宋" w:hAnsi="仿宋" w:eastAsia="仿宋" w:cs="仿宋"/>
                <w:sz w:val="24"/>
              </w:rPr>
            </w:pPr>
          </w:p>
        </w:tc>
        <w:tc>
          <w:tcPr>
            <w:tcW w:w="2417" w:type="dxa"/>
            <w:noWrap w:val="0"/>
            <w:vAlign w:val="center"/>
          </w:tcPr>
          <w:p>
            <w:pPr>
              <w:spacing w:line="500" w:lineRule="exact"/>
              <w:jc w:val="center"/>
              <w:rPr>
                <w:rFonts w:ascii="仿宋" w:hAnsi="仿宋" w:eastAsia="仿宋" w:cs="仿宋"/>
                <w:sz w:val="24"/>
              </w:rPr>
            </w:pPr>
            <w:r>
              <w:rPr>
                <w:rFonts w:hint="eastAsia" w:ascii="仿宋" w:hAnsi="仿宋" w:eastAsia="仿宋" w:cs="仿宋"/>
                <w:sz w:val="24"/>
              </w:rPr>
              <w:t>新兴体育项目</w:t>
            </w:r>
          </w:p>
          <w:p>
            <w:pPr>
              <w:spacing w:line="500" w:lineRule="exact"/>
              <w:jc w:val="center"/>
              <w:rPr>
                <w:rFonts w:ascii="仿宋" w:hAnsi="仿宋" w:eastAsia="仿宋" w:cs="仿宋"/>
                <w:sz w:val="24"/>
              </w:rPr>
            </w:pPr>
            <w:r>
              <w:rPr>
                <w:rFonts w:hint="eastAsia" w:ascii="仿宋" w:hAnsi="仿宋" w:eastAsia="仿宋" w:cs="仿宋"/>
                <w:sz w:val="24"/>
              </w:rPr>
              <w:t>和业态</w:t>
            </w:r>
          </w:p>
        </w:tc>
        <w:tc>
          <w:tcPr>
            <w:tcW w:w="5180" w:type="dxa"/>
            <w:noWrap w:val="0"/>
            <w:vAlign w:val="top"/>
          </w:tcPr>
          <w:p>
            <w:pPr>
              <w:spacing w:line="500" w:lineRule="exact"/>
              <w:rPr>
                <w:rFonts w:hint="eastAsia" w:ascii="仿宋" w:hAnsi="仿宋" w:eastAsia="仿宋" w:cs="仿宋"/>
                <w:sz w:val="24"/>
              </w:rPr>
            </w:pPr>
            <w:r>
              <w:rPr>
                <w:rFonts w:hint="eastAsia" w:ascii="仿宋" w:hAnsi="仿宋" w:eastAsia="仿宋" w:cs="仿宋"/>
                <w:sz w:val="24"/>
              </w:rPr>
              <w:t xml:space="preserve">-发展电竞、海钓等新兴体育项目； </w:t>
            </w:r>
          </w:p>
          <w:p>
            <w:pPr>
              <w:spacing w:line="500" w:lineRule="exact"/>
              <w:rPr>
                <w:rFonts w:hint="eastAsia" w:ascii="仿宋" w:hAnsi="仿宋" w:eastAsia="仿宋" w:cs="仿宋"/>
                <w:sz w:val="24"/>
              </w:rPr>
            </w:pPr>
            <w:r>
              <w:rPr>
                <w:rFonts w:hint="eastAsia" w:ascii="仿宋" w:hAnsi="仿宋" w:eastAsia="仿宋" w:cs="仿宋"/>
                <w:sz w:val="24"/>
              </w:rPr>
              <w:t>-落实国家和北京市有关扶持中小企业发展的政策措施，支持新兴业态体育企业发展。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743" w:type="dxa"/>
            <w:vMerge w:val="continue"/>
            <w:noWrap w:val="0"/>
            <w:vAlign w:val="top"/>
          </w:tcPr>
          <w:p>
            <w:pPr>
              <w:spacing w:line="500" w:lineRule="exact"/>
              <w:jc w:val="center"/>
              <w:rPr>
                <w:rFonts w:hint="eastAsia" w:ascii="仿宋" w:hAnsi="仿宋" w:eastAsia="仿宋" w:cs="仿宋"/>
                <w:sz w:val="24"/>
              </w:rPr>
            </w:pPr>
          </w:p>
        </w:tc>
        <w:tc>
          <w:tcPr>
            <w:tcW w:w="2417" w:type="dxa"/>
            <w:noWrap w:val="0"/>
            <w:vAlign w:val="center"/>
          </w:tcPr>
          <w:p>
            <w:pPr>
              <w:spacing w:line="500" w:lineRule="exact"/>
              <w:jc w:val="center"/>
              <w:rPr>
                <w:rFonts w:hint="eastAsia" w:ascii="仿宋" w:hAnsi="仿宋" w:eastAsia="仿宋" w:cs="仿宋"/>
                <w:sz w:val="24"/>
              </w:rPr>
            </w:pPr>
            <w:r>
              <w:rPr>
                <w:rFonts w:hint="eastAsia" w:ascii="仿宋" w:hAnsi="仿宋" w:eastAsia="仿宋" w:cs="仿宋"/>
                <w:sz w:val="24"/>
              </w:rPr>
              <w:t>体育经纪与代理</w:t>
            </w:r>
          </w:p>
        </w:tc>
        <w:tc>
          <w:tcPr>
            <w:tcW w:w="5180" w:type="dxa"/>
            <w:noWrap w:val="0"/>
            <w:vAlign w:val="top"/>
          </w:tcPr>
          <w:p>
            <w:pPr>
              <w:spacing w:line="500" w:lineRule="exact"/>
              <w:rPr>
                <w:rFonts w:hint="eastAsia" w:ascii="仿宋" w:hAnsi="仿宋" w:eastAsia="仿宋" w:cs="仿宋"/>
                <w:sz w:val="24"/>
              </w:rPr>
            </w:pPr>
            <w:r>
              <w:rPr>
                <w:rFonts w:hint="eastAsia" w:ascii="仿宋" w:hAnsi="仿宋" w:eastAsia="仿宋" w:cs="仿宋"/>
                <w:sz w:val="24"/>
              </w:rPr>
              <w:t>-鼓励足球、篮球、网球、电子竞技等经纪；</w:t>
            </w:r>
          </w:p>
          <w:p>
            <w:pPr>
              <w:spacing w:line="500" w:lineRule="exact"/>
              <w:rPr>
                <w:rFonts w:hint="eastAsia" w:ascii="仿宋" w:hAnsi="仿宋" w:eastAsia="仿宋" w:cs="仿宋"/>
                <w:sz w:val="24"/>
              </w:rPr>
            </w:pPr>
            <w:r>
              <w:rPr>
                <w:rFonts w:hint="eastAsia" w:ascii="仿宋" w:hAnsi="仿宋" w:eastAsia="仿宋" w:cs="仿宋"/>
                <w:sz w:val="24"/>
              </w:rPr>
              <w:t>-鼓励运动保险和赛事门票代理的普及发展。</w:t>
            </w:r>
          </w:p>
        </w:tc>
      </w:tr>
    </w:tbl>
    <w:p>
      <w:pPr>
        <w:spacing w:line="360" w:lineRule="auto"/>
        <w:ind w:firstLine="640"/>
        <w:rPr>
          <w:rFonts w:hint="eastAsia" w:eastAsia="仿宋_GB2312"/>
          <w:sz w:val="32"/>
          <w:szCs w:val="32"/>
        </w:rPr>
      </w:pPr>
    </w:p>
    <w:p>
      <w:pPr>
        <w:pStyle w:val="4"/>
        <w:ind w:firstLine="643" w:firstLineChars="200"/>
        <w:rPr>
          <w:rFonts w:hint="eastAsia" w:ascii="Times New Roman" w:hAnsi="Times New Roman" w:eastAsia="仿宋_GB2312"/>
          <w:szCs w:val="32"/>
        </w:rPr>
      </w:pPr>
      <w:bookmarkStart w:id="270" w:name="_Toc24732"/>
      <w:bookmarkStart w:id="271" w:name="_Toc28670"/>
      <w:bookmarkStart w:id="272" w:name="_Toc7262"/>
      <w:bookmarkStart w:id="273" w:name="_Toc30523"/>
      <w:r>
        <w:rPr>
          <w:rFonts w:hint="eastAsia" w:ascii="Times New Roman" w:hAnsi="Times New Roman" w:eastAsia="仿宋_GB2312"/>
          <w:szCs w:val="32"/>
        </w:rPr>
        <w:t>5.</w:t>
      </w:r>
      <w:r>
        <w:rPr>
          <w:rFonts w:hint="eastAsia" w:ascii="Times New Roman" w:eastAsia="仿宋_GB2312"/>
          <w:szCs w:val="32"/>
        </w:rPr>
        <w:t>激活市场主体，优化体育企业和项目营商环境</w:t>
      </w:r>
      <w:bookmarkEnd w:id="270"/>
      <w:bookmarkEnd w:id="271"/>
      <w:bookmarkEnd w:id="272"/>
      <w:bookmarkEnd w:id="273"/>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以朝阳区体育产业促进会为平台，为作为区域体育市场主体的各类企业做好服务，支持区域规模以上的体育企业继续做强、做大、做上市，全面落实国家和北京市有关扶持中小企业发展的政策措施，重点支持符合朝阳体育产业结构的中小体育企业发展，增强我区体育企业的整体实力。制定政府购买所需体育服务目录、办法及实施细则，鼓励由市场主体提供相关服务。推动企业加大自主研发和科技成果转化力度，鼓励有条件的企业主动展开与国内外有实力的体育机构合作，欢迎国内外优质体育企业和体育项目落户朝阳，扶持体育名人在朝阳创业，加快形成一批有品牌效应的企业和项目。促进各类社会资本进入体育产业领域，支持成立各类体育产业孵化平台和体育基金，进一步拓宽体育产业投融资渠道。强化市场化运作机制，通过专业化、市场化方式整合资源，促进体育公司、体育社团、体育协会等组织机构成为体育产业的主要力量。</w:t>
      </w:r>
    </w:p>
    <w:p>
      <w:pPr>
        <w:pStyle w:val="4"/>
        <w:ind w:firstLine="643" w:firstLineChars="200"/>
        <w:rPr>
          <w:rFonts w:hint="eastAsia" w:ascii="Times New Roman" w:hAnsi="Times New Roman" w:eastAsia="仿宋_GB2312"/>
          <w:szCs w:val="32"/>
        </w:rPr>
      </w:pPr>
      <w:bookmarkStart w:id="274" w:name="_Toc26329"/>
      <w:bookmarkStart w:id="275" w:name="_Toc19006"/>
      <w:bookmarkStart w:id="276" w:name="_Toc28501"/>
      <w:bookmarkStart w:id="277" w:name="_Toc9614"/>
      <w:r>
        <w:rPr>
          <w:rFonts w:hint="eastAsia" w:ascii="Times New Roman" w:hAnsi="Times New Roman" w:eastAsia="仿宋_GB2312"/>
          <w:szCs w:val="32"/>
        </w:rPr>
        <w:t>6.</w:t>
      </w:r>
      <w:r>
        <w:rPr>
          <w:rFonts w:hint="eastAsia" w:ascii="Times New Roman" w:eastAsia="仿宋_GB2312"/>
          <w:szCs w:val="32"/>
        </w:rPr>
        <w:t>加强安全监管，营造健康高效诚信的市场秩序</w:t>
      </w:r>
      <w:bookmarkEnd w:id="274"/>
      <w:bookmarkEnd w:id="275"/>
      <w:bookmarkEnd w:id="276"/>
      <w:bookmarkEnd w:id="27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进一步加强体育市场监管力度，推进综合行政执法，提高体育经营场所的安全和风险意识，严格高危体育项目许可，特别是要保障冬奥前后无安全事故。充分发挥法律法规的规范作用、行业协会的自律作用、市场的配置作用、公众和舆论的监督作用，促进体育市场主体自我约束、诚信经营。推进朝阳区体育行业信用体系建设，完善体育企业信息公示制度，强化体育企业信息归集机制，健全信用约束和失信联合惩戒机制。</w:t>
      </w:r>
    </w:p>
    <w:p>
      <w:pPr>
        <w:pStyle w:val="3"/>
        <w:bidi w:val="0"/>
        <w:rPr>
          <w:rFonts w:hint="eastAsia" w:ascii="Calibri" w:hAnsi="Calibri"/>
        </w:rPr>
      </w:pPr>
      <w:bookmarkStart w:id="278" w:name="_Toc6286"/>
      <w:bookmarkStart w:id="279" w:name="_Toc24017"/>
      <w:bookmarkStart w:id="280" w:name="_Toc23029"/>
      <w:bookmarkStart w:id="281" w:name="_Toc24681"/>
      <w:r>
        <w:rPr>
          <w:rFonts w:hint="eastAsia" w:ascii="Calibri" w:hAnsi="Calibri"/>
        </w:rPr>
        <w:t>（四）坚决做好冬奥保障开启后双奥新时代</w:t>
      </w:r>
      <w:bookmarkEnd w:id="278"/>
      <w:bookmarkEnd w:id="279"/>
      <w:bookmarkEnd w:id="280"/>
      <w:bookmarkEnd w:id="281"/>
    </w:p>
    <w:p>
      <w:pPr>
        <w:pStyle w:val="4"/>
        <w:ind w:firstLine="643" w:firstLineChars="200"/>
        <w:rPr>
          <w:rFonts w:hint="eastAsia" w:ascii="Times New Roman" w:hAnsi="Times New Roman" w:eastAsia="仿宋_GB2312"/>
          <w:szCs w:val="32"/>
        </w:rPr>
      </w:pPr>
      <w:bookmarkStart w:id="282" w:name="_Toc5156"/>
      <w:bookmarkStart w:id="283" w:name="_Toc27517"/>
      <w:bookmarkStart w:id="284" w:name="_Toc29294"/>
      <w:bookmarkStart w:id="285" w:name="_Toc15780"/>
      <w:r>
        <w:rPr>
          <w:rFonts w:hint="eastAsia" w:ascii="Times New Roman" w:hAnsi="Times New Roman" w:eastAsia="仿宋_GB2312" w:cs="仿宋"/>
          <w:szCs w:val="32"/>
        </w:rPr>
        <w:t>1.</w:t>
      </w:r>
      <w:r>
        <w:rPr>
          <w:rFonts w:hint="eastAsia" w:ascii="Times New Roman" w:hAnsi="仿宋" w:eastAsia="仿宋_GB2312" w:cs="仿宋"/>
          <w:szCs w:val="32"/>
        </w:rPr>
        <w:t>落实属地服务，以</w:t>
      </w:r>
      <w:r>
        <w:rPr>
          <w:rFonts w:hint="eastAsia" w:ascii="Times New Roman" w:hAnsi="Times New Roman" w:eastAsia="仿宋_GB2312" w:cs="仿宋"/>
          <w:szCs w:val="32"/>
        </w:rPr>
        <w:t>“</w:t>
      </w:r>
      <w:r>
        <w:rPr>
          <w:rFonts w:hint="eastAsia" w:ascii="Times New Roman" w:hAnsi="仿宋" w:eastAsia="仿宋_GB2312" w:cs="仿宋"/>
          <w:szCs w:val="32"/>
        </w:rPr>
        <w:t>朝阳力量</w:t>
      </w:r>
      <w:r>
        <w:rPr>
          <w:rFonts w:hint="eastAsia" w:ascii="Times New Roman" w:hAnsi="Times New Roman" w:eastAsia="仿宋_GB2312" w:cs="仿宋"/>
          <w:szCs w:val="32"/>
        </w:rPr>
        <w:t>”</w:t>
      </w:r>
      <w:r>
        <w:rPr>
          <w:rFonts w:hint="eastAsia" w:ascii="Times New Roman" w:hAnsi="仿宋" w:eastAsia="仿宋_GB2312" w:cs="仿宋"/>
          <w:szCs w:val="32"/>
        </w:rPr>
        <w:t>全力</w:t>
      </w:r>
      <w:r>
        <w:rPr>
          <w:rFonts w:hint="eastAsia" w:ascii="Times New Roman" w:eastAsia="仿宋_GB2312"/>
          <w:szCs w:val="32"/>
        </w:rPr>
        <w:t>做好冬奥保障</w:t>
      </w:r>
      <w:bookmarkEnd w:id="282"/>
      <w:bookmarkEnd w:id="283"/>
      <w:bookmarkEnd w:id="284"/>
      <w:bookmarkEnd w:id="28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作为2022年冬奥会的核心区和主承载区，要全力以赴落实国家工作要求，全方位做好相关筹备和保障工作。组建专业运行保障团队，做实做细各项服务工作。积极与北京冬奥组委对接，与各场馆业主单位做好配合，对标对表，</w:t>
      </w:r>
      <w:r>
        <w:rPr>
          <w:rFonts w:hint="eastAsia" w:ascii="Times New Roman" w:hAnsi="Times New Roman" w:eastAsia="仿宋_GB2312"/>
          <w:sz w:val="32"/>
          <w:szCs w:val="32"/>
          <w:lang w:val="zh-CN"/>
        </w:rPr>
        <w:t>以北京奥林匹克公园为重点，</w:t>
      </w:r>
      <w:r>
        <w:rPr>
          <w:rFonts w:hint="eastAsia" w:ascii="Times New Roman" w:hAnsi="Times New Roman" w:eastAsia="仿宋_GB2312"/>
          <w:sz w:val="32"/>
          <w:szCs w:val="32"/>
        </w:rPr>
        <w:t>联合北京奥林匹克公园管委会，为“鸟巢”、“冰立方”、“冰丝带”、国家体育馆、国家会议中心、冬奥村等冬奥场馆软硬件建设做好协调工作。将冬奥保障资金纳入财政年度预算，做好财力支持。为在朝阳区举办的各项</w:t>
      </w:r>
      <w:r>
        <w:rPr>
          <w:rFonts w:hint="eastAsia" w:ascii="Times New Roman" w:hAnsi="Times New Roman" w:eastAsia="仿宋_GB2312"/>
          <w:sz w:val="32"/>
          <w:szCs w:val="32"/>
          <w:lang w:val="zh-TW" w:eastAsia="zh-TW"/>
        </w:rPr>
        <w:t>冬奥会、残奥会赛前测试赛</w:t>
      </w:r>
      <w:r>
        <w:rPr>
          <w:rFonts w:hint="eastAsia" w:ascii="Times New Roman" w:hAnsi="Times New Roman" w:eastAsia="仿宋_GB2312"/>
          <w:sz w:val="32"/>
          <w:szCs w:val="32"/>
        </w:rPr>
        <w:t>、开幕式、正赛、闭幕式等赛事活动顺利进行提供人、财、物等全方位支持。挑选精兵强将，组建冬奥竞赛志愿者队伍和冬奥朝阳社区志愿者队伍。</w:t>
      </w:r>
    </w:p>
    <w:p>
      <w:pPr>
        <w:pStyle w:val="4"/>
        <w:ind w:firstLine="643" w:firstLineChars="200"/>
        <w:rPr>
          <w:rFonts w:ascii="Times New Roman" w:hAnsi="Times New Roman" w:eastAsia="仿宋_GB2312" w:cs="仿宋"/>
          <w:szCs w:val="32"/>
        </w:rPr>
      </w:pPr>
      <w:bookmarkStart w:id="286" w:name="_Toc9242"/>
      <w:bookmarkStart w:id="287" w:name="_Toc28804"/>
      <w:bookmarkStart w:id="288" w:name="_Toc15344"/>
      <w:bookmarkStart w:id="289" w:name="_Toc22026"/>
      <w:r>
        <w:rPr>
          <w:rFonts w:hint="eastAsia" w:ascii="Times New Roman" w:hAnsi="Times New Roman" w:eastAsia="仿宋_GB2312"/>
          <w:szCs w:val="32"/>
        </w:rPr>
        <w:t>2.</w:t>
      </w:r>
      <w:r>
        <w:rPr>
          <w:rFonts w:hint="eastAsia" w:ascii="Times New Roman" w:eastAsia="仿宋_GB2312"/>
          <w:szCs w:val="32"/>
        </w:rPr>
        <w:t>夯实冰雪基础，以</w:t>
      </w:r>
      <w:r>
        <w:rPr>
          <w:rFonts w:hint="eastAsia" w:ascii="Times New Roman" w:hAnsi="Times New Roman" w:eastAsia="仿宋_GB2312"/>
          <w:szCs w:val="32"/>
        </w:rPr>
        <w:t>“</w:t>
      </w:r>
      <w:r>
        <w:rPr>
          <w:rFonts w:hint="eastAsia" w:ascii="Times New Roman" w:eastAsia="仿宋_GB2312"/>
          <w:szCs w:val="32"/>
        </w:rPr>
        <w:t>朝阳热情</w:t>
      </w:r>
      <w:r>
        <w:rPr>
          <w:rFonts w:hint="eastAsia" w:ascii="Times New Roman" w:hAnsi="Times New Roman" w:eastAsia="仿宋_GB2312"/>
          <w:szCs w:val="32"/>
        </w:rPr>
        <w:t>”</w:t>
      </w:r>
      <w:r>
        <w:rPr>
          <w:rFonts w:hint="eastAsia" w:ascii="Times New Roman" w:eastAsia="仿宋_GB2312"/>
          <w:szCs w:val="32"/>
        </w:rPr>
        <w:t>倾力</w:t>
      </w:r>
      <w:r>
        <w:rPr>
          <w:rFonts w:hint="eastAsia" w:ascii="Times New Roman" w:hAnsi="仿宋" w:eastAsia="仿宋_GB2312" w:cs="仿宋"/>
          <w:szCs w:val="32"/>
        </w:rPr>
        <w:t>营造冬奥氛围</w:t>
      </w:r>
      <w:bookmarkEnd w:id="286"/>
      <w:bookmarkEnd w:id="287"/>
      <w:bookmarkEnd w:id="288"/>
      <w:bookmarkEnd w:id="289"/>
      <w:r>
        <w:rPr>
          <w:rFonts w:hint="eastAsia" w:ascii="Times New Roman" w:hAnsi="Times New Roman" w:eastAsia="仿宋_GB2312" w:cs="仿宋"/>
          <w:szCs w:val="32"/>
        </w:rPr>
        <w:t xml:space="preserve">  </w:t>
      </w:r>
    </w:p>
    <w:p>
      <w:pPr>
        <w:spacing w:line="60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建立区、街道和社区的三级冰雪组织体系，在全区大力普及冰雪运动，升级区域冰雪场地设施水平，带动区域冰雪产业发展，形成浓厚的冬奥文化氛围。培育一批懂冰雪、会教学、知礼仪的冰雪运动社会体育指导员和志愿者，在服务好北京冬奥会和冬残奥会的同时，带动区域100万人次以上参与冰雪运动。在中小学广泛开展冬奥主题赛事活动，力争区域中小学生参与冰雪体验全覆盖。在社区开展“我为冬奥做贡献”的系列活动，每年举办各类大众冰雪赛事活动10场以上，打造冬季健身新亮点和冰雪活动新品牌。区冰雪运动代表队在北京市第二届冬季运动会金牌总数和团体总分位居全市前列。新建或改建冰雪场地设施，全区冬季冰雪场地面积达到100万平方米以上。鼓励开发各类冰雪主题的产品和服务，重点推动冬奥旅游，扩大冰雪产业在全区的产业收入中的比重。</w:t>
      </w:r>
    </w:p>
    <w:p>
      <w:pPr>
        <w:pStyle w:val="4"/>
        <w:ind w:firstLine="643" w:firstLineChars="200"/>
        <w:rPr>
          <w:rFonts w:ascii="Times New Roman" w:hAnsi="Times New Roman" w:eastAsia="仿宋_GB2312"/>
          <w:szCs w:val="32"/>
        </w:rPr>
      </w:pPr>
      <w:bookmarkStart w:id="290" w:name="_Toc24453"/>
      <w:bookmarkStart w:id="291" w:name="_Toc20058"/>
      <w:bookmarkStart w:id="292" w:name="_Toc6952"/>
      <w:bookmarkStart w:id="293" w:name="_Toc2323"/>
      <w:r>
        <w:rPr>
          <w:rFonts w:hint="eastAsia" w:ascii="Times New Roman" w:hAnsi="Times New Roman" w:eastAsia="仿宋_GB2312"/>
          <w:szCs w:val="32"/>
        </w:rPr>
        <w:t>3.</w:t>
      </w:r>
      <w:r>
        <w:rPr>
          <w:rFonts w:hint="eastAsia" w:ascii="Times New Roman" w:eastAsia="仿宋_GB2312"/>
          <w:szCs w:val="32"/>
        </w:rPr>
        <w:t>整合跨界资源，以</w:t>
      </w:r>
      <w:r>
        <w:rPr>
          <w:rFonts w:hint="eastAsia" w:ascii="Times New Roman" w:hAnsi="Times New Roman" w:eastAsia="仿宋_GB2312"/>
          <w:szCs w:val="32"/>
        </w:rPr>
        <w:t>“</w:t>
      </w:r>
      <w:r>
        <w:rPr>
          <w:rFonts w:hint="eastAsia" w:ascii="Times New Roman" w:eastAsia="仿宋_GB2312"/>
          <w:szCs w:val="32"/>
        </w:rPr>
        <w:t>朝阳智慧</w:t>
      </w:r>
      <w:r>
        <w:rPr>
          <w:rFonts w:hint="eastAsia" w:ascii="Times New Roman" w:hAnsi="Times New Roman" w:eastAsia="仿宋_GB2312"/>
          <w:szCs w:val="32"/>
        </w:rPr>
        <w:t>”</w:t>
      </w:r>
      <w:r>
        <w:rPr>
          <w:rFonts w:hint="eastAsia" w:ascii="Times New Roman" w:eastAsia="仿宋_GB2312"/>
          <w:szCs w:val="32"/>
        </w:rPr>
        <w:t>助力双奥遗产开发</w:t>
      </w:r>
      <w:bookmarkEnd w:id="290"/>
      <w:bookmarkEnd w:id="291"/>
      <w:bookmarkEnd w:id="292"/>
      <w:bookmarkEnd w:id="293"/>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冬奥会后要统筹整合以双奥为核心的体育、经济、社会、文化、环境、城市发展和区域发展7个方面的丰厚遗产，开启后冬奥时期朝阳区双奥遗产持续开发的新时代。借鉴国外奥运遗产开发的经验，高水平谋划好朝阳区双奥遗产特别是奥林匹克中心区的未来发展，积极打造高科技智慧中心区。鼓励冬奥相关场馆延展功能，与</w:t>
      </w:r>
      <w:r>
        <w:rPr>
          <w:rFonts w:hint="eastAsia" w:ascii="Times New Roman" w:hAnsi="Times New Roman" w:eastAsia="仿宋_GB2312"/>
          <w:sz w:val="32"/>
          <w:szCs w:val="32"/>
          <w:lang w:val="zh-CN"/>
        </w:rPr>
        <w:t>北京奥林匹克公园</w:t>
      </w:r>
      <w:r>
        <w:rPr>
          <w:rFonts w:hint="eastAsia" w:ascii="Times New Roman" w:hAnsi="Times New Roman" w:eastAsia="仿宋_GB2312"/>
          <w:sz w:val="32"/>
          <w:szCs w:val="32"/>
        </w:rPr>
        <w:t>共同满足多样的大众体育需求，提升综合利用率。对冬奥及其他冰雪场馆的日常运营中产生的水、电等能源按照不高于</w:t>
      </w:r>
      <w:r>
        <w:rPr>
          <w:rFonts w:ascii="Times New Roman" w:hAnsi="Times New Roman" w:eastAsia="仿宋_GB2312"/>
          <w:sz w:val="32"/>
          <w:szCs w:val="32"/>
        </w:rPr>
        <w:t>一般工业标准</w:t>
      </w:r>
      <w:r>
        <w:rPr>
          <w:rFonts w:hint="eastAsia" w:ascii="Times New Roman" w:hAnsi="Times New Roman" w:eastAsia="仿宋_GB2312"/>
          <w:sz w:val="32"/>
          <w:szCs w:val="32"/>
        </w:rPr>
        <w:t>执行。讲好“朝阳双奥”故事，挖掘基层冬奥人物，开展冬奥相关的体育文物、档案、资料等收集、整理、保存和研究利用工作。举办双奥主题的</w:t>
      </w:r>
      <w:r>
        <w:rPr>
          <w:rFonts w:ascii="Times New Roman" w:hAnsi="Times New Roman" w:eastAsia="仿宋_GB2312"/>
          <w:sz w:val="32"/>
          <w:szCs w:val="32"/>
        </w:rPr>
        <w:t>周年庆典、奥林匹克电影展、奥林匹克教育活动</w:t>
      </w:r>
      <w:r>
        <w:rPr>
          <w:rFonts w:hint="eastAsia" w:ascii="Times New Roman" w:hAnsi="Times New Roman" w:eastAsia="仿宋_GB2312"/>
          <w:sz w:val="32"/>
          <w:szCs w:val="32"/>
        </w:rPr>
        <w:t>等内容，形成区域品牌亮点。</w:t>
      </w:r>
    </w:p>
    <w:p>
      <w:pPr>
        <w:pStyle w:val="3"/>
        <w:bidi w:val="0"/>
        <w:rPr>
          <w:rFonts w:hint="eastAsia" w:ascii="Calibri" w:hAnsi="Calibri"/>
        </w:rPr>
      </w:pPr>
      <w:bookmarkStart w:id="294" w:name="_Toc16138"/>
      <w:bookmarkStart w:id="295" w:name="_Toc16454"/>
      <w:bookmarkStart w:id="296" w:name="_Toc9503"/>
      <w:bookmarkStart w:id="297" w:name="_Toc14349"/>
      <w:r>
        <w:rPr>
          <w:rFonts w:hint="eastAsia" w:ascii="Calibri" w:hAnsi="Calibri"/>
        </w:rPr>
        <w:t>（五）打造体育文化精神和对外交流新窗口</w:t>
      </w:r>
      <w:bookmarkEnd w:id="294"/>
      <w:bookmarkEnd w:id="295"/>
      <w:bookmarkEnd w:id="296"/>
      <w:bookmarkEnd w:id="297"/>
    </w:p>
    <w:p>
      <w:pPr>
        <w:pStyle w:val="4"/>
        <w:ind w:firstLine="643" w:firstLineChars="200"/>
        <w:rPr>
          <w:rFonts w:hint="eastAsia" w:ascii="Times New Roman" w:hAnsi="Times New Roman" w:eastAsia="仿宋_GB2312"/>
          <w:szCs w:val="32"/>
        </w:rPr>
      </w:pPr>
      <w:bookmarkStart w:id="298" w:name="_Toc1340"/>
      <w:bookmarkStart w:id="299" w:name="_Toc18572"/>
      <w:bookmarkStart w:id="300" w:name="_Toc4525"/>
      <w:bookmarkStart w:id="301" w:name="_Toc32416"/>
      <w:r>
        <w:rPr>
          <w:rFonts w:hint="eastAsia" w:ascii="Times New Roman" w:hAnsi="Times New Roman" w:eastAsia="仿宋_GB2312"/>
          <w:szCs w:val="32"/>
        </w:rPr>
        <w:t>1.</w:t>
      </w:r>
      <w:r>
        <w:rPr>
          <w:rFonts w:hint="eastAsia" w:ascii="Times New Roman" w:eastAsia="仿宋_GB2312"/>
          <w:szCs w:val="32"/>
        </w:rPr>
        <w:t>精心培育朝阳体育文化和精神</w:t>
      </w:r>
      <w:bookmarkEnd w:id="298"/>
      <w:bookmarkEnd w:id="299"/>
      <w:bookmarkEnd w:id="300"/>
      <w:bookmarkEnd w:id="30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以迎接和举办北京2022年冬奥会为契机，在全区传播奥林匹克精神、普及冬季运动项目、提升民族自豪感。精心培育文明观赛、规则意识和体育公益、志愿服务文化。</w:t>
      </w:r>
      <w:r>
        <w:rPr>
          <w:rFonts w:hint="eastAsia" w:ascii="Times New Roman" w:hAnsi="Times New Roman" w:eastAsia="仿宋_GB2312" w:cs="仿宋_GB2312"/>
          <w:sz w:val="32"/>
          <w:szCs w:val="32"/>
        </w:rPr>
        <w:t>建立</w:t>
      </w:r>
      <w:r>
        <w:rPr>
          <w:rFonts w:ascii="Times New Roman" w:hAnsi="Times New Roman" w:eastAsia="仿宋_GB2312" w:cs="仿宋_GB2312"/>
          <w:sz w:val="32"/>
          <w:szCs w:val="32"/>
        </w:rPr>
        <w:t>朝阳体育</w:t>
      </w:r>
      <w:r>
        <w:rPr>
          <w:rFonts w:hint="eastAsia" w:ascii="Times New Roman" w:hAnsi="Times New Roman" w:eastAsia="仿宋_GB2312" w:cs="仿宋_GB2312"/>
          <w:sz w:val="32"/>
          <w:szCs w:val="32"/>
        </w:rPr>
        <w:t>激励体制</w:t>
      </w:r>
      <w:r>
        <w:rPr>
          <w:rFonts w:ascii="Times New Roman" w:hAnsi="Times New Roman" w:eastAsia="仿宋_GB2312" w:cs="仿宋_GB2312"/>
          <w:sz w:val="32"/>
          <w:szCs w:val="32"/>
        </w:rPr>
        <w:t>，鼓励各类社会组织和体育协会</w:t>
      </w:r>
      <w:r>
        <w:rPr>
          <w:rFonts w:hint="eastAsia" w:ascii="Times New Roman" w:hAnsi="Times New Roman" w:eastAsia="仿宋_GB2312" w:cs="仿宋_GB2312"/>
          <w:sz w:val="32"/>
          <w:szCs w:val="32"/>
        </w:rPr>
        <w:t>打造</w:t>
      </w:r>
      <w:r>
        <w:rPr>
          <w:rFonts w:ascii="Times New Roman" w:hAnsi="Times New Roman" w:eastAsia="仿宋_GB2312" w:cs="仿宋_GB2312"/>
          <w:sz w:val="32"/>
          <w:szCs w:val="32"/>
        </w:rPr>
        <w:t>褒奖运动精神的</w:t>
      </w:r>
      <w:r>
        <w:rPr>
          <w:rFonts w:hint="eastAsia" w:ascii="Times New Roman" w:hAnsi="Times New Roman" w:eastAsia="仿宋_GB2312" w:cs="仿宋_GB2312"/>
          <w:sz w:val="32"/>
          <w:szCs w:val="32"/>
        </w:rPr>
        <w:t>激励举措</w:t>
      </w:r>
      <w:r>
        <w:rPr>
          <w:rFonts w:hint="eastAsia" w:ascii="Times New Roman" w:hAnsi="Times New Roman" w:eastAsia="仿宋_GB2312"/>
          <w:sz w:val="32"/>
          <w:szCs w:val="32"/>
        </w:rPr>
        <w:t>。推动网球、足球、篮球、冰雪等运动项目文化的建设，讲好以运动员为主体的文化故事，引导建立积极向上的粉丝文化。鼓励开展体育影视、体育音乐、体育摄影、体育动漫、体育收藏品等的展示和评选活动。</w:t>
      </w:r>
    </w:p>
    <w:p>
      <w:pPr>
        <w:pStyle w:val="4"/>
        <w:ind w:firstLine="643" w:firstLineChars="200"/>
        <w:rPr>
          <w:rFonts w:hint="eastAsia" w:ascii="Times New Roman" w:hAnsi="Times New Roman" w:eastAsia="仿宋_GB2312"/>
          <w:szCs w:val="32"/>
        </w:rPr>
      </w:pPr>
      <w:bookmarkStart w:id="302" w:name="_Toc22486"/>
      <w:bookmarkStart w:id="303" w:name="_Toc28511"/>
      <w:bookmarkStart w:id="304" w:name="_Toc23802"/>
      <w:bookmarkStart w:id="305" w:name="_Toc31848"/>
      <w:bookmarkStart w:id="359" w:name="_GoBack"/>
      <w:bookmarkEnd w:id="359"/>
      <w:r>
        <w:rPr>
          <w:rFonts w:hint="eastAsia" w:ascii="Times New Roman" w:hAnsi="Times New Roman" w:eastAsia="仿宋_GB2312"/>
          <w:szCs w:val="32"/>
        </w:rPr>
        <w:t>2.</w:t>
      </w:r>
      <w:r>
        <w:rPr>
          <w:rFonts w:hint="eastAsia" w:ascii="Times New Roman" w:eastAsia="仿宋_GB2312"/>
          <w:szCs w:val="32"/>
        </w:rPr>
        <w:t>积极开展体育对外交流和合作</w:t>
      </w:r>
      <w:bookmarkEnd w:id="302"/>
      <w:bookmarkEnd w:id="303"/>
      <w:bookmarkEnd w:id="304"/>
      <w:bookmarkEnd w:id="30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以体育赛事活动为媒介，加强和北京市其他区、京津冀相关城市区域的交流、联动和合作，建立常态化体育互动共享机制；借国际赛事活动，开展国际交流，展示朝阳区的健康、文明、绿色形象，进一步扩大朝阳区国际知名度和影响力。引导、支持和鼓励体育类社会组织和体育企业发挥在体育对外交往活动中的作用。</w:t>
      </w:r>
    </w:p>
    <w:p>
      <w:pPr>
        <w:pStyle w:val="2"/>
        <w:spacing w:after="0" w:afterLines="0"/>
        <w:ind w:firstLine="643" w:firstLineChars="200"/>
        <w:rPr>
          <w:rFonts w:ascii="黑体" w:hAnsi="黑体"/>
          <w:szCs w:val="32"/>
        </w:rPr>
      </w:pPr>
      <w:bookmarkStart w:id="306" w:name="_Toc6186"/>
      <w:bookmarkStart w:id="307" w:name="_Toc25108"/>
      <w:bookmarkStart w:id="308" w:name="_Toc20835"/>
      <w:bookmarkStart w:id="309" w:name="_Toc15121"/>
      <w:r>
        <w:rPr>
          <w:rFonts w:hint="eastAsia" w:ascii="黑体" w:hAnsi="黑体"/>
          <w:szCs w:val="32"/>
        </w:rPr>
        <w:t>五、“十四五”时期体育发展的重点工程</w:t>
      </w:r>
      <w:bookmarkEnd w:id="306"/>
      <w:bookmarkEnd w:id="307"/>
      <w:bookmarkEnd w:id="308"/>
      <w:bookmarkEnd w:id="309"/>
    </w:p>
    <w:p>
      <w:pPr>
        <w:pStyle w:val="3"/>
        <w:bidi w:val="0"/>
        <w:rPr>
          <w:rFonts w:hint="eastAsia" w:ascii="Calibri" w:hAnsi="Calibri"/>
        </w:rPr>
      </w:pPr>
      <w:bookmarkStart w:id="310" w:name="_Toc15352"/>
      <w:bookmarkStart w:id="311" w:name="_Toc14184"/>
      <w:bookmarkStart w:id="312" w:name="_Toc5314"/>
      <w:bookmarkStart w:id="313" w:name="_Toc14558"/>
      <w:r>
        <w:rPr>
          <w:rFonts w:hint="eastAsia" w:ascii="Calibri" w:hAnsi="Calibri"/>
        </w:rPr>
        <w:t>（一）网球特色区建设工程</w:t>
      </w:r>
      <w:bookmarkEnd w:id="310"/>
      <w:bookmarkEnd w:id="311"/>
      <w:bookmarkEnd w:id="312"/>
      <w:bookmarkEnd w:id="313"/>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本工程旨在认真贯彻落实区委、区政府关于网球特色区建设工作的各项部署，</w:t>
      </w:r>
      <w:r>
        <w:rPr>
          <w:rFonts w:hint="eastAsia" w:ascii="Times New Roman" w:hAnsi="Times New Roman" w:eastAsia="仿宋_GB2312"/>
          <w:kern w:val="0"/>
          <w:sz w:val="32"/>
          <w:szCs w:val="32"/>
          <w:lang w:val="zh-CN"/>
        </w:rPr>
        <w:t>依托</w:t>
      </w:r>
      <w:r>
        <w:rPr>
          <w:rFonts w:hint="eastAsia" w:ascii="Times New Roman" w:hAnsi="Times New Roman" w:eastAsia="仿宋_GB2312"/>
          <w:bCs/>
          <w:iCs/>
          <w:spacing w:val="-22"/>
          <w:sz w:val="32"/>
          <w:szCs w:val="32"/>
        </w:rPr>
        <w:t>中国网球公开赛，以普及和推进网球进校园为主题，</w:t>
      </w:r>
      <w:r>
        <w:rPr>
          <w:rFonts w:ascii="Times New Roman" w:hAnsi="Times New Roman" w:eastAsia="仿宋_GB2312"/>
          <w:sz w:val="32"/>
          <w:szCs w:val="32"/>
        </w:rPr>
        <w:t>制定</w:t>
      </w:r>
      <w:r>
        <w:rPr>
          <w:rFonts w:hint="eastAsia" w:ascii="Times New Roman" w:hAnsi="Times New Roman" w:eastAsia="仿宋_GB2312"/>
          <w:sz w:val="32"/>
          <w:szCs w:val="32"/>
        </w:rPr>
        <w:t>朝阳</w:t>
      </w:r>
      <w:r>
        <w:rPr>
          <w:rFonts w:ascii="Times New Roman" w:hAnsi="Times New Roman" w:eastAsia="仿宋_GB2312"/>
          <w:sz w:val="32"/>
          <w:szCs w:val="32"/>
        </w:rPr>
        <w:t>区网球普及标准和网球培训标准，进一步扩大比赛规模，</w:t>
      </w:r>
      <w:r>
        <w:rPr>
          <w:rFonts w:hint="eastAsia" w:ascii="Times New Roman" w:hAnsi="Times New Roman" w:eastAsia="仿宋_GB2312"/>
          <w:sz w:val="32"/>
          <w:szCs w:val="32"/>
        </w:rPr>
        <w:t>推动网球运动普及；</w:t>
      </w:r>
      <w:r>
        <w:rPr>
          <w:rFonts w:hint="eastAsia" w:ascii="Times New Roman" w:hAnsi="Times New Roman" w:eastAsia="仿宋_GB2312"/>
          <w:bCs/>
          <w:iCs/>
          <w:spacing w:val="-22"/>
          <w:sz w:val="32"/>
          <w:szCs w:val="32"/>
        </w:rPr>
        <w:t>以组织具有朝阳特色赛事为抓手，</w:t>
      </w:r>
      <w:r>
        <w:rPr>
          <w:rFonts w:hint="eastAsia" w:ascii="Times New Roman" w:hAnsi="Times New Roman" w:eastAsia="仿宋_GB2312"/>
          <w:sz w:val="32"/>
          <w:szCs w:val="32"/>
        </w:rPr>
        <w:t>通过开展</w:t>
      </w:r>
      <w:r>
        <w:rPr>
          <w:rFonts w:ascii="Times New Roman" w:hAnsi="Times New Roman" w:eastAsia="仿宋_GB2312"/>
          <w:sz w:val="32"/>
          <w:szCs w:val="32"/>
        </w:rPr>
        <w:t>网球</w:t>
      </w:r>
      <w:r>
        <w:rPr>
          <w:rFonts w:hint="eastAsia" w:ascii="Times New Roman" w:hAnsi="Times New Roman" w:eastAsia="仿宋_GB2312"/>
          <w:sz w:val="32"/>
          <w:szCs w:val="32"/>
        </w:rPr>
        <w:t>活动</w:t>
      </w:r>
      <w:r>
        <w:rPr>
          <w:rFonts w:ascii="Times New Roman" w:hAnsi="Times New Roman" w:eastAsia="仿宋_GB2312"/>
          <w:sz w:val="32"/>
          <w:szCs w:val="32"/>
        </w:rPr>
        <w:t>进公园、进社区、进学校，</w:t>
      </w:r>
      <w:r>
        <w:rPr>
          <w:rFonts w:hint="eastAsia" w:ascii="Times New Roman" w:hAnsi="Times New Roman" w:eastAsia="仿宋_GB2312"/>
          <w:sz w:val="32"/>
          <w:szCs w:val="32"/>
        </w:rPr>
        <w:t>进而大幅度提高网球项目运动人口。形成国际化发展、多元化发展、重点面向青少年发展的新格局，同时加强国际交流、实现网球特色区品牌价值立体化拓展，带动全产业链协同发展，通过网球运动持续提高运动员专业化水平与群众健康水平，提升朝阳区国际知名度与网球产业影响力。本工程各项工作按照已制定完成的《朝阳区建设网球特色区工作实施方案》执行。</w:t>
      </w:r>
    </w:p>
    <w:p>
      <w:pPr>
        <w:pStyle w:val="3"/>
        <w:bidi w:val="0"/>
        <w:rPr>
          <w:rFonts w:hint="eastAsia" w:ascii="Calibri" w:hAnsi="Calibri"/>
        </w:rPr>
      </w:pPr>
      <w:bookmarkStart w:id="314" w:name="_Toc11453"/>
      <w:bookmarkStart w:id="315" w:name="_Toc15005"/>
      <w:bookmarkStart w:id="316" w:name="_Toc1986"/>
      <w:bookmarkStart w:id="317" w:name="_Toc31892"/>
      <w:r>
        <w:rPr>
          <w:rFonts w:hint="eastAsia" w:ascii="Calibri" w:hAnsi="Calibri"/>
        </w:rPr>
        <w:t>（二）朝阳区体育场地设施扩容提质和“双改”工程</w:t>
      </w:r>
      <w:bookmarkEnd w:id="314"/>
      <w:bookmarkEnd w:id="315"/>
      <w:bookmarkEnd w:id="316"/>
      <w:bookmarkEnd w:id="31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本工程坚持以人民健康为中心，以群众为主体，以基层为重点，以筹办2022年冬奥会、疏解非首都功能和推动京津冀协同发展为契机，保障朝阳区承载的冬奥场馆的软硬件建设和运维。围绕“文化、国际化、大尺度绿化”建设，充分利用公园、绿地和城市疏解腾退空间等地点，以不断完善全民健身公共服务体系和“一刻钟健身圈”为核心，以满足群众多元化健身需求为抓手，积极利用朝阳区公园、绿地、河道、疏解腾退空间和社区边角空地，分级规划体育场地设施，新建或改建公共体育场地设施，对现有场地场馆进行改造功能、改革机制工作，加大数字化和智能化升级，将形成配套完善、功能齐全、发展平衡的规划建设目标落地。本工程各项工作按照已制定完成的《朝阳区体育设施空间布局专项规划（2018年-2035年）》和《朝阳区体育场地设施建设方案》执行。</w:t>
      </w:r>
    </w:p>
    <w:p>
      <w:pPr>
        <w:pStyle w:val="3"/>
        <w:bidi w:val="0"/>
        <w:rPr>
          <w:rFonts w:hint="eastAsia" w:ascii="Calibri" w:hAnsi="Calibri"/>
        </w:rPr>
      </w:pPr>
      <w:bookmarkStart w:id="318" w:name="_Toc30515"/>
      <w:bookmarkStart w:id="319" w:name="_Toc6525"/>
      <w:bookmarkStart w:id="320" w:name="_Toc5385"/>
      <w:bookmarkStart w:id="321" w:name="_Toc23190"/>
      <w:r>
        <w:rPr>
          <w:rFonts w:hint="eastAsia" w:ascii="Calibri" w:hAnsi="Calibri"/>
        </w:rPr>
        <w:t>（三）朝阳区“功尖计划”青少年体育后备人才工程</w:t>
      </w:r>
      <w:bookmarkEnd w:id="318"/>
      <w:bookmarkEnd w:id="319"/>
      <w:bookmarkEnd w:id="320"/>
      <w:bookmarkEnd w:id="32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本工程旨在全面提高朝阳区青少年竞技体育水平，为北京市和国家培养竞技人才，分为“基层功勋教练”和“体育尖子”成才两个专项计划。拟在 “十四五”时期针对各类体育项目每年在全区扎根基层的、高水平和年轻有潜力的教练员中评选5-10名“基层功勋教练”，总结优秀教练员的理论与实践的培训经验在全区推广，树立典型，宣传榜样，并积极做好宣传推广，形成浓厚的良性竞争机制。拟在“十四五”时期针对朝阳区冰雪运动、网球、游泳等重点运动项目，选拔培养一定数量的“体育尖子”，通过全方位的工作使尖子更尖，不断实现比赛成绩的新突破。逐步完善体育后备人才培养与输送渠道，要加强对其的生活保障及人文关怀，使其有较好的归属感，从而营造体育尖子成长的良好环境，消除学生和家长后顾之忧，降低培养风险。本工程各项工作按照“十四五”初期即将制定的《朝阳区青少年体育人才“功尖”计划》执行。</w:t>
      </w:r>
    </w:p>
    <w:p>
      <w:pPr>
        <w:pStyle w:val="3"/>
        <w:bidi w:val="0"/>
        <w:rPr>
          <w:rFonts w:hint="eastAsia" w:ascii="Calibri" w:hAnsi="Calibri"/>
        </w:rPr>
      </w:pPr>
      <w:bookmarkStart w:id="322" w:name="_Toc29648"/>
      <w:bookmarkStart w:id="323" w:name="_Toc2452"/>
      <w:r>
        <w:rPr>
          <w:rFonts w:hint="eastAsia" w:ascii="Calibri" w:hAnsi="Calibri"/>
        </w:rPr>
        <w:t>（四）朝阳区六大特色运动项目产业提质工程</w:t>
      </w:r>
      <w:bookmarkEnd w:id="322"/>
      <w:bookmarkEnd w:id="323"/>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本工程旨在整合区域优势资源，打通以上运动项目的产业链，培养项目爱好者，吸引国际高水平运动员参赛交流，促进项目产业消费，提高产业能级水平，重点扶持打造足球、网球、冰雪、电子竞技、游泳和路跑六大运动项目产业，同时鼓励其他适合产业化的运动项目走向市场。</w:t>
      </w:r>
    </w:p>
    <w:p>
      <w:pPr>
        <w:spacing w:line="600" w:lineRule="exact"/>
        <w:ind w:firstLine="420" w:firstLineChars="200"/>
        <w:rPr>
          <w:rFonts w:hint="eastAsia" w:ascii="Times New Roman" w:hAnsi="Times New Roman" w:eastAsia="仿宋_GB2312"/>
          <w:sz w:val="32"/>
          <w:szCs w:val="32"/>
        </w:rPr>
      </w:pPr>
      <w:r>
        <w:rPr>
          <w:rStyle w:val="55"/>
          <w:rFonts w:hint="eastAsia"/>
        </w:rPr>
        <w:t>足球产业：</w:t>
      </w:r>
      <w:r>
        <w:rPr>
          <w:rFonts w:hint="eastAsia" w:ascii="Times New Roman" w:hAnsi="Times New Roman" w:eastAsia="仿宋_GB2312"/>
          <w:sz w:val="32"/>
          <w:szCs w:val="32"/>
        </w:rPr>
        <w:t>扶持搭建以北京中赫国安等高水平职业足球俱乐部为龙头，以高水平国际商业比赛为亮点，以足球青训为根基，以大众足球娱乐为消费点，以相关业态为延伸的产业体系。</w:t>
      </w:r>
    </w:p>
    <w:p>
      <w:pPr>
        <w:spacing w:line="600" w:lineRule="exact"/>
        <w:ind w:firstLine="420" w:firstLineChars="200"/>
        <w:rPr>
          <w:rFonts w:ascii="Times New Roman" w:hAnsi="Times New Roman" w:eastAsia="仿宋_GB2312"/>
          <w:sz w:val="32"/>
          <w:szCs w:val="32"/>
        </w:rPr>
      </w:pPr>
      <w:r>
        <w:rPr>
          <w:rStyle w:val="55"/>
          <w:rFonts w:hint="eastAsia"/>
        </w:rPr>
        <w:t>网球产业：</w:t>
      </w:r>
      <w:r>
        <w:rPr>
          <w:rFonts w:hint="eastAsia" w:ascii="Times New Roman" w:hAnsi="Times New Roman" w:eastAsia="仿宋_GB2312"/>
          <w:sz w:val="32"/>
          <w:szCs w:val="32"/>
        </w:rPr>
        <w:t>以国家网球中心场馆群落为核心，建设“国家网球中心园区”，最大限度激发场馆活力。探索网球与文化、科技、旅游等融合，鼓励开发网球科技类产品和服务，打造复合型、多元化的首都网球产业高地。</w:t>
      </w:r>
    </w:p>
    <w:p>
      <w:pPr>
        <w:spacing w:line="600" w:lineRule="exact"/>
        <w:ind w:firstLine="420" w:firstLineChars="200"/>
        <w:rPr>
          <w:rFonts w:ascii="Times New Roman" w:hAnsi="Times New Roman" w:eastAsia="仿宋_GB2312"/>
          <w:sz w:val="32"/>
          <w:szCs w:val="32"/>
        </w:rPr>
      </w:pPr>
      <w:r>
        <w:rPr>
          <w:rStyle w:val="55"/>
          <w:rFonts w:hint="eastAsia"/>
        </w:rPr>
        <w:t>冰雪产业：</w:t>
      </w:r>
      <w:r>
        <w:rPr>
          <w:rFonts w:hint="eastAsia" w:ascii="Times New Roman" w:hAnsi="Times New Roman" w:eastAsia="仿宋_GB2312"/>
          <w:sz w:val="32"/>
          <w:szCs w:val="32"/>
        </w:rPr>
        <w:t>以冬奥相关场馆为重点，以大众冰雪场馆场地为依托，着力提升冰雪竞赛表演、滑冰体验和培训、冰壶体验和培训、冰球培训等冰雪服务业质量和水平。</w:t>
      </w:r>
    </w:p>
    <w:p>
      <w:pPr>
        <w:spacing w:line="600" w:lineRule="exact"/>
        <w:ind w:firstLine="420" w:firstLineChars="200"/>
        <w:rPr>
          <w:rFonts w:hint="eastAsia" w:ascii="Times New Roman" w:hAnsi="Times New Roman" w:eastAsia="仿宋_GB2312"/>
          <w:sz w:val="32"/>
          <w:szCs w:val="32"/>
        </w:rPr>
      </w:pPr>
      <w:r>
        <w:rPr>
          <w:rStyle w:val="55"/>
          <w:rFonts w:hint="eastAsia"/>
        </w:rPr>
        <w:t>电子竞技产业：</w:t>
      </w:r>
      <w:r>
        <w:rPr>
          <w:rFonts w:hint="eastAsia" w:ascii="Times New Roman" w:hAnsi="Times New Roman" w:eastAsia="仿宋_GB2312"/>
          <w:sz w:val="32"/>
          <w:szCs w:val="32"/>
        </w:rPr>
        <w:t>加快研究出台朝阳区电竞产业发展规划和配套政策，支持打造电竞主题园区，倡导积极健康的电竞理念，抢占未来电竞发展制高点，在“电竞北京”中彰显朝阳亮点。</w:t>
      </w:r>
    </w:p>
    <w:p>
      <w:pPr>
        <w:spacing w:line="600" w:lineRule="exact"/>
        <w:ind w:firstLine="420" w:firstLineChars="200"/>
        <w:rPr>
          <w:rFonts w:ascii="Times New Roman" w:hAnsi="Times New Roman" w:eastAsia="仿宋_GB2312"/>
          <w:sz w:val="32"/>
          <w:szCs w:val="32"/>
        </w:rPr>
      </w:pPr>
      <w:r>
        <w:rPr>
          <w:rStyle w:val="55"/>
          <w:rFonts w:hint="eastAsia"/>
        </w:rPr>
        <w:t>游泳产业：</w:t>
      </w:r>
      <w:r>
        <w:rPr>
          <w:rFonts w:hint="eastAsia" w:ascii="Times New Roman" w:hAnsi="Times New Roman" w:eastAsia="仿宋_GB2312"/>
          <w:sz w:val="32"/>
          <w:szCs w:val="32"/>
        </w:rPr>
        <w:t>进一步推进朝阳的优势项目游泳产业化进程，以区域内国际高水平游泳赛事为引领，以游泳培训、游泳场馆运营为两大抓手，释放游泳与教育、娱乐、文化的融合价值。</w:t>
      </w:r>
    </w:p>
    <w:p>
      <w:pPr>
        <w:spacing w:line="600" w:lineRule="exact"/>
        <w:ind w:firstLine="420" w:firstLineChars="200"/>
        <w:rPr>
          <w:rFonts w:hint="eastAsia" w:ascii="Times New Roman" w:hAnsi="Times New Roman" w:eastAsia="仿宋_GB2312"/>
          <w:sz w:val="32"/>
          <w:szCs w:val="32"/>
        </w:rPr>
      </w:pPr>
      <w:r>
        <w:rPr>
          <w:rStyle w:val="55"/>
          <w:rFonts w:hint="eastAsia"/>
        </w:rPr>
        <w:t>路跑产业：</w:t>
      </w:r>
      <w:r>
        <w:rPr>
          <w:rFonts w:hint="eastAsia" w:ascii="Times New Roman" w:hAnsi="Times New Roman" w:eastAsia="仿宋_GB2312"/>
          <w:sz w:val="32"/>
          <w:szCs w:val="32"/>
        </w:rPr>
        <w:t>以奥林匹克森林公园、朝阳公园等为重点区域，鼓励路跑赛事活动和各类跑团落户朝阳，发展路跑培训、运动康复、智能路跑产品和服务。</w:t>
      </w:r>
    </w:p>
    <w:p>
      <w:pPr>
        <w:pStyle w:val="3"/>
        <w:bidi w:val="0"/>
        <w:rPr>
          <w:rFonts w:hint="eastAsia" w:ascii="Calibri" w:hAnsi="Calibri"/>
        </w:rPr>
      </w:pPr>
      <w:bookmarkStart w:id="324" w:name="_Toc10229"/>
      <w:bookmarkStart w:id="325" w:name="_Toc4881"/>
      <w:r>
        <w:rPr>
          <w:rFonts w:hint="eastAsia" w:ascii="Calibri" w:hAnsi="Calibri"/>
        </w:rPr>
        <w:t>（五）朝阳区后冬奥时期“双奥遗产”开发工程</w:t>
      </w:r>
      <w:bookmarkEnd w:id="324"/>
      <w:bookmarkEnd w:id="325"/>
    </w:p>
    <w:p>
      <w:pPr>
        <w:spacing w:line="600" w:lineRule="exact"/>
        <w:ind w:firstLine="640" w:firstLineChars="200"/>
        <w:rPr>
          <w:rFonts w:hint="eastAsia" w:ascii="Times New Roman" w:hAnsi="Times New Roman" w:eastAsia="仿宋_GB2312" w:cs="仿宋_GB2312"/>
          <w:sz w:val="32"/>
          <w:szCs w:val="32"/>
        </w:rPr>
      </w:pPr>
      <w:r>
        <w:rPr>
          <w:rFonts w:hint="eastAsia" w:ascii="Times New Roman" w:hAnsi="仿宋_GB2312" w:eastAsia="仿宋_GB2312" w:cs="仿宋_GB2312"/>
          <w:sz w:val="32"/>
          <w:szCs w:val="32"/>
        </w:rPr>
        <w:t>本工程旨在围绕做优做响</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双奥核心区</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品牌，以奥运功能区为重点充分释放</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双奥遗产</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价值。协助和推动奥运功能区积极加强奥运遗产的综合保护和开发利用，</w:t>
      </w:r>
      <w:r>
        <w:rPr>
          <w:rFonts w:hint="eastAsia" w:ascii="Times New Roman" w:hAnsi="Times New Roman" w:eastAsia="仿宋_GB2312"/>
          <w:sz w:val="32"/>
          <w:szCs w:val="32"/>
        </w:rPr>
        <w:t>突出奥运功能区“双奥”文化特色、国际资源优势、生态绿色基底，坚持高端引领，</w:t>
      </w:r>
      <w:r>
        <w:rPr>
          <w:rFonts w:hint="eastAsia" w:ascii="Times New Roman" w:hAnsi="仿宋_GB2312" w:eastAsia="仿宋_GB2312" w:cs="仿宋_GB2312"/>
          <w:sz w:val="32"/>
          <w:szCs w:val="32"/>
        </w:rPr>
        <w:t>持续强化奥运功能区的</w:t>
      </w:r>
      <w:r>
        <w:rPr>
          <w:rFonts w:hint="eastAsia" w:ascii="Times New Roman" w:hAnsi="Times New Roman" w:eastAsia="仿宋_GB2312"/>
          <w:sz w:val="32"/>
          <w:szCs w:val="32"/>
          <w:lang w:val="zh-CN"/>
        </w:rPr>
        <w:t>“国际交往联络窗口、世界文化交流平台、国家体育休闲中心”</w:t>
      </w:r>
      <w:r>
        <w:rPr>
          <w:rFonts w:hint="eastAsia" w:ascii="Times New Roman" w:hAnsi="仿宋_GB2312" w:eastAsia="仿宋_GB2312" w:cs="仿宋_GB2312"/>
          <w:sz w:val="32"/>
          <w:szCs w:val="32"/>
        </w:rPr>
        <w:t>核心功能，重点打造大国外交议事高品质会客厅、发挥奥运功能区在全国体育文化中心和国际体育交往中心建设中的核心承载作用。在后冬奥时期</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双奥遗产</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开发工程中重点抓好如下四方面工作：</w:t>
      </w:r>
      <w:r>
        <w:rPr>
          <w:rFonts w:hint="eastAsia" w:ascii="Times New Roman" w:hAnsi="Times New Roman" w:eastAsia="仿宋_GB2312"/>
          <w:sz w:val="32"/>
          <w:szCs w:val="32"/>
          <w:lang w:val="zh-CN"/>
        </w:rPr>
        <w:t>一是推进国家体育场（“鸟巢</w:t>
      </w:r>
      <w:r>
        <w:rPr>
          <w:rFonts w:hint="eastAsia" w:ascii="Times New Roman" w:hAnsi="Times New Roman" w:eastAsia="仿宋_GB2312"/>
          <w:sz w:val="32"/>
          <w:szCs w:val="32"/>
        </w:rPr>
        <w:t>”</w:t>
      </w:r>
      <w:r>
        <w:rPr>
          <w:rFonts w:hint="eastAsia" w:ascii="Times New Roman" w:hAnsi="Times New Roman" w:eastAsia="仿宋_GB2312"/>
          <w:sz w:val="32"/>
          <w:szCs w:val="32"/>
          <w:lang w:val="zh-CN"/>
        </w:rPr>
        <w:t>）、国家游泳中心（“水立方</w:t>
      </w:r>
      <w:r>
        <w:rPr>
          <w:rFonts w:hint="eastAsia" w:ascii="Times New Roman" w:hAnsi="Times New Roman" w:eastAsia="仿宋_GB2312"/>
          <w:sz w:val="32"/>
          <w:szCs w:val="32"/>
        </w:rPr>
        <w:t>”</w:t>
      </w:r>
      <w:r>
        <w:rPr>
          <w:rFonts w:hint="eastAsia" w:ascii="Times New Roman" w:hAnsi="Times New Roman" w:eastAsia="仿宋_GB2312"/>
          <w:sz w:val="32"/>
          <w:szCs w:val="32"/>
          <w:lang w:val="zh-CN"/>
        </w:rPr>
        <w:t>“冰立方</w:t>
      </w:r>
      <w:r>
        <w:rPr>
          <w:rFonts w:hint="eastAsia" w:ascii="Times New Roman" w:hAnsi="Times New Roman" w:eastAsia="仿宋_GB2312"/>
          <w:sz w:val="32"/>
          <w:szCs w:val="32"/>
        </w:rPr>
        <w:t>”</w:t>
      </w:r>
      <w:r>
        <w:rPr>
          <w:rFonts w:hint="eastAsia" w:ascii="Times New Roman" w:hAnsi="Times New Roman" w:eastAsia="仿宋_GB2312"/>
          <w:sz w:val="32"/>
          <w:szCs w:val="32"/>
          <w:lang w:val="zh-CN"/>
        </w:rPr>
        <w:t>）、国家体育馆、国家速滑馆（“冰丝带</w:t>
      </w:r>
      <w:r>
        <w:rPr>
          <w:rFonts w:hint="eastAsia" w:ascii="Times New Roman" w:hAnsi="Times New Roman" w:eastAsia="仿宋_GB2312"/>
          <w:sz w:val="32"/>
          <w:szCs w:val="32"/>
        </w:rPr>
        <w:t>”</w:t>
      </w:r>
      <w:r>
        <w:rPr>
          <w:rFonts w:hint="eastAsia" w:ascii="Times New Roman" w:hAnsi="Times New Roman" w:eastAsia="仿宋_GB2312"/>
          <w:sz w:val="32"/>
          <w:szCs w:val="32"/>
          <w:lang w:val="zh-CN"/>
        </w:rPr>
        <w:t>）等场馆进行冬夏两用、错季复用改造，增加活动数量，提升活动质量。</w:t>
      </w:r>
      <w:r>
        <w:rPr>
          <w:rFonts w:hint="eastAsia" w:ascii="Times New Roman" w:hAnsi="仿宋_GB2312" w:eastAsia="仿宋_GB2312" w:cs="仿宋_GB2312"/>
          <w:sz w:val="32"/>
          <w:szCs w:val="32"/>
        </w:rPr>
        <w:t>二是进一步加强奥园品牌建设，深入开发北京奥林匹克公园</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十八景</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的奥运文化和产业价值，突出奥园体育文化的厚重感，开发奥运旅游产品和服务。三是整体设计，形成一盘棋，主题活动区域分季实施。冬有雪趣，夏有水戏，主题鲜明，特色突出。冬季有</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相约</w:t>
      </w:r>
      <w:r>
        <w:rPr>
          <w:rFonts w:hint="eastAsia" w:ascii="Times New Roman" w:hAnsi="Times New Roman" w:eastAsia="仿宋_GB2312" w:cs="仿宋_GB2312"/>
          <w:sz w:val="32"/>
          <w:szCs w:val="32"/>
        </w:rPr>
        <w:t>2022”</w:t>
      </w:r>
      <w:r>
        <w:rPr>
          <w:rFonts w:hint="eastAsia" w:ascii="Times New Roman" w:hAnsi="仿宋_GB2312" w:eastAsia="仿宋_GB2312" w:cs="仿宋_GB2312"/>
          <w:sz w:val="32"/>
          <w:szCs w:val="32"/>
        </w:rPr>
        <w:t>冰雪文化节，打造冬奥文化超级盛典。夏季围绕</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欢乐水魔方</w:t>
      </w:r>
      <w:r>
        <w:rPr>
          <w:rFonts w:hint="eastAsia" w:ascii="Times New Roman" w:hAnsi="Times New Roman" w:eastAsia="仿宋_GB2312" w:cs="仿宋_GB2312"/>
          <w:sz w:val="32"/>
          <w:szCs w:val="32"/>
        </w:rPr>
        <w:t>”</w:t>
      </w:r>
      <w:r>
        <w:rPr>
          <w:rFonts w:hint="eastAsia" w:ascii="Times New Roman" w:hAnsi="仿宋_GB2312" w:eastAsia="仿宋_GB2312" w:cs="仿宋_GB2312"/>
          <w:sz w:val="32"/>
          <w:szCs w:val="32"/>
        </w:rPr>
        <w:t>、月色码头、奥园夜经济等主题，结合园区特色演艺、文化、体育等活动和奥森公园夜间开放，打造市民消夏避暑胜地。四是协助推进国际冬季运动（北京）博览会打造成为全球规模最大、最权威的冰雪产业第一展。</w:t>
      </w:r>
    </w:p>
    <w:p>
      <w:pPr>
        <w:pStyle w:val="2"/>
        <w:spacing w:after="0" w:afterLines="0"/>
        <w:ind w:firstLine="643" w:firstLineChars="200"/>
        <w:rPr>
          <w:rFonts w:ascii="黑体" w:hAnsi="黑体"/>
          <w:szCs w:val="32"/>
        </w:rPr>
      </w:pPr>
      <w:bookmarkStart w:id="326" w:name="_Toc3025"/>
      <w:bookmarkStart w:id="327" w:name="_Toc12792"/>
      <w:bookmarkStart w:id="328" w:name="_Toc26982"/>
      <w:bookmarkStart w:id="329" w:name="_Toc12660"/>
      <w:r>
        <w:rPr>
          <w:rFonts w:hint="eastAsia" w:ascii="黑体" w:hAnsi="黑体"/>
          <w:szCs w:val="32"/>
        </w:rPr>
        <w:t>六、“十四五”时期体育发展的保障措施</w:t>
      </w:r>
      <w:bookmarkEnd w:id="326"/>
      <w:bookmarkEnd w:id="327"/>
      <w:bookmarkEnd w:id="328"/>
      <w:bookmarkEnd w:id="329"/>
    </w:p>
    <w:p>
      <w:pPr>
        <w:pStyle w:val="3"/>
        <w:bidi w:val="0"/>
        <w:rPr>
          <w:rFonts w:hint="eastAsia" w:ascii="Calibri" w:hAnsi="Calibri"/>
        </w:rPr>
      </w:pPr>
      <w:bookmarkStart w:id="330" w:name="_Toc17011"/>
      <w:bookmarkStart w:id="331" w:name="_Toc28549"/>
      <w:r>
        <w:rPr>
          <w:rFonts w:hint="eastAsia" w:ascii="Calibri" w:hAnsi="Calibri"/>
        </w:rPr>
        <w:t>（一）党建引领，加强组织领导</w:t>
      </w:r>
      <w:bookmarkEnd w:id="330"/>
      <w:bookmarkEnd w:id="331"/>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充分发挥党的各级组织在朝阳体育发展中的领导作用和战斗堡垒作用，加强党建工作，激励干部担当作为。区政府要切实加强对体育工作的领导，将体育纳入朝阳区国民经济和社会发展规划，把体育改革发展作为满足人民美化生活需求和促进区域发展的战略任务来抓，进一步转变政府职能，深入推动“放管服”改革，充分调动社会力量，构建管办分离、内外联动、各司其职、灵活高效的体育组织领导新模式。</w:t>
      </w:r>
    </w:p>
    <w:p>
      <w:pPr>
        <w:pStyle w:val="3"/>
        <w:bidi w:val="0"/>
        <w:rPr>
          <w:rFonts w:hint="eastAsia" w:ascii="Calibri" w:hAnsi="Calibri"/>
        </w:rPr>
      </w:pPr>
      <w:bookmarkStart w:id="332" w:name="_Toc151"/>
      <w:bookmarkStart w:id="333" w:name="_Toc23132"/>
      <w:r>
        <w:rPr>
          <w:rFonts w:hint="eastAsia" w:ascii="Calibri" w:hAnsi="Calibri"/>
        </w:rPr>
        <w:t>（二）多方筹措，加大投入保障</w:t>
      </w:r>
      <w:bookmarkEnd w:id="332"/>
      <w:bookmarkEnd w:id="333"/>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将体育事业经费、冬奥保障资金、体育基础建设资金分别纳入区级财政预算和基本建设投资计划，确保体育经费年增长幅度高于财政经常性收入增长幅度。加大公共体育服务、青少年后备体育人才培养和体育产业优质项目扶持的投入力度，提高和调动各方参与体育发展的积极性。探索建立多渠道的体育经费投入体系，鼓励和支持社会、企业、个人采取赞助、合作和投资体育，鼓励社会资本力量建立体育产业发展专项基金。加强对体育彩票公益金的使用和管理，严格按照国家规定用于体育事业发展。加大对体育工作中做出突出成绩的教练员、运动员、管理人员的扶持力度。对免费开放体育设施的学校、用于群众健身的体育设施，探索落实经费补贴等政策支持。</w:t>
      </w:r>
    </w:p>
    <w:p>
      <w:pPr>
        <w:pStyle w:val="3"/>
        <w:bidi w:val="0"/>
        <w:rPr>
          <w:rFonts w:hint="eastAsia" w:ascii="Calibri" w:hAnsi="Calibri"/>
        </w:rPr>
      </w:pPr>
      <w:bookmarkStart w:id="334" w:name="_Toc30694"/>
      <w:bookmarkStart w:id="335" w:name="_Toc26306"/>
      <w:r>
        <w:rPr>
          <w:rFonts w:hint="eastAsia" w:ascii="Calibri" w:hAnsi="Calibri"/>
        </w:rPr>
        <w:t>（三）协同联动，健全配套政策</w:t>
      </w:r>
      <w:bookmarkEnd w:id="334"/>
      <w:bookmarkEnd w:id="33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强调工作机制创新，鼓励先行先试，争取形成区域特色明显、具有竞争力的高效工作机制。体育部门要加强与发展改革、规划、财政、税收等部门的联系与合作，建立健全体育工作领导协调机制，进一步强化体教、体文旅、体医、体绿、体建等结合，协同联动的工作机制，明确细化相关部门工作责任，推进规划的分步实施。继续深入京津冀一体化联动，与相关城市和区域进行多维度体育互动，做出朝阳贡献。积极落实国家、北京市针对体育制定的相关政策，以规划为导向，建立健全朝阳区体育配套政策体系，着力重点领域和关键环节，制定详细的分类工作计划和实施方案，提高政策的针对性和有效性，借助高校、研究机构等专业化智库，加强政策制定的前瞻性以及政策效度评价的科学性。</w:t>
      </w:r>
    </w:p>
    <w:p>
      <w:pPr>
        <w:pStyle w:val="3"/>
        <w:bidi w:val="0"/>
        <w:rPr>
          <w:rFonts w:hint="eastAsia" w:ascii="Calibri" w:hAnsi="Calibri"/>
        </w:rPr>
      </w:pPr>
      <w:r>
        <w:rPr>
          <w:rFonts w:hint="eastAsia" w:ascii="Calibri" w:hAnsi="Calibri"/>
        </w:rPr>
        <w:t>（四）集聚精英，着力人才支撑</w:t>
      </w:r>
    </w:p>
    <w:p>
      <w:pPr>
        <w:pStyle w:val="51"/>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开展体育人才工作专项调研，制定全区体育人才队伍建设规划。窗体顶端</w:t>
      </w:r>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开展体育人才工作专项调研，制定系统内体育人才队伍建设规划。加大体育专业人才培育，积极搭建和提供体育社会组织专业培训平台，建立人才培训长效机制，促进竞技类体育社会组织项目普及和水平提升。鼓励街道、社区聘用体育专业人才从事健身指导工作，加大对高端体育产业人才的培养力度，加强教练员等专业技术人才队伍建设，增加急缺的冬季项目教练员编制，健全专业理论、业务培训、绩效考核、职称评定和激励机制。通过政策引导、借力“外脑”和智库、本土培育，建立体育产业人力资源保障体系，将朝阳区打造成为高质量体育产业人才的聚集中心，为体育强区建设提供智力支撑。</w:t>
      </w:r>
    </w:p>
    <w:p>
      <w:pPr>
        <w:pStyle w:val="3"/>
        <w:bidi w:val="0"/>
        <w:rPr>
          <w:rFonts w:hint="eastAsia" w:ascii="Calibri" w:hAnsi="Calibri"/>
        </w:rPr>
      </w:pPr>
      <w:bookmarkStart w:id="336" w:name="_Toc13965"/>
      <w:bookmarkStart w:id="337" w:name="_Toc25960"/>
      <w:bookmarkStart w:id="338" w:name="_Toc497249920"/>
      <w:bookmarkStart w:id="339" w:name="_Toc487922249"/>
      <w:bookmarkStart w:id="340" w:name="_Toc1967"/>
      <w:bookmarkStart w:id="341" w:name="_Toc23568"/>
      <w:bookmarkStart w:id="342" w:name="_Toc7756"/>
      <w:bookmarkStart w:id="343" w:name="_Toc31865"/>
      <w:r>
        <w:rPr>
          <w:rFonts w:hint="eastAsia" w:ascii="Calibri" w:hAnsi="Calibri"/>
        </w:rPr>
        <w:t>（五）注重宣传，营造良好氛围</w:t>
      </w:r>
      <w:bookmarkEnd w:id="336"/>
      <w:bookmarkEnd w:id="337"/>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广泛深入开展体育宣传工作，充分利用线上和线下等宣传媒体多渠道、多层次开展形式多样的宣传活动，为全区人民关心体育、了解体育、参与体育、支持体育提供平台，开辟全民健身和冬奥专题专栏，普及健身和冬奥知识，宣传健身效果，增强公众的自觉体育健身意识，引导居民参与冬奥筹备和保障的热情，积极引导居民树立正确的体育消费观念，养成良好的体育消费习惯，传播体育带来的正能量，营造朝阳区健康向上的体育氛围。</w:t>
      </w:r>
    </w:p>
    <w:p>
      <w:pPr>
        <w:pStyle w:val="3"/>
        <w:bidi w:val="0"/>
        <w:rPr>
          <w:rFonts w:hint="eastAsia" w:ascii="Calibri" w:hAnsi="Calibri"/>
        </w:rPr>
      </w:pPr>
      <w:bookmarkStart w:id="344" w:name="_Toc10413"/>
      <w:bookmarkStart w:id="345" w:name="_Toc5364"/>
      <w:r>
        <w:rPr>
          <w:rFonts w:hint="eastAsia" w:ascii="Calibri" w:hAnsi="Calibri"/>
        </w:rPr>
        <w:t>（六）科学评价</w:t>
      </w:r>
      <w:bookmarkEnd w:id="338"/>
      <w:bookmarkEnd w:id="339"/>
      <w:bookmarkEnd w:id="340"/>
      <w:bookmarkEnd w:id="341"/>
      <w:bookmarkEnd w:id="342"/>
      <w:bookmarkEnd w:id="343"/>
      <w:r>
        <w:rPr>
          <w:rFonts w:hint="eastAsia" w:ascii="Calibri" w:hAnsi="Calibri"/>
        </w:rPr>
        <w:t>，强化督查落实</w:t>
      </w:r>
      <w:bookmarkEnd w:id="344"/>
      <w:bookmarkEnd w:id="345"/>
    </w:p>
    <w:p>
      <w:pPr>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全面推动各项工作实施评价标准建设，健全科学民主决策和监督机制，加快构建行政监督、信用管理、行业自律、社会参与相结合的综合评价监管体系，完善重大项目集体决策、专家咨询、社会公示制度，增强政策制定透明度和公众参与度。 强化对规划实施工作的宏观管理和微观指导。根据目标加强年度工作计划安排，明确推进步骤，落实工作责任。各有关部门要根据规划要求，结合实际情况，抓好各项工作落实。有关部门对落实本意见的情况进行监督检查和跟踪分析，重大事项及时向区政府报告。</w:t>
      </w:r>
    </w:p>
    <w:p>
      <w:pPr>
        <w:pStyle w:val="2"/>
        <w:rPr>
          <w:rFonts w:hint="eastAsia" w:ascii="Times New Roman" w:hAnsi="Times New Roman" w:eastAsia="仿宋_GB2312"/>
          <w:szCs w:val="32"/>
        </w:rPr>
        <w:sectPr>
          <w:footerReference r:id="rId3" w:type="default"/>
          <w:pgSz w:w="11906" w:h="16838"/>
          <w:pgMar w:top="1213" w:right="1633" w:bottom="1213" w:left="1633" w:header="851" w:footer="992" w:gutter="0"/>
          <w:pgNumType w:start="1"/>
          <w:cols w:space="720" w:num="1"/>
          <w:docGrid w:type="lines" w:linePitch="312" w:charSpace="0"/>
        </w:sectPr>
      </w:pPr>
      <w:bookmarkStart w:id="346" w:name="_Toc24814"/>
      <w:bookmarkStart w:id="347" w:name="_Toc21080"/>
      <w:bookmarkStart w:id="348" w:name="_Toc2813"/>
      <w:bookmarkStart w:id="349" w:name="_Toc8814"/>
    </w:p>
    <w:p>
      <w:pPr>
        <w:pStyle w:val="2"/>
        <w:rPr>
          <w:rFonts w:hint="eastAsia"/>
        </w:rPr>
      </w:pPr>
      <w:r>
        <w:rPr>
          <w:rFonts w:hint="eastAsia"/>
        </w:rPr>
        <w:t>附件  朝阳区“十四五”时期拟发展重点体育项目清单</w:t>
      </w:r>
      <w:bookmarkEnd w:id="346"/>
      <w:bookmarkEnd w:id="347"/>
    </w:p>
    <w:tbl>
      <w:tblPr>
        <w:tblStyle w:val="15"/>
        <w:tblW w:w="14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4100"/>
        <w:gridCol w:w="91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60" w:type="dxa"/>
            <w:gridSpan w:val="3"/>
            <w:noWrap w:val="0"/>
            <w:vAlign w:val="top"/>
          </w:tcPr>
          <w:p>
            <w:pPr>
              <w:jc w:val="center"/>
              <w:rPr>
                <w:rFonts w:hint="eastAsia"/>
                <w:sz w:val="28"/>
                <w:szCs w:val="28"/>
              </w:rPr>
            </w:pPr>
            <w:r>
              <w:rPr>
                <w:rFonts w:hint="eastAsia" w:ascii="仿宋" w:hAnsi="仿宋" w:eastAsia="黑体"/>
                <w:b/>
                <w:sz w:val="32"/>
              </w:rPr>
              <w:t>朝阳区“十四五”时期</w:t>
            </w:r>
            <w:r>
              <w:rPr>
                <w:rFonts w:hint="eastAsia"/>
                <w:b/>
                <w:sz w:val="32"/>
              </w:rPr>
              <w:t>拟发展</w:t>
            </w:r>
            <w:r>
              <w:rPr>
                <w:rFonts w:hint="eastAsia" w:ascii="仿宋" w:hAnsi="仿宋" w:eastAsia="黑体"/>
                <w:b/>
                <w:sz w:val="32"/>
              </w:rPr>
              <w:t>重点体育项目清单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jc w:val="center"/>
              <w:rPr>
                <w:sz w:val="22"/>
                <w:szCs w:val="22"/>
              </w:rPr>
            </w:pPr>
            <w:r>
              <w:rPr>
                <w:rFonts w:hint="eastAsia"/>
                <w:sz w:val="22"/>
                <w:szCs w:val="22"/>
              </w:rPr>
              <w:t>序号</w:t>
            </w:r>
          </w:p>
        </w:tc>
        <w:tc>
          <w:tcPr>
            <w:tcW w:w="4100" w:type="dxa"/>
            <w:noWrap w:val="0"/>
            <w:vAlign w:val="center"/>
          </w:tcPr>
          <w:p>
            <w:pPr>
              <w:jc w:val="center"/>
              <w:rPr>
                <w:sz w:val="22"/>
                <w:szCs w:val="22"/>
              </w:rPr>
            </w:pPr>
            <w:r>
              <w:rPr>
                <w:rFonts w:hint="eastAsia"/>
                <w:sz w:val="22"/>
                <w:szCs w:val="22"/>
              </w:rPr>
              <w:t>项目名称</w:t>
            </w:r>
          </w:p>
        </w:tc>
        <w:tc>
          <w:tcPr>
            <w:tcW w:w="9173" w:type="dxa"/>
            <w:noWrap w:val="0"/>
            <w:vAlign w:val="center"/>
          </w:tcPr>
          <w:p>
            <w:pPr>
              <w:jc w:val="center"/>
              <w:rPr>
                <w:sz w:val="22"/>
                <w:szCs w:val="22"/>
              </w:rPr>
            </w:pPr>
            <w:r>
              <w:rPr>
                <w:rFonts w:hint="eastAsia"/>
                <w:sz w:val="22"/>
                <w:szCs w:val="22"/>
              </w:rPr>
              <w:t>项目概述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spacing w:line="360" w:lineRule="auto"/>
              <w:jc w:val="center"/>
              <w:rPr>
                <w:rFonts w:ascii="仿宋" w:hAnsi="仿宋" w:eastAsia="仿宋" w:cs="仿宋"/>
                <w:sz w:val="24"/>
              </w:rPr>
            </w:pPr>
          </w:p>
        </w:tc>
        <w:tc>
          <w:tcPr>
            <w:tcW w:w="4100"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坝河水系景观廊道体育配套建设项目</w:t>
            </w:r>
          </w:p>
        </w:tc>
        <w:tc>
          <w:tcPr>
            <w:tcW w:w="9173"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结合利用景观廊道建设篮球场、网球场、室外健身路径器材等健身场地15处，建设1个中央运动公园及多个社区运动公园，总面积约20万平方米。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spacing w:line="360" w:lineRule="auto"/>
              <w:jc w:val="center"/>
              <w:rPr>
                <w:rFonts w:hint="eastAsia" w:ascii="仿宋" w:hAnsi="仿宋" w:eastAsia="仿宋" w:cs="仿宋"/>
                <w:sz w:val="24"/>
              </w:rPr>
            </w:pPr>
          </w:p>
        </w:tc>
        <w:tc>
          <w:tcPr>
            <w:tcW w:w="4100"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温榆河湿地公园体育配套项目</w:t>
            </w:r>
          </w:p>
        </w:tc>
        <w:tc>
          <w:tcPr>
            <w:tcW w:w="9173"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在该项目中将设计建设运动中心、全民智慧运动公园、太极文化广场等体育场地设施，总面积约29.2万平方米。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spacing w:line="360" w:lineRule="auto"/>
              <w:jc w:val="center"/>
              <w:rPr>
                <w:rFonts w:hint="eastAsia" w:ascii="仿宋" w:hAnsi="仿宋" w:eastAsia="仿宋" w:cs="仿宋"/>
                <w:sz w:val="24"/>
              </w:rPr>
            </w:pPr>
          </w:p>
        </w:tc>
        <w:tc>
          <w:tcPr>
            <w:tcW w:w="4100"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全民健身基地建设项目</w:t>
            </w:r>
          </w:p>
        </w:tc>
        <w:tc>
          <w:tcPr>
            <w:tcW w:w="9173"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计划在马家湾湿地公园（陆地面积45万平方米）、朝来森林公园（53万平方米）、朝南万亩森林公园（1667万平方米）、常营体育公园等公园绿地（13.6万平方米），建设一批满足群众健身需求和休闲需求的体育设施，打造城市健身集合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spacing w:line="360" w:lineRule="auto"/>
              <w:jc w:val="center"/>
              <w:rPr>
                <w:rFonts w:hint="eastAsia" w:ascii="仿宋" w:hAnsi="仿宋" w:eastAsia="仿宋" w:cs="仿宋"/>
                <w:sz w:val="24"/>
              </w:rPr>
            </w:pPr>
          </w:p>
        </w:tc>
        <w:tc>
          <w:tcPr>
            <w:tcW w:w="4100"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老旧公园改造提升项目</w:t>
            </w:r>
          </w:p>
        </w:tc>
        <w:tc>
          <w:tcPr>
            <w:tcW w:w="9173" w:type="dxa"/>
            <w:noWrap w:val="0"/>
            <w:vAlign w:val="center"/>
          </w:tcPr>
          <w:p>
            <w:pPr>
              <w:spacing w:line="360" w:lineRule="auto"/>
              <w:rPr>
                <w:rFonts w:hint="eastAsia" w:ascii="仿宋" w:hAnsi="仿宋" w:eastAsia="仿宋" w:cs="仿宋"/>
                <w:sz w:val="24"/>
              </w:rPr>
            </w:pPr>
            <w:r>
              <w:rPr>
                <w:rFonts w:hint="eastAsia" w:ascii="仿宋" w:hAnsi="仿宋" w:eastAsia="仿宋" w:cs="仿宋"/>
                <w:sz w:val="24"/>
              </w:rPr>
              <w:t>拟将团结湖公园、元大都公园等年久失修的公园改造建设纳入区发改委基础设施改造项目库，现有空闲场地上适当合理增建一批健身场地设施，利用现有园路改建一批健身步道。拟在庆丰公园、望和公园、西会公园、京城梨园等地点建设15公里以上的健身步道，在公园中适当增设年轻人热衷的时尚运动设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top"/>
          </w:tcPr>
          <w:p>
            <w:pPr>
              <w:numPr>
                <w:ilvl w:val="0"/>
                <w:numId w:val="1"/>
              </w:numPr>
              <w:spacing w:line="500" w:lineRule="exact"/>
              <w:jc w:val="center"/>
              <w:rPr>
                <w:rFonts w:ascii="仿宋" w:hAnsi="仿宋" w:eastAsia="仿宋" w:cs="仿宋"/>
                <w:sz w:val="24"/>
              </w:rPr>
            </w:pPr>
          </w:p>
        </w:tc>
        <w:tc>
          <w:tcPr>
            <w:tcW w:w="4100" w:type="dxa"/>
            <w:noWrap w:val="0"/>
            <w:vAlign w:val="center"/>
          </w:tcPr>
          <w:p>
            <w:pPr>
              <w:spacing w:line="500" w:lineRule="exact"/>
              <w:rPr>
                <w:rFonts w:hint="eastAsia" w:ascii="仿宋" w:hAnsi="仿宋" w:eastAsia="仿宋" w:cs="仿宋"/>
                <w:sz w:val="24"/>
              </w:rPr>
            </w:pPr>
            <w:r>
              <w:rPr>
                <w:rFonts w:hint="eastAsia" w:ascii="仿宋" w:hAnsi="仿宋" w:eastAsia="仿宋" w:cs="仿宋"/>
                <w:sz w:val="24"/>
              </w:rPr>
              <w:t>体校飞跃计划项目</w:t>
            </w:r>
          </w:p>
        </w:tc>
        <w:tc>
          <w:tcPr>
            <w:tcW w:w="9173" w:type="dxa"/>
            <w:noWrap w:val="0"/>
            <w:vAlign w:val="top"/>
          </w:tcPr>
          <w:p>
            <w:pPr>
              <w:spacing w:line="500" w:lineRule="exact"/>
              <w:jc w:val="left"/>
              <w:rPr>
                <w:rFonts w:hint="eastAsia" w:ascii="仿宋" w:hAnsi="仿宋" w:eastAsia="仿宋" w:cs="仿宋"/>
                <w:sz w:val="24"/>
              </w:rPr>
            </w:pPr>
            <w:r>
              <w:rPr>
                <w:rFonts w:hint="eastAsia" w:ascii="仿宋" w:hAnsi="仿宋" w:eastAsia="仿宋" w:cs="仿宋"/>
                <w:sz w:val="24"/>
              </w:rPr>
              <w:t>建设一所集小、初、高为一体的全日制体育运动学校。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top"/>
          </w:tcPr>
          <w:p>
            <w:pPr>
              <w:numPr>
                <w:ilvl w:val="0"/>
                <w:numId w:val="1"/>
              </w:numPr>
              <w:spacing w:line="500" w:lineRule="exact"/>
              <w:jc w:val="center"/>
              <w:rPr>
                <w:rFonts w:ascii="仿宋" w:hAnsi="仿宋" w:eastAsia="仿宋" w:cs="仿宋"/>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动感少年计划项目</w:t>
            </w:r>
          </w:p>
        </w:tc>
        <w:tc>
          <w:tcPr>
            <w:tcW w:w="9173" w:type="dxa"/>
            <w:noWrap w:val="0"/>
            <w:vAlign w:val="top"/>
          </w:tcPr>
          <w:p>
            <w:pPr>
              <w:spacing w:line="500" w:lineRule="exact"/>
              <w:jc w:val="left"/>
              <w:rPr>
                <w:rFonts w:hint="eastAsia" w:ascii="仿宋" w:hAnsi="仿宋" w:eastAsia="仿宋" w:cs="仿宋"/>
                <w:sz w:val="24"/>
              </w:rPr>
            </w:pPr>
            <w:r>
              <w:rPr>
                <w:rFonts w:hint="eastAsia" w:ascii="仿宋" w:hAnsi="仿宋" w:eastAsia="仿宋" w:cs="仿宋"/>
                <w:sz w:val="24"/>
              </w:rPr>
              <w:t>联合教育部门共同推动学生掌握两项以上运动技能。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top"/>
          </w:tcPr>
          <w:p>
            <w:pPr>
              <w:numPr>
                <w:ilvl w:val="0"/>
                <w:numId w:val="1"/>
              </w:numPr>
              <w:spacing w:line="500" w:lineRule="exact"/>
              <w:jc w:val="center"/>
              <w:rPr>
                <w:rFonts w:ascii="仿宋" w:hAnsi="仿宋" w:eastAsia="仿宋" w:cs="仿宋"/>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冬夏令营计划项目</w:t>
            </w:r>
          </w:p>
        </w:tc>
        <w:tc>
          <w:tcPr>
            <w:tcW w:w="9173" w:type="dxa"/>
            <w:noWrap w:val="0"/>
            <w:vAlign w:val="top"/>
          </w:tcPr>
          <w:p>
            <w:pPr>
              <w:spacing w:line="500" w:lineRule="exact"/>
              <w:jc w:val="left"/>
              <w:rPr>
                <w:rFonts w:hint="eastAsia" w:eastAsia="仿宋_GB2312"/>
                <w:sz w:val="24"/>
              </w:rPr>
            </w:pPr>
            <w:r>
              <w:rPr>
                <w:rFonts w:hint="eastAsia" w:eastAsia="仿宋_GB2312"/>
                <w:sz w:val="24"/>
              </w:rPr>
              <w:t>利用每年寒暑假举办网球、冰雪、足球等项目冬夏令营。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top"/>
          </w:tcPr>
          <w:p>
            <w:pPr>
              <w:numPr>
                <w:ilvl w:val="0"/>
                <w:numId w:val="1"/>
              </w:numPr>
              <w:spacing w:line="500" w:lineRule="exact"/>
              <w:jc w:val="center"/>
              <w:rPr>
                <w:rFonts w:ascii="仿宋" w:hAnsi="仿宋" w:eastAsia="仿宋" w:cs="仿宋"/>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“百万朝阳群众助力冬奥”项目</w:t>
            </w:r>
          </w:p>
        </w:tc>
        <w:tc>
          <w:tcPr>
            <w:tcW w:w="9173" w:type="dxa"/>
            <w:noWrap w:val="0"/>
            <w:vAlign w:val="top"/>
          </w:tcPr>
          <w:p>
            <w:pPr>
              <w:spacing w:line="500" w:lineRule="exact"/>
              <w:jc w:val="left"/>
              <w:rPr>
                <w:rFonts w:hint="eastAsia" w:ascii="仿宋" w:hAnsi="仿宋" w:eastAsia="仿宋" w:cs="仿宋"/>
                <w:sz w:val="24"/>
              </w:rPr>
            </w:pPr>
            <w:r>
              <w:rPr>
                <w:rFonts w:hint="eastAsia" w:ascii="仿宋" w:hAnsi="仿宋" w:eastAsia="仿宋" w:cs="仿宋"/>
                <w:sz w:val="24"/>
              </w:rPr>
              <w:t>带动区域100万人次以上参与冰雪运动。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top"/>
          </w:tcPr>
          <w:p>
            <w:pPr>
              <w:numPr>
                <w:ilvl w:val="0"/>
                <w:numId w:val="1"/>
              </w:numPr>
              <w:spacing w:line="500" w:lineRule="exact"/>
              <w:jc w:val="center"/>
              <w:rPr>
                <w:rFonts w:ascii="仿宋" w:hAnsi="仿宋" w:eastAsia="仿宋" w:cs="仿宋"/>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搭建“朝阳冬奥展示舞台”项目</w:t>
            </w:r>
          </w:p>
        </w:tc>
        <w:tc>
          <w:tcPr>
            <w:tcW w:w="9173" w:type="dxa"/>
            <w:noWrap w:val="0"/>
            <w:vAlign w:val="top"/>
          </w:tcPr>
          <w:p>
            <w:pPr>
              <w:spacing w:line="500" w:lineRule="exact"/>
              <w:jc w:val="left"/>
              <w:rPr>
                <w:rFonts w:hint="eastAsia" w:ascii="仿宋" w:hAnsi="仿宋" w:eastAsia="仿宋" w:cs="仿宋"/>
                <w:sz w:val="24"/>
              </w:rPr>
            </w:pPr>
            <w:r>
              <w:rPr>
                <w:rFonts w:hint="eastAsia" w:ascii="仿宋" w:hAnsi="仿宋" w:eastAsia="仿宋" w:cs="仿宋"/>
                <w:sz w:val="24"/>
              </w:rPr>
              <w:t>联合北京电视台冬奥频道打造具有朝阳元素的栏目或节目内容。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top"/>
          </w:tcPr>
          <w:p>
            <w:pPr>
              <w:numPr>
                <w:ilvl w:val="0"/>
                <w:numId w:val="1"/>
              </w:numPr>
              <w:spacing w:line="500" w:lineRule="exact"/>
              <w:jc w:val="center"/>
              <w:rPr>
                <w:rFonts w:ascii="仿宋" w:hAnsi="仿宋" w:eastAsia="仿宋" w:cs="仿宋"/>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“双奥开发”支持政策项目</w:t>
            </w:r>
          </w:p>
        </w:tc>
        <w:tc>
          <w:tcPr>
            <w:tcW w:w="9173" w:type="dxa"/>
            <w:noWrap w:val="0"/>
            <w:vAlign w:val="top"/>
          </w:tcPr>
          <w:p>
            <w:pPr>
              <w:spacing w:line="500" w:lineRule="exact"/>
              <w:jc w:val="left"/>
              <w:rPr>
                <w:rFonts w:hint="eastAsia" w:eastAsia="仿宋_GB2312"/>
                <w:sz w:val="24"/>
              </w:rPr>
            </w:pPr>
            <w:r>
              <w:rPr>
                <w:rFonts w:hint="eastAsia" w:eastAsia="仿宋_GB2312"/>
                <w:sz w:val="24"/>
              </w:rPr>
              <w:t>制定并实施《朝阳区双奥遗产开发实施意见（2022-2025）》。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jc w:val="center"/>
              <w:rPr>
                <w:rFonts w:hint="eastAsia"/>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冬奥文化大讲堂项目</w:t>
            </w:r>
          </w:p>
        </w:tc>
        <w:tc>
          <w:tcPr>
            <w:tcW w:w="9173" w:type="dxa"/>
            <w:noWrap w:val="0"/>
            <w:vAlign w:val="center"/>
          </w:tcPr>
          <w:p>
            <w:pPr>
              <w:spacing w:line="500" w:lineRule="exact"/>
              <w:rPr>
                <w:rFonts w:hint="eastAsia" w:ascii="仿宋" w:hAnsi="仿宋" w:eastAsia="仿宋" w:cs="仿宋"/>
                <w:sz w:val="24"/>
              </w:rPr>
            </w:pPr>
            <w:r>
              <w:rPr>
                <w:rFonts w:hint="eastAsia" w:ascii="仿宋" w:hAnsi="仿宋" w:eastAsia="仿宋" w:cs="仿宋"/>
                <w:sz w:val="24"/>
              </w:rPr>
              <w:t>举办冬奥主题的系列线上或线下讲座。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jc w:val="center"/>
              <w:rPr>
                <w:rFonts w:hint="eastAsia"/>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移动的网球项目</w:t>
            </w:r>
          </w:p>
        </w:tc>
        <w:tc>
          <w:tcPr>
            <w:tcW w:w="9173" w:type="dxa"/>
            <w:noWrap w:val="0"/>
            <w:vAlign w:val="center"/>
          </w:tcPr>
          <w:p>
            <w:pPr>
              <w:spacing w:line="500" w:lineRule="exact"/>
              <w:rPr>
                <w:rFonts w:hint="eastAsia" w:ascii="仿宋" w:hAnsi="仿宋" w:eastAsia="仿宋" w:cs="仿宋"/>
                <w:sz w:val="24"/>
              </w:rPr>
            </w:pPr>
            <w:r>
              <w:rPr>
                <w:rFonts w:hint="eastAsia" w:ascii="仿宋" w:hAnsi="仿宋" w:eastAsia="仿宋" w:cs="仿宋"/>
                <w:sz w:val="24"/>
              </w:rPr>
              <w:t>推动网球文化进校园、进社区。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87" w:type="dxa"/>
            <w:noWrap w:val="0"/>
            <w:vAlign w:val="center"/>
          </w:tcPr>
          <w:p>
            <w:pPr>
              <w:numPr>
                <w:ilvl w:val="0"/>
                <w:numId w:val="1"/>
              </w:numPr>
              <w:jc w:val="center"/>
              <w:rPr>
                <w:rFonts w:hint="eastAsia"/>
                <w:sz w:val="24"/>
              </w:rPr>
            </w:pPr>
          </w:p>
        </w:tc>
        <w:tc>
          <w:tcPr>
            <w:tcW w:w="4100" w:type="dxa"/>
            <w:noWrap w:val="0"/>
            <w:vAlign w:val="center"/>
          </w:tcPr>
          <w:p>
            <w:pPr>
              <w:spacing w:line="500" w:lineRule="exact"/>
              <w:rPr>
                <w:rFonts w:ascii="仿宋" w:hAnsi="仿宋" w:eastAsia="仿宋" w:cs="仿宋"/>
                <w:sz w:val="24"/>
              </w:rPr>
            </w:pPr>
            <w:r>
              <w:rPr>
                <w:rFonts w:hint="eastAsia" w:ascii="仿宋" w:hAnsi="仿宋" w:eastAsia="仿宋" w:cs="仿宋"/>
                <w:sz w:val="24"/>
              </w:rPr>
              <w:t>朝阳体育走进京津冀项目</w:t>
            </w:r>
          </w:p>
        </w:tc>
        <w:tc>
          <w:tcPr>
            <w:tcW w:w="9173" w:type="dxa"/>
            <w:noWrap w:val="0"/>
            <w:vAlign w:val="center"/>
          </w:tcPr>
          <w:p>
            <w:pPr>
              <w:spacing w:line="500" w:lineRule="exact"/>
              <w:rPr>
                <w:rFonts w:hint="eastAsia" w:ascii="仿宋" w:hAnsi="仿宋" w:eastAsia="仿宋" w:cs="仿宋"/>
                <w:sz w:val="24"/>
              </w:rPr>
            </w:pPr>
            <w:r>
              <w:rPr>
                <w:rFonts w:hint="eastAsia" w:ascii="仿宋" w:hAnsi="仿宋" w:eastAsia="仿宋" w:cs="仿宋"/>
                <w:sz w:val="24"/>
              </w:rPr>
              <w:t>开展京津冀体育文化交流系列活动。</w:t>
            </w:r>
          </w:p>
        </w:tc>
      </w:tr>
    </w:tbl>
    <w:p>
      <w:pPr>
        <w:rPr>
          <w:rFonts w:hint="eastAsia"/>
        </w:rPr>
      </w:pPr>
      <w:r>
        <w:rPr>
          <w:rFonts w:hint="eastAsia" w:ascii="仿宋" w:hAnsi="仿宋" w:eastAsia="仿宋" w:cs="仿宋"/>
          <w:sz w:val="24"/>
          <w:szCs w:val="32"/>
        </w:rPr>
        <w:t>注：以上项目为拟建项目，根据实际情况可进行调整。</w:t>
      </w:r>
    </w:p>
    <w:p>
      <w:pPr>
        <w:rPr>
          <w:rFonts w:hint="eastAsia" w:ascii="仿宋" w:hAnsi="仿宋" w:eastAsia="黑体"/>
          <w:b/>
          <w:sz w:val="32"/>
        </w:rPr>
      </w:pPr>
    </w:p>
    <w:p>
      <w:pPr>
        <w:rPr>
          <w:rFonts w:hint="eastAsia" w:ascii="仿宋" w:hAnsi="仿宋" w:eastAsia="黑体"/>
          <w:b/>
          <w:sz w:val="32"/>
        </w:rPr>
      </w:pPr>
    </w:p>
    <w:p>
      <w:pPr>
        <w:pStyle w:val="2"/>
        <w:rPr>
          <w:rFonts w:hint="eastAsia"/>
        </w:rPr>
        <w:sectPr>
          <w:pgSz w:w="16838" w:h="11906" w:orient="landscape"/>
          <w:pgMar w:top="1633" w:right="1213" w:bottom="1633" w:left="1213" w:header="851" w:footer="992" w:gutter="0"/>
          <w:cols w:space="720" w:num="1"/>
          <w:docGrid w:type="lines" w:linePitch="312" w:charSpace="0"/>
        </w:sectPr>
      </w:pPr>
      <w:bookmarkStart w:id="350" w:name="_Toc2705"/>
      <w:bookmarkStart w:id="351" w:name="_Toc427"/>
    </w:p>
    <w:p>
      <w:pPr>
        <w:pStyle w:val="2"/>
        <w:rPr>
          <w:rFonts w:hint="eastAsia"/>
        </w:rPr>
      </w:pPr>
      <w:r>
        <w:rPr>
          <w:rFonts w:hint="eastAsia"/>
        </w:rPr>
        <w:t>附录1  相关名词解释</w:t>
      </w:r>
      <w:bookmarkEnd w:id="348"/>
      <w:bookmarkEnd w:id="349"/>
      <w:bookmarkEnd w:id="350"/>
      <w:bookmarkEnd w:id="351"/>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1.“一刻钟健身圈”：</w:t>
      </w:r>
      <w:r>
        <w:rPr>
          <w:rFonts w:hint="eastAsia" w:ascii="仿宋_GB2312" w:hAnsi="仿宋" w:eastAsia="仿宋_GB2312"/>
          <w:sz w:val="32"/>
          <w:szCs w:val="32"/>
        </w:rPr>
        <w:t>群众走路15分钟即可享受相关体育设施和服务。</w:t>
      </w:r>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2.社区体育健身俱乐部：</w:t>
      </w:r>
      <w:r>
        <w:rPr>
          <w:rFonts w:hint="eastAsia" w:ascii="仿宋_GB2312" w:hAnsi="仿宋" w:eastAsia="仿宋_GB2312"/>
          <w:sz w:val="32"/>
          <w:szCs w:val="32"/>
        </w:rPr>
        <w:t>是社区居民根据共同的目的和兴趣自愿组成的，以辖区内特定的体育场地设施为依托，经常开展体育活动，且隶属于街道办事处或社区居委会的公益性群众体育组织。</w:t>
      </w:r>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3.全民健身公共服务体系：</w:t>
      </w:r>
      <w:r>
        <w:rPr>
          <w:rFonts w:hint="eastAsia" w:ascii="仿宋_GB2312" w:hAnsi="仿宋" w:eastAsia="仿宋_GB2312"/>
          <w:sz w:val="32"/>
          <w:szCs w:val="32"/>
        </w:rPr>
        <w:t>是各级政府为保障人民群众基本体育权益，满足日益增长的体育服务需求，投资兴办的以公共体育场地设施、公益体育组织网络、群众性体育活动系统、公益社会体育指导员队伍、健身指导及信息服务系统为支撑和运作评估为基本框架的覆盖全社会的体育健身服务体系。它是社会公共服务体系的组成部分。</w:t>
      </w:r>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4.《国民体质测定标准》：</w:t>
      </w:r>
      <w:r>
        <w:rPr>
          <w:rFonts w:hint="eastAsia" w:ascii="仿宋_GB2312" w:hAnsi="仿宋" w:eastAsia="仿宋_GB2312"/>
          <w:sz w:val="32"/>
          <w:szCs w:val="32"/>
        </w:rPr>
        <w:t>是为指导国民科学健身，促进全民健身活动的开展，针对3至69周岁国民个体的形态、机能和身体素质的测试与评定的标准。按年龄分为幼儿、青少年、成年人和老年人4个部分，其中青少年标准为《</w:t>
      </w:r>
      <w:r>
        <w:rPr>
          <w:rFonts w:hint="eastAsia" w:ascii="仿宋_GB2312" w:hAnsi="仿宋" w:eastAsia="仿宋_GB2312"/>
          <w:sz w:val="32"/>
          <w:szCs w:val="32"/>
        </w:rPr>
        <w:fldChar w:fldCharType="begin"/>
      </w:r>
      <w:r>
        <w:rPr>
          <w:rFonts w:hint="eastAsia" w:ascii="仿宋_GB2312" w:hAnsi="仿宋" w:eastAsia="仿宋_GB2312"/>
          <w:sz w:val="32"/>
          <w:szCs w:val="32"/>
        </w:rPr>
        <w:instrText xml:space="preserve">HYPERLINK "http://baike.baidu.com/view/3733522.htm" \t "_blank"</w:instrText>
      </w:r>
      <w:r>
        <w:rPr>
          <w:rFonts w:hint="eastAsia" w:ascii="仿宋_GB2312" w:hAnsi="仿宋" w:eastAsia="仿宋_GB2312"/>
          <w:sz w:val="32"/>
          <w:szCs w:val="32"/>
        </w:rPr>
        <w:fldChar w:fldCharType="separate"/>
      </w:r>
      <w:r>
        <w:rPr>
          <w:rFonts w:hint="eastAsia" w:ascii="仿宋_GB2312" w:hAnsi="仿宋" w:eastAsia="仿宋_GB2312"/>
          <w:sz w:val="32"/>
          <w:szCs w:val="32"/>
        </w:rPr>
        <w:t>学</w:t>
      </w:r>
      <w:bookmarkStart w:id="352" w:name="_Hlt440822214"/>
      <w:bookmarkEnd w:id="352"/>
      <w:r>
        <w:rPr>
          <w:rFonts w:hint="eastAsia" w:ascii="仿宋_GB2312" w:hAnsi="仿宋" w:eastAsia="仿宋_GB2312"/>
          <w:sz w:val="32"/>
          <w:szCs w:val="32"/>
        </w:rPr>
        <w:t>生</w:t>
      </w:r>
      <w:bookmarkStart w:id="353" w:name="_Hlt440822168"/>
      <w:bookmarkEnd w:id="353"/>
      <w:bookmarkStart w:id="354" w:name="_Hlt440822169"/>
      <w:bookmarkEnd w:id="354"/>
      <w:r>
        <w:rPr>
          <w:rFonts w:hint="eastAsia" w:ascii="仿宋_GB2312" w:hAnsi="仿宋" w:eastAsia="仿宋_GB2312"/>
          <w:sz w:val="32"/>
          <w:szCs w:val="32"/>
        </w:rPr>
        <w:t>体质健康标准</w:t>
      </w:r>
      <w:r>
        <w:rPr>
          <w:rFonts w:hint="eastAsia" w:ascii="仿宋_GB2312" w:hAnsi="仿宋" w:eastAsia="仿宋_GB2312"/>
          <w:sz w:val="32"/>
          <w:szCs w:val="32"/>
        </w:rPr>
        <w:fldChar w:fldCharType="end"/>
      </w:r>
      <w:r>
        <w:rPr>
          <w:rFonts w:hint="eastAsia" w:ascii="仿宋_GB2312" w:hAnsi="仿宋" w:eastAsia="仿宋_GB2312"/>
          <w:sz w:val="32"/>
          <w:szCs w:val="32"/>
        </w:rPr>
        <w:t>》。</w:t>
      </w:r>
    </w:p>
    <w:p>
      <w:pPr>
        <w:spacing w:line="600" w:lineRule="exact"/>
        <w:ind w:firstLine="643" w:firstLineChars="200"/>
        <w:rPr>
          <w:rFonts w:hint="eastAsia" w:ascii="仿宋_GB2312" w:eastAsia="仿宋_GB2312"/>
          <w:sz w:val="28"/>
          <w:szCs w:val="28"/>
        </w:rPr>
      </w:pPr>
      <w:r>
        <w:rPr>
          <w:rFonts w:hint="eastAsia" w:ascii="仿宋_GB2312" w:hAnsi="仿宋" w:eastAsia="仿宋_GB2312"/>
          <w:b/>
          <w:sz w:val="32"/>
          <w:szCs w:val="32"/>
        </w:rPr>
        <w:t>5.社会体育指导员：</w:t>
      </w:r>
      <w:r>
        <w:rPr>
          <w:rFonts w:hint="eastAsia" w:ascii="仿宋_GB2312" w:hAnsi="仿宋" w:eastAsia="仿宋_GB2312"/>
          <w:sz w:val="32"/>
          <w:szCs w:val="32"/>
        </w:rPr>
        <w:t>是在群众性体育健身活动中以各种指导方式为健身者提供科学健身宣传、体育技能传授、健身锻炼指导和组织管理服务并被确认相应资格的专门人员。社会体育指导员工作制度是我国一项重要的体育制度。</w:t>
      </w:r>
    </w:p>
    <w:p>
      <w:pPr>
        <w:spacing w:line="600" w:lineRule="exact"/>
        <w:ind w:firstLine="643" w:firstLineChars="200"/>
        <w:rPr>
          <w:rFonts w:hint="eastAsia" w:ascii="仿宋_GB2312" w:hAnsi="仿宋" w:eastAsia="仿宋_GB2312"/>
          <w:bCs/>
          <w:sz w:val="32"/>
          <w:szCs w:val="32"/>
        </w:rPr>
      </w:pPr>
      <w:r>
        <w:rPr>
          <w:rFonts w:hint="eastAsia" w:ascii="仿宋_GB2312" w:hAnsi="仿宋" w:eastAsia="仿宋_GB2312"/>
          <w:b/>
          <w:sz w:val="32"/>
          <w:szCs w:val="32"/>
        </w:rPr>
        <w:t>6.商圈体育：</w:t>
      </w:r>
      <w:r>
        <w:rPr>
          <w:rFonts w:hint="eastAsia" w:ascii="仿宋_GB2312" w:hAnsi="仿宋" w:eastAsia="仿宋_GB2312"/>
          <w:bCs/>
          <w:sz w:val="32"/>
          <w:szCs w:val="32"/>
        </w:rPr>
        <w:t>本规划提及的商圈体育指在CBD（中央商务区）、商业购物中心、商业写字楼等区域承载的体育相关内容。</w:t>
      </w:r>
    </w:p>
    <w:p>
      <w:pPr>
        <w:spacing w:line="600" w:lineRule="exact"/>
        <w:ind w:firstLine="643" w:firstLineChars="200"/>
        <w:rPr>
          <w:rFonts w:hint="eastAsia" w:ascii="仿宋_GB2312" w:hAnsi="仿宋" w:eastAsia="仿宋_GB2312"/>
          <w:b/>
          <w:sz w:val="32"/>
          <w:szCs w:val="32"/>
        </w:rPr>
      </w:pPr>
      <w:r>
        <w:rPr>
          <w:rFonts w:hint="eastAsia" w:ascii="仿宋_GB2312" w:hAnsi="仿宋" w:eastAsia="仿宋_GB2312"/>
          <w:b/>
          <w:sz w:val="32"/>
          <w:szCs w:val="32"/>
        </w:rPr>
        <w:t>7.公园体育：</w:t>
      </w:r>
      <w:r>
        <w:rPr>
          <w:rFonts w:hint="eastAsia" w:ascii="仿宋_GB2312" w:hAnsi="仿宋" w:eastAsia="仿宋_GB2312"/>
          <w:bCs/>
          <w:sz w:val="32"/>
          <w:szCs w:val="32"/>
        </w:rPr>
        <w:t>本规划提及的公园体育指在区级综合公园、专项公园、街边公园等区域承载的体育相关内容。</w:t>
      </w:r>
    </w:p>
    <w:p>
      <w:pPr>
        <w:spacing w:line="600" w:lineRule="exact"/>
        <w:ind w:firstLine="643" w:firstLineChars="200"/>
        <w:rPr>
          <w:rFonts w:hint="eastAsia" w:ascii="仿宋_GB2312" w:hAnsi="仿宋" w:eastAsia="仿宋_GB2312"/>
          <w:b/>
          <w:sz w:val="32"/>
          <w:szCs w:val="32"/>
        </w:rPr>
      </w:pPr>
      <w:r>
        <w:rPr>
          <w:rFonts w:hint="eastAsia" w:ascii="仿宋_GB2312" w:hAnsi="仿宋" w:eastAsia="仿宋_GB2312"/>
          <w:b/>
          <w:sz w:val="32"/>
          <w:szCs w:val="32"/>
        </w:rPr>
        <w:t>8.“三大球”：</w:t>
      </w:r>
      <w:r>
        <w:rPr>
          <w:rFonts w:hint="eastAsia" w:ascii="仿宋_GB2312" w:hAnsi="仿宋" w:eastAsia="仿宋_GB2312"/>
          <w:bCs/>
          <w:sz w:val="32"/>
          <w:szCs w:val="32"/>
        </w:rPr>
        <w:t>指</w:t>
      </w:r>
      <w:r>
        <w:rPr>
          <w:rFonts w:hint="eastAsia" w:ascii="仿宋_GB2312" w:hAnsi="仿宋" w:eastAsia="仿宋_GB2312"/>
          <w:bCs/>
          <w:sz w:val="32"/>
          <w:szCs w:val="32"/>
        </w:rPr>
        <w:fldChar w:fldCharType="begin"/>
      </w:r>
      <w:r>
        <w:rPr>
          <w:rFonts w:hint="eastAsia" w:ascii="仿宋_GB2312" w:hAnsi="仿宋" w:eastAsia="仿宋_GB2312"/>
          <w:bCs/>
          <w:sz w:val="32"/>
          <w:szCs w:val="32"/>
        </w:rPr>
        <w:instrText xml:space="preserve"> HYPERLINK "https://baike.baidu.com/item/%E8%B6%B3%E7%90%83/122380" \t "https://baike.baidu.com/item/%E4%B8%89%E5%A4%A7%E7%90%83/_blank" </w:instrText>
      </w:r>
      <w:r>
        <w:rPr>
          <w:rFonts w:hint="eastAsia" w:ascii="仿宋_GB2312" w:hAnsi="仿宋" w:eastAsia="仿宋_GB2312"/>
          <w:bCs/>
          <w:sz w:val="32"/>
          <w:szCs w:val="32"/>
        </w:rPr>
        <w:fldChar w:fldCharType="separate"/>
      </w:r>
      <w:r>
        <w:rPr>
          <w:rFonts w:hint="eastAsia" w:ascii="仿宋_GB2312" w:hAnsi="仿宋" w:eastAsia="仿宋_GB2312"/>
          <w:bCs/>
          <w:sz w:val="32"/>
          <w:szCs w:val="32"/>
        </w:rPr>
        <w:t>足球</w:t>
      </w:r>
      <w:r>
        <w:rPr>
          <w:rFonts w:hint="eastAsia" w:ascii="仿宋_GB2312" w:hAnsi="仿宋" w:eastAsia="仿宋_GB2312"/>
          <w:bCs/>
          <w:sz w:val="32"/>
          <w:szCs w:val="32"/>
        </w:rPr>
        <w:fldChar w:fldCharType="end"/>
      </w:r>
      <w:r>
        <w:rPr>
          <w:rFonts w:hint="eastAsia" w:ascii="仿宋_GB2312" w:hAnsi="仿宋" w:eastAsia="仿宋_GB2312"/>
          <w:bCs/>
          <w:sz w:val="32"/>
          <w:szCs w:val="32"/>
        </w:rPr>
        <w:t>、</w:t>
      </w:r>
      <w:r>
        <w:rPr>
          <w:rFonts w:hint="eastAsia" w:ascii="仿宋_GB2312" w:hAnsi="仿宋" w:eastAsia="仿宋_GB2312"/>
          <w:bCs/>
          <w:sz w:val="32"/>
          <w:szCs w:val="32"/>
        </w:rPr>
        <w:fldChar w:fldCharType="begin"/>
      </w:r>
      <w:r>
        <w:rPr>
          <w:rFonts w:hint="eastAsia" w:ascii="仿宋_GB2312" w:hAnsi="仿宋" w:eastAsia="仿宋_GB2312"/>
          <w:bCs/>
          <w:sz w:val="32"/>
          <w:szCs w:val="32"/>
        </w:rPr>
        <w:instrText xml:space="preserve"> HYPERLINK "https://baike.baidu.com/item/%E7%AF%AE%E7%90%83/123564" \t "https://baike.baidu.com/item/%E4%B8%89%E5%A4%A7%E7%90%83/_blank" </w:instrText>
      </w:r>
      <w:r>
        <w:rPr>
          <w:rFonts w:hint="eastAsia" w:ascii="仿宋_GB2312" w:hAnsi="仿宋" w:eastAsia="仿宋_GB2312"/>
          <w:bCs/>
          <w:sz w:val="32"/>
          <w:szCs w:val="32"/>
        </w:rPr>
        <w:fldChar w:fldCharType="separate"/>
      </w:r>
      <w:r>
        <w:rPr>
          <w:rFonts w:hint="eastAsia" w:ascii="仿宋_GB2312" w:hAnsi="仿宋" w:eastAsia="仿宋_GB2312"/>
          <w:bCs/>
          <w:sz w:val="32"/>
          <w:szCs w:val="32"/>
        </w:rPr>
        <w:t>篮球</w:t>
      </w:r>
      <w:r>
        <w:rPr>
          <w:rFonts w:hint="eastAsia" w:ascii="仿宋_GB2312" w:hAnsi="仿宋" w:eastAsia="仿宋_GB2312"/>
          <w:bCs/>
          <w:sz w:val="32"/>
          <w:szCs w:val="32"/>
        </w:rPr>
        <w:fldChar w:fldCharType="end"/>
      </w:r>
      <w:r>
        <w:rPr>
          <w:rFonts w:hint="eastAsia" w:ascii="仿宋_GB2312" w:hAnsi="仿宋" w:eastAsia="仿宋_GB2312"/>
          <w:bCs/>
          <w:sz w:val="32"/>
          <w:szCs w:val="32"/>
        </w:rPr>
        <w:t>和</w:t>
      </w:r>
      <w:r>
        <w:rPr>
          <w:rFonts w:hint="eastAsia" w:ascii="仿宋_GB2312" w:hAnsi="仿宋" w:eastAsia="仿宋_GB2312"/>
          <w:bCs/>
          <w:sz w:val="32"/>
          <w:szCs w:val="32"/>
        </w:rPr>
        <w:fldChar w:fldCharType="begin"/>
      </w:r>
      <w:r>
        <w:rPr>
          <w:rFonts w:hint="eastAsia" w:ascii="仿宋_GB2312" w:hAnsi="仿宋" w:eastAsia="仿宋_GB2312"/>
          <w:bCs/>
          <w:sz w:val="32"/>
          <w:szCs w:val="32"/>
        </w:rPr>
        <w:instrText xml:space="preserve"> HYPERLINK "https://baike.baidu.com/item/%E6%8E%92%E7%90%83/33349" \t "https://baike.baidu.com/item/%E4%B8%89%E5%A4%A7%E7%90%83/_blank" </w:instrText>
      </w:r>
      <w:r>
        <w:rPr>
          <w:rFonts w:hint="eastAsia" w:ascii="仿宋_GB2312" w:hAnsi="仿宋" w:eastAsia="仿宋_GB2312"/>
          <w:bCs/>
          <w:sz w:val="32"/>
          <w:szCs w:val="32"/>
        </w:rPr>
        <w:fldChar w:fldCharType="separate"/>
      </w:r>
      <w:r>
        <w:rPr>
          <w:rFonts w:hint="eastAsia" w:ascii="仿宋_GB2312" w:hAnsi="仿宋" w:eastAsia="仿宋_GB2312"/>
          <w:bCs/>
          <w:sz w:val="32"/>
          <w:szCs w:val="32"/>
        </w:rPr>
        <w:t>排球</w:t>
      </w:r>
      <w:r>
        <w:rPr>
          <w:rFonts w:hint="eastAsia" w:ascii="仿宋_GB2312" w:hAnsi="仿宋" w:eastAsia="仿宋_GB2312"/>
          <w:bCs/>
          <w:sz w:val="32"/>
          <w:szCs w:val="32"/>
        </w:rPr>
        <w:fldChar w:fldCharType="end"/>
      </w:r>
      <w:r>
        <w:rPr>
          <w:rFonts w:hint="eastAsia" w:ascii="仿宋_GB2312" w:hAnsi="仿宋" w:eastAsia="仿宋_GB2312"/>
          <w:bCs/>
          <w:sz w:val="32"/>
          <w:szCs w:val="32"/>
        </w:rPr>
        <w:t>三种集体球类运动。</w:t>
      </w:r>
    </w:p>
    <w:p>
      <w:pPr>
        <w:spacing w:line="600" w:lineRule="exact"/>
        <w:ind w:firstLine="643" w:firstLineChars="200"/>
        <w:jc w:val="left"/>
        <w:rPr>
          <w:rFonts w:hint="eastAsia" w:ascii="仿宋_GB2312" w:hAnsi="仿宋" w:eastAsia="仿宋_GB2312"/>
          <w:bCs/>
          <w:sz w:val="32"/>
          <w:szCs w:val="32"/>
        </w:rPr>
      </w:pPr>
      <w:r>
        <w:rPr>
          <w:rFonts w:hint="eastAsia" w:ascii="仿宋_GB2312" w:hAnsi="仿宋" w:eastAsia="仿宋_GB2312"/>
          <w:b/>
          <w:sz w:val="32"/>
          <w:szCs w:val="32"/>
        </w:rPr>
        <w:t>9.“金角银边”：</w:t>
      </w:r>
      <w:r>
        <w:rPr>
          <w:rFonts w:hint="eastAsia" w:ascii="仿宋_GB2312" w:hAnsi="仿宋" w:eastAsia="仿宋_GB2312"/>
          <w:bCs/>
          <w:sz w:val="32"/>
          <w:szCs w:val="32"/>
        </w:rPr>
        <w:t>源于2019年国家体育总局和国家发改委联合印发的《进一步促进体育消费的行动计》，其中提到“充分合理利用公园绿地、城市空置场所、建筑物屋顶、地下室等‘金角银边’区域”，即</w:t>
      </w:r>
      <w:r>
        <w:rPr>
          <w:rFonts w:hint="eastAsia" w:ascii="仿宋_GB2312" w:hAnsi="仿宋" w:eastAsia="仿宋_GB2312" w:cs="华文仿宋"/>
          <w:kern w:val="0"/>
          <w:sz w:val="32"/>
          <w:szCs w:val="32"/>
        </w:rPr>
        <w:t>闲置用地和边角地等</w:t>
      </w:r>
      <w:r>
        <w:rPr>
          <w:rFonts w:hint="eastAsia" w:ascii="仿宋_GB2312" w:hAnsi="仿宋" w:eastAsia="仿宋_GB2312"/>
          <w:bCs/>
          <w:sz w:val="32"/>
          <w:szCs w:val="32"/>
        </w:rPr>
        <w:t>。</w:t>
      </w:r>
    </w:p>
    <w:p>
      <w:pPr>
        <w:spacing w:line="600" w:lineRule="exact"/>
        <w:ind w:firstLine="643" w:firstLineChars="200"/>
        <w:jc w:val="left"/>
        <w:rPr>
          <w:rFonts w:hint="eastAsia" w:ascii="仿宋_GB2312" w:hAnsi="仿宋" w:eastAsia="仿宋_GB2312"/>
          <w:bCs/>
          <w:sz w:val="32"/>
          <w:szCs w:val="32"/>
        </w:rPr>
      </w:pPr>
      <w:r>
        <w:rPr>
          <w:rFonts w:hint="eastAsia" w:ascii="仿宋_GB2312" w:hAnsi="仿宋" w:eastAsia="仿宋_GB2312"/>
          <w:b/>
          <w:sz w:val="32"/>
          <w:szCs w:val="32"/>
        </w:rPr>
        <w:t>10.“六边工程”：</w:t>
      </w:r>
      <w:r>
        <w:rPr>
          <w:rFonts w:hint="eastAsia" w:ascii="仿宋_GB2312" w:hAnsi="仿宋" w:eastAsia="仿宋_GB2312"/>
          <w:bCs/>
          <w:sz w:val="32"/>
          <w:szCs w:val="32"/>
        </w:rPr>
        <w:t>全民健身“六个身边”工程的简称，即健全群众身边的体育健身组织、建设群众身边的体育健身设施、丰富群众身边的体育健身活动、支持群众身边的体育健身赛事、加强群众身边的体育健身指导、弘扬群众身边的体育健身文化。</w:t>
      </w:r>
    </w:p>
    <w:p>
      <w:pPr>
        <w:spacing w:line="600" w:lineRule="exact"/>
        <w:ind w:firstLine="643" w:firstLineChars="200"/>
        <w:jc w:val="left"/>
        <w:rPr>
          <w:rFonts w:hint="eastAsia" w:ascii="仿宋_GB2312" w:hAnsi="仿宋_GB2312" w:eastAsia="仿宋_GB2312" w:cs="仿宋_GB2312"/>
          <w:sz w:val="32"/>
          <w:szCs w:val="32"/>
        </w:rPr>
      </w:pPr>
      <w:r>
        <w:rPr>
          <w:rFonts w:hint="eastAsia" w:ascii="仿宋_GB2312" w:hAnsi="仿宋" w:eastAsia="仿宋_GB2312"/>
          <w:b/>
          <w:sz w:val="32"/>
          <w:szCs w:val="32"/>
        </w:rPr>
        <w:t>11.</w:t>
      </w:r>
      <w:r>
        <w:rPr>
          <w:rFonts w:hint="eastAsia" w:ascii="仿宋_GB2312" w:hAnsi="仿宋_GB2312" w:eastAsia="仿宋_GB2312" w:cs="仿宋_GB2312"/>
          <w:b/>
          <w:sz w:val="32"/>
          <w:szCs w:val="32"/>
        </w:rPr>
        <w:t>北京奥林匹克公园“十八景”：</w:t>
      </w:r>
      <w:r>
        <w:rPr>
          <w:rFonts w:hint="eastAsia" w:ascii="仿宋_GB2312" w:hAnsi="仿宋_GB2312" w:eastAsia="仿宋_GB2312" w:cs="仿宋_GB2312"/>
          <w:sz w:val="32"/>
          <w:szCs w:val="32"/>
        </w:rPr>
        <w:t>北京奥林匹克公园管委会于2018年8月9日发布北京奥林匹克公园“十八景”，包括盼梦成真（熊猫盼盼）、和光瑞阙（和谐阙）、北顶飞霞（敕建北顶娘娘庙）、鸟巢圆梦（国家体育场）、奥运之光（火炬广场及奥运冠军墙）、水蕴方圆（国家游泳中心）、七院文华（下沉花园）、奥塔流云（北京奥林匹克塔）、仰山胜景（仰山）、五环同心（奥林匹克宣言广场）、一路走红（健身步道）、碑林汲古（朝阳贞石园）、花田野趣（花海）、银杏叠金（银杏林）、双园接翠（生态廊道）、奥海游龙（龙形水系）、钻石星辉（钻石球场）、冰丝炫彩（国家速滑馆）。</w:t>
      </w:r>
    </w:p>
    <w:p>
      <w:pPr>
        <w:pStyle w:val="2"/>
        <w:rPr>
          <w:rFonts w:hint="eastAsia"/>
        </w:rPr>
      </w:pPr>
      <w:bookmarkStart w:id="355" w:name="_Toc5095"/>
      <w:bookmarkStart w:id="356" w:name="_Toc25126"/>
      <w:bookmarkStart w:id="357" w:name="_Toc3249"/>
      <w:bookmarkStart w:id="358" w:name="_Toc24860"/>
    </w:p>
    <w:p>
      <w:pPr>
        <w:pStyle w:val="2"/>
        <w:rPr>
          <w:rFonts w:hint="eastAsia"/>
        </w:rPr>
      </w:pPr>
      <w:r>
        <w:rPr>
          <w:rFonts w:hint="eastAsia"/>
        </w:rPr>
        <w:t>附录2  有关指标说明</w:t>
      </w:r>
      <w:bookmarkEnd w:id="355"/>
      <w:bookmarkEnd w:id="356"/>
      <w:bookmarkEnd w:id="357"/>
      <w:bookmarkEnd w:id="358"/>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1.经常参加体育锻炼人数比例：</w:t>
      </w:r>
      <w:r>
        <w:rPr>
          <w:rFonts w:hint="eastAsia" w:ascii="仿宋_GB2312" w:hAnsi="仿宋" w:eastAsia="仿宋_GB2312"/>
          <w:sz w:val="32"/>
          <w:szCs w:val="32"/>
        </w:rPr>
        <w:t>指经常参加体育锻炼人数是国际上通用的衡量大众体育发展水平的主要指标，各国具体标准略有不同。目前，我国确定经常参加体育锻炼人数的具体标准为：每周参加体育锻炼活动三次以上，每次30分钟以上，锻炼强度中等以上。其计算公式是（经常参加体育锻炼人数/常住人口）×100%。</w:t>
      </w:r>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2.人均体育场地面积：</w:t>
      </w:r>
      <w:r>
        <w:rPr>
          <w:rFonts w:hint="eastAsia" w:ascii="仿宋_GB2312" w:hAnsi="仿宋" w:eastAsia="仿宋_GB2312"/>
          <w:sz w:val="32"/>
          <w:szCs w:val="32"/>
        </w:rPr>
        <w:t>是评价体育场地保障水平的重要指标。体育场地是指专门用于体育训练、比赛和健身活动的，有一定投资的、公益性或经营性体育建筑设施；场地面积是指可供训练、比赛、健身活动的有效面积，室内场地从内墙计算，有看台的场地从看台下计算，室外场地除包括比赛规定的尺寸外，还包括必要的安全区、缓冲区、无障碍地带。其计算公式是体育场地总面积/常住人口。</w:t>
      </w:r>
    </w:p>
    <w:p>
      <w:pPr>
        <w:spacing w:line="600" w:lineRule="exact"/>
        <w:ind w:firstLine="643" w:firstLineChars="200"/>
        <w:rPr>
          <w:rFonts w:hint="eastAsia" w:ascii="仿宋_GB2312" w:hAnsi="仿宋" w:eastAsia="仿宋_GB2312"/>
          <w:sz w:val="32"/>
          <w:szCs w:val="32"/>
        </w:rPr>
      </w:pPr>
      <w:r>
        <w:rPr>
          <w:rFonts w:hint="eastAsia" w:ascii="仿宋_GB2312" w:hAnsi="仿宋" w:eastAsia="仿宋_GB2312"/>
          <w:b/>
          <w:sz w:val="32"/>
          <w:szCs w:val="32"/>
        </w:rPr>
        <w:t>3.符合开放条件的学校：</w:t>
      </w:r>
      <w:r>
        <w:rPr>
          <w:rFonts w:hint="eastAsia" w:ascii="仿宋_GB2312" w:hAnsi="仿宋" w:eastAsia="仿宋_GB2312"/>
          <w:sz w:val="32"/>
          <w:szCs w:val="32"/>
        </w:rPr>
        <w:t>是指室外体育设施达到下列条件之一的学校：（１）拥有200米以上跑道的田径场；（2）拥有足球场；（3）拥有篮球场或排球场；（4）拥有室外健身器材（含乒乓球台）。</w:t>
      </w:r>
    </w:p>
    <w:p>
      <w:pPr>
        <w:spacing w:line="600" w:lineRule="exact"/>
        <w:ind w:firstLine="640" w:firstLineChars="200"/>
        <w:rPr>
          <w:rFonts w:hint="eastAsia" w:ascii="仿宋_GB2312" w:hAnsi="仿宋" w:eastAsia="仿宋_GB2312"/>
          <w:sz w:val="32"/>
          <w:szCs w:val="32"/>
        </w:rPr>
      </w:pPr>
    </w:p>
    <w:p>
      <w:pPr>
        <w:widowControl/>
        <w:spacing w:line="600" w:lineRule="exact"/>
        <w:ind w:firstLine="640" w:firstLineChars="200"/>
        <w:jc w:val="left"/>
        <w:rPr>
          <w:rFonts w:hint="eastAsia" w:ascii="仿宋_GB2312" w:hAnsi="华文中宋" w:eastAsia="仿宋_GB2312"/>
          <w:sz w:val="32"/>
          <w:szCs w:val="32"/>
        </w:rPr>
      </w:pPr>
    </w:p>
    <w:p>
      <w:pPr>
        <w:widowControl/>
        <w:spacing w:line="600" w:lineRule="exact"/>
        <w:ind w:firstLine="640" w:firstLineChars="200"/>
        <w:jc w:val="left"/>
        <w:rPr>
          <w:rFonts w:hint="eastAsia" w:ascii="仿宋_GB2312" w:hAnsi="华文中宋" w:eastAsia="仿宋_GB2312"/>
          <w:sz w:val="32"/>
          <w:szCs w:val="32"/>
        </w:rPr>
      </w:pPr>
    </w:p>
    <w:p>
      <w:pPr>
        <w:widowControl/>
        <w:spacing w:line="600" w:lineRule="exact"/>
        <w:ind w:firstLine="640" w:firstLineChars="200"/>
        <w:jc w:val="left"/>
        <w:rPr>
          <w:rFonts w:hint="eastAsia" w:ascii="仿宋_GB2312" w:hAnsi="华文中宋" w:eastAsia="仿宋_GB2312"/>
          <w:sz w:val="32"/>
          <w:szCs w:val="32"/>
        </w:rPr>
      </w:pPr>
    </w:p>
    <w:p>
      <w:pPr>
        <w:widowControl/>
        <w:spacing w:line="600" w:lineRule="exact"/>
        <w:ind w:firstLine="640" w:firstLineChars="200"/>
        <w:jc w:val="left"/>
        <w:rPr>
          <w:rFonts w:hint="eastAsia" w:ascii="仿宋_GB2312" w:hAnsi="华文中宋" w:eastAsia="仿宋_GB2312"/>
          <w:sz w:val="32"/>
          <w:szCs w:val="32"/>
        </w:rPr>
      </w:pPr>
    </w:p>
    <w:sectPr>
      <w:pgSz w:w="11906" w:h="16838"/>
      <w:pgMar w:top="1213" w:right="1633" w:bottom="1213" w:left="1633"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仿宋_GB2312">
    <w:altName w:val="仿宋"/>
    <w:panose1 w:val="02010609030101010101"/>
    <w:charset w:val="86"/>
    <w:family w:val="modern"/>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微软雅黑">
    <w:panose1 w:val="020B0503020204020204"/>
    <w:charset w:val="86"/>
    <w:family w:val="swiss"/>
    <w:pitch w:val="default"/>
    <w:sig w:usb0="80000287" w:usb1="280F3C52" w:usb2="00000016" w:usb3="00000000" w:csb0="0004001F" w:csb1="00000000"/>
  </w:font>
  <w:font w:name="Arial">
    <w:panose1 w:val="020B0604020202020204"/>
    <w:charset w:val="00"/>
    <w:family w:val="swiss"/>
    <w:pitch w:val="default"/>
    <w:sig w:usb0="E0002AFF" w:usb1="C0007843" w:usb2="00000009" w:usb3="00000000" w:csb0="400001FF" w:csb1="FFFF0000"/>
  </w:font>
  <w:font w:name="方正小标宋简体">
    <w:altName w:val="方正舒体"/>
    <w:panose1 w:val="03000509000000000000"/>
    <w:charset w:val="86"/>
    <w:family w:val="script"/>
    <w:pitch w:val="default"/>
    <w:sig w:usb0="00000001"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方正舒体">
    <w:panose1 w:val="02010601030101010101"/>
    <w:charset w:val="86"/>
    <w:family w:val="auto"/>
    <w:pitch w:val="default"/>
    <w:sig w:usb0="00000003"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59264" behindDoc="0" locked="0" layoutInCell="1" allowOverlap="1">
              <wp:simplePos x="0" y="0"/>
              <wp:positionH relativeFrom="margin">
                <wp:posOffset>2575560</wp:posOffset>
              </wp:positionH>
              <wp:positionV relativeFrom="paragraph">
                <wp:posOffset>56515</wp:posOffset>
              </wp:positionV>
              <wp:extent cx="334645" cy="172720"/>
              <wp:effectExtent l="0" t="0" r="0" b="0"/>
              <wp:wrapNone/>
              <wp:docPr id="1" name="文本框 9"/>
              <wp:cNvGraphicFramePr/>
              <a:graphic xmlns:a="http://schemas.openxmlformats.org/drawingml/2006/main">
                <a:graphicData uri="http://schemas.microsoft.com/office/word/2010/wordprocessingShape">
                  <wps:wsp>
                    <wps:cNvSpPr txBox="1"/>
                    <wps:spPr>
                      <a:xfrm>
                        <a:off x="0" y="0"/>
                        <a:ext cx="334645" cy="172720"/>
                      </a:xfrm>
                      <a:prstGeom prst="rect">
                        <a:avLst/>
                      </a:prstGeom>
                      <a:noFill/>
                      <a:ln>
                        <a:noFill/>
                      </a:ln>
                    </wps:spPr>
                    <wps:txbx>
                      <w:txbxContent>
                        <w:p>
                          <w:pPr>
                            <w:pStyle w:val="10"/>
                            <w:rPr>
                              <w:rFonts w:hint="eastAsia"/>
                              <w:sz w:val="21"/>
                              <w:szCs w:val="21"/>
                            </w:rPr>
                          </w:pPr>
                          <w:r>
                            <w:rPr>
                              <w:rFonts w:hint="eastAsia"/>
                              <w:sz w:val="21"/>
                              <w:szCs w:val="21"/>
                            </w:rPr>
                            <w:t>—</w:t>
                          </w: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lang/>
                            </w:rPr>
                            <w:t>53</w:t>
                          </w:r>
                          <w:r>
                            <w:rPr>
                              <w:rFonts w:hint="eastAsia"/>
                              <w:sz w:val="21"/>
                              <w:szCs w:val="21"/>
                            </w:rPr>
                            <w:fldChar w:fldCharType="end"/>
                          </w:r>
                          <w:r>
                            <w:rPr>
                              <w:rFonts w:hint="eastAsia"/>
                              <w:sz w:val="21"/>
                              <w:szCs w:val="21"/>
                            </w:rPr>
                            <w:t>—</w:t>
                          </w:r>
                        </w:p>
                      </w:txbxContent>
                    </wps:txbx>
                    <wps:bodyPr wrap="none" lIns="0" tIns="0" rIns="0" bIns="0" upright="0">
                      <a:spAutoFit/>
                    </wps:bodyPr>
                  </wps:wsp>
                </a:graphicData>
              </a:graphic>
            </wp:anchor>
          </w:drawing>
        </mc:Choice>
        <mc:Fallback>
          <w:pict>
            <v:shape id="文本框 9" o:spid="_x0000_s1026" o:spt="202" type="#_x0000_t202" style="position:absolute;left:0pt;margin-left:202.8pt;margin-top:4.45pt;height:13.6pt;width:26.35pt;mso-position-horizontal-relative:margin;mso-wrap-style:none;z-index:251659264;mso-width-relative:page;mso-height-relative:page;" filled="f" stroked="f" coordsize="21600,21600" o:gfxdata="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&#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JqKOefVAAAACAEAAA8AAAAAAAAAAQAgAAAAIgAAAGRy&#10;cy9kb3ducmV2LnhtbFBLAQIUABQAAAAIAIdO4kANgLx1zwEAAJcDAAAOAAAAAAAAAAEAIAAAACQB&#10;AABkcnMvZTJvRG9jLnhtbFBLBQYAAAAABgAGAFkBAABlBQAAAAA=&#10;">
              <v:fill on="f" focussize="0,0"/>
              <v:stroke on="f"/>
              <v:imagedata o:title=""/>
              <o:lock v:ext="edit" aspectratio="f"/>
              <v:textbox inset="0mm,0mm,0mm,0mm" style="mso-fit-shape-to-text:t;">
                <w:txbxContent>
                  <w:p>
                    <w:pPr>
                      <w:pStyle w:val="10"/>
                      <w:rPr>
                        <w:rFonts w:hint="eastAsia"/>
                        <w:sz w:val="21"/>
                        <w:szCs w:val="21"/>
                      </w:rPr>
                    </w:pPr>
                    <w:r>
                      <w:rPr>
                        <w:rFonts w:hint="eastAsia"/>
                        <w:sz w:val="21"/>
                        <w:szCs w:val="21"/>
                      </w:rPr>
                      <w:t>—</w:t>
                    </w: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lang/>
                      </w:rPr>
                      <w:t>53</w:t>
                    </w:r>
                    <w:r>
                      <w:rPr>
                        <w:rFonts w:hint="eastAsia"/>
                        <w:sz w:val="21"/>
                        <w:szCs w:val="21"/>
                      </w:rPr>
                      <w:fldChar w:fldCharType="end"/>
                    </w:r>
                    <w:r>
                      <w:rPr>
                        <w:rFonts w:hint="eastAsia"/>
                        <w:sz w:val="21"/>
                        <w:szCs w:val="21"/>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39D4D"/>
    <w:multiLevelType w:val="singleLevel"/>
    <w:tmpl w:val="04E39D4D"/>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00874973"/>
    <w:rsid w:val="00027D84"/>
    <w:rsid w:val="00033C49"/>
    <w:rsid w:val="000E311C"/>
    <w:rsid w:val="00176A80"/>
    <w:rsid w:val="00185A25"/>
    <w:rsid w:val="001A6312"/>
    <w:rsid w:val="001B601A"/>
    <w:rsid w:val="00244D7D"/>
    <w:rsid w:val="00294C03"/>
    <w:rsid w:val="002A24F6"/>
    <w:rsid w:val="002C3C4A"/>
    <w:rsid w:val="00375880"/>
    <w:rsid w:val="00386782"/>
    <w:rsid w:val="003E6F62"/>
    <w:rsid w:val="00406978"/>
    <w:rsid w:val="00406CD4"/>
    <w:rsid w:val="004A0025"/>
    <w:rsid w:val="004E7E23"/>
    <w:rsid w:val="00530A32"/>
    <w:rsid w:val="0054230B"/>
    <w:rsid w:val="00593DF4"/>
    <w:rsid w:val="005A551D"/>
    <w:rsid w:val="005A5745"/>
    <w:rsid w:val="005F7CFF"/>
    <w:rsid w:val="00600CDF"/>
    <w:rsid w:val="00601F15"/>
    <w:rsid w:val="00642626"/>
    <w:rsid w:val="0068286D"/>
    <w:rsid w:val="00757BD6"/>
    <w:rsid w:val="007D470A"/>
    <w:rsid w:val="00827EAA"/>
    <w:rsid w:val="00874973"/>
    <w:rsid w:val="008D379F"/>
    <w:rsid w:val="009953AA"/>
    <w:rsid w:val="00A35973"/>
    <w:rsid w:val="00A43881"/>
    <w:rsid w:val="00A841F9"/>
    <w:rsid w:val="00A911C6"/>
    <w:rsid w:val="00AA39BF"/>
    <w:rsid w:val="00AF5AB1"/>
    <w:rsid w:val="00AF5E11"/>
    <w:rsid w:val="00B033B5"/>
    <w:rsid w:val="00B6788C"/>
    <w:rsid w:val="00BB2AE7"/>
    <w:rsid w:val="00BC284B"/>
    <w:rsid w:val="00BE26B0"/>
    <w:rsid w:val="00CF033D"/>
    <w:rsid w:val="00D3228E"/>
    <w:rsid w:val="00D53CA2"/>
    <w:rsid w:val="00D92186"/>
    <w:rsid w:val="00D93EC3"/>
    <w:rsid w:val="00E420CC"/>
    <w:rsid w:val="00E50EEB"/>
    <w:rsid w:val="00F03835"/>
    <w:rsid w:val="00F230F6"/>
    <w:rsid w:val="013E0391"/>
    <w:rsid w:val="01716391"/>
    <w:rsid w:val="01970705"/>
    <w:rsid w:val="01EF1C8A"/>
    <w:rsid w:val="02567E0C"/>
    <w:rsid w:val="028D5DC9"/>
    <w:rsid w:val="02BB2605"/>
    <w:rsid w:val="02F95155"/>
    <w:rsid w:val="03110CBC"/>
    <w:rsid w:val="034C6D54"/>
    <w:rsid w:val="035A5ECD"/>
    <w:rsid w:val="035B52E9"/>
    <w:rsid w:val="03CF087A"/>
    <w:rsid w:val="03D22E85"/>
    <w:rsid w:val="03FA17F0"/>
    <w:rsid w:val="04034621"/>
    <w:rsid w:val="040A6E12"/>
    <w:rsid w:val="042E30E6"/>
    <w:rsid w:val="0431363C"/>
    <w:rsid w:val="043C7614"/>
    <w:rsid w:val="04E340B3"/>
    <w:rsid w:val="05264EBD"/>
    <w:rsid w:val="05E579AB"/>
    <w:rsid w:val="05EA75B1"/>
    <w:rsid w:val="0607009D"/>
    <w:rsid w:val="0610204E"/>
    <w:rsid w:val="06521349"/>
    <w:rsid w:val="0679748A"/>
    <w:rsid w:val="06C47955"/>
    <w:rsid w:val="07077117"/>
    <w:rsid w:val="076A7137"/>
    <w:rsid w:val="079E4C3F"/>
    <w:rsid w:val="07C53AB9"/>
    <w:rsid w:val="08197AF7"/>
    <w:rsid w:val="087A7F52"/>
    <w:rsid w:val="08834904"/>
    <w:rsid w:val="08A73A48"/>
    <w:rsid w:val="08AA15C7"/>
    <w:rsid w:val="08F1173D"/>
    <w:rsid w:val="092B48F7"/>
    <w:rsid w:val="096F7888"/>
    <w:rsid w:val="09A5722B"/>
    <w:rsid w:val="09AF0995"/>
    <w:rsid w:val="09DF4A7B"/>
    <w:rsid w:val="0A08449E"/>
    <w:rsid w:val="0A1455A3"/>
    <w:rsid w:val="0A425C01"/>
    <w:rsid w:val="0A481BA5"/>
    <w:rsid w:val="0A6D07C2"/>
    <w:rsid w:val="0A6D1ED6"/>
    <w:rsid w:val="0A751502"/>
    <w:rsid w:val="0B1029F1"/>
    <w:rsid w:val="0B144C95"/>
    <w:rsid w:val="0B3216CE"/>
    <w:rsid w:val="0B503CB2"/>
    <w:rsid w:val="0B5130B0"/>
    <w:rsid w:val="0B6D46C4"/>
    <w:rsid w:val="0B805FC5"/>
    <w:rsid w:val="0BC92BB1"/>
    <w:rsid w:val="0BEA4EA5"/>
    <w:rsid w:val="0C657174"/>
    <w:rsid w:val="0D316D9F"/>
    <w:rsid w:val="0D6F1C59"/>
    <w:rsid w:val="0DA45F62"/>
    <w:rsid w:val="0DE17EED"/>
    <w:rsid w:val="0E4415AA"/>
    <w:rsid w:val="0E7208B9"/>
    <w:rsid w:val="0EF572A2"/>
    <w:rsid w:val="0F182722"/>
    <w:rsid w:val="0F6E5DD6"/>
    <w:rsid w:val="0F924044"/>
    <w:rsid w:val="0F980DB1"/>
    <w:rsid w:val="0F983D96"/>
    <w:rsid w:val="0FB95375"/>
    <w:rsid w:val="0FBD6730"/>
    <w:rsid w:val="0FCE2BAD"/>
    <w:rsid w:val="0FCF2142"/>
    <w:rsid w:val="0FF458C0"/>
    <w:rsid w:val="0FF84159"/>
    <w:rsid w:val="10056199"/>
    <w:rsid w:val="100C155D"/>
    <w:rsid w:val="106D745D"/>
    <w:rsid w:val="10D27B9A"/>
    <w:rsid w:val="111F6939"/>
    <w:rsid w:val="112856BE"/>
    <w:rsid w:val="112B6EFC"/>
    <w:rsid w:val="11382FFF"/>
    <w:rsid w:val="114F7CA5"/>
    <w:rsid w:val="117E2B1F"/>
    <w:rsid w:val="119D2EF9"/>
    <w:rsid w:val="11F4429F"/>
    <w:rsid w:val="12602CA4"/>
    <w:rsid w:val="12804B18"/>
    <w:rsid w:val="128856AF"/>
    <w:rsid w:val="12DC62A4"/>
    <w:rsid w:val="139377FC"/>
    <w:rsid w:val="140C26BC"/>
    <w:rsid w:val="142321A2"/>
    <w:rsid w:val="14452705"/>
    <w:rsid w:val="14767410"/>
    <w:rsid w:val="149C2E70"/>
    <w:rsid w:val="14BE23C2"/>
    <w:rsid w:val="151C3C71"/>
    <w:rsid w:val="155E00D1"/>
    <w:rsid w:val="15CC0AF9"/>
    <w:rsid w:val="15D016BC"/>
    <w:rsid w:val="161B708A"/>
    <w:rsid w:val="164D0F49"/>
    <w:rsid w:val="165A286A"/>
    <w:rsid w:val="16890406"/>
    <w:rsid w:val="168F2325"/>
    <w:rsid w:val="16982325"/>
    <w:rsid w:val="16A22B28"/>
    <w:rsid w:val="16AD6F6A"/>
    <w:rsid w:val="16D33D13"/>
    <w:rsid w:val="16FA64CE"/>
    <w:rsid w:val="173414A0"/>
    <w:rsid w:val="17AB2AC2"/>
    <w:rsid w:val="17B1601D"/>
    <w:rsid w:val="17BC4734"/>
    <w:rsid w:val="17BF7A00"/>
    <w:rsid w:val="182A33CC"/>
    <w:rsid w:val="1857090E"/>
    <w:rsid w:val="18704A35"/>
    <w:rsid w:val="18867FC2"/>
    <w:rsid w:val="19307330"/>
    <w:rsid w:val="19471A77"/>
    <w:rsid w:val="195D0128"/>
    <w:rsid w:val="19C10AB1"/>
    <w:rsid w:val="1A005CFC"/>
    <w:rsid w:val="1A345328"/>
    <w:rsid w:val="1A5A21AD"/>
    <w:rsid w:val="1A5F5055"/>
    <w:rsid w:val="1A6451EE"/>
    <w:rsid w:val="1A6A105E"/>
    <w:rsid w:val="1A84164C"/>
    <w:rsid w:val="1AA16D90"/>
    <w:rsid w:val="1B7F1D27"/>
    <w:rsid w:val="1BC72A0D"/>
    <w:rsid w:val="1C1A4D61"/>
    <w:rsid w:val="1C270740"/>
    <w:rsid w:val="1C2B6EA6"/>
    <w:rsid w:val="1C780820"/>
    <w:rsid w:val="1CFE2AC4"/>
    <w:rsid w:val="1D356F93"/>
    <w:rsid w:val="1D3B501C"/>
    <w:rsid w:val="1D5D7C9E"/>
    <w:rsid w:val="1D9D69F9"/>
    <w:rsid w:val="1DB3217C"/>
    <w:rsid w:val="1DB57393"/>
    <w:rsid w:val="1DBD525A"/>
    <w:rsid w:val="1DC5507B"/>
    <w:rsid w:val="1DDA452D"/>
    <w:rsid w:val="1DFD23A5"/>
    <w:rsid w:val="1E1325B2"/>
    <w:rsid w:val="1E4B637B"/>
    <w:rsid w:val="1E572A8C"/>
    <w:rsid w:val="1E784C51"/>
    <w:rsid w:val="1EBA1580"/>
    <w:rsid w:val="1EBC037D"/>
    <w:rsid w:val="1ECF6056"/>
    <w:rsid w:val="1F076F14"/>
    <w:rsid w:val="1F104B7E"/>
    <w:rsid w:val="1F2B2236"/>
    <w:rsid w:val="1F514583"/>
    <w:rsid w:val="1F730BAD"/>
    <w:rsid w:val="1F93171F"/>
    <w:rsid w:val="1F9D5F05"/>
    <w:rsid w:val="1FF63D9E"/>
    <w:rsid w:val="20163CBE"/>
    <w:rsid w:val="206C0AAC"/>
    <w:rsid w:val="208A1DCB"/>
    <w:rsid w:val="209A6320"/>
    <w:rsid w:val="21F90E03"/>
    <w:rsid w:val="224316E7"/>
    <w:rsid w:val="22686F15"/>
    <w:rsid w:val="22CB2212"/>
    <w:rsid w:val="23127E29"/>
    <w:rsid w:val="234528E9"/>
    <w:rsid w:val="239A40FB"/>
    <w:rsid w:val="23A1585C"/>
    <w:rsid w:val="23BC029D"/>
    <w:rsid w:val="23FE4848"/>
    <w:rsid w:val="240055F7"/>
    <w:rsid w:val="247A4A61"/>
    <w:rsid w:val="24846B9F"/>
    <w:rsid w:val="24951445"/>
    <w:rsid w:val="24BD6213"/>
    <w:rsid w:val="24BF1B6B"/>
    <w:rsid w:val="24E61DF1"/>
    <w:rsid w:val="253E3D83"/>
    <w:rsid w:val="25675B8A"/>
    <w:rsid w:val="258B40DA"/>
    <w:rsid w:val="26482D50"/>
    <w:rsid w:val="265C711F"/>
    <w:rsid w:val="266952E6"/>
    <w:rsid w:val="268C366C"/>
    <w:rsid w:val="26B67FB7"/>
    <w:rsid w:val="26CE4BC3"/>
    <w:rsid w:val="273B5002"/>
    <w:rsid w:val="279359BE"/>
    <w:rsid w:val="27DC6B43"/>
    <w:rsid w:val="27E57C07"/>
    <w:rsid w:val="27F25F87"/>
    <w:rsid w:val="2847294F"/>
    <w:rsid w:val="28C51644"/>
    <w:rsid w:val="28FD3CD1"/>
    <w:rsid w:val="29653558"/>
    <w:rsid w:val="29712DCE"/>
    <w:rsid w:val="299344A2"/>
    <w:rsid w:val="29B714D8"/>
    <w:rsid w:val="29FE3DF1"/>
    <w:rsid w:val="2A381C74"/>
    <w:rsid w:val="2A71629F"/>
    <w:rsid w:val="2A8F08AC"/>
    <w:rsid w:val="2A9F5FCB"/>
    <w:rsid w:val="2ACA62DC"/>
    <w:rsid w:val="2AD771CB"/>
    <w:rsid w:val="2B3807F7"/>
    <w:rsid w:val="2B3D7834"/>
    <w:rsid w:val="2B523908"/>
    <w:rsid w:val="2BA479F5"/>
    <w:rsid w:val="2BAF2C26"/>
    <w:rsid w:val="2BE245AD"/>
    <w:rsid w:val="2C0A0F21"/>
    <w:rsid w:val="2C78075E"/>
    <w:rsid w:val="2CD15E39"/>
    <w:rsid w:val="2D2001D1"/>
    <w:rsid w:val="2D28403A"/>
    <w:rsid w:val="2D3B4EE2"/>
    <w:rsid w:val="2D522400"/>
    <w:rsid w:val="2D6E68F9"/>
    <w:rsid w:val="2D7A36CB"/>
    <w:rsid w:val="2DD8648A"/>
    <w:rsid w:val="2DDC5F9F"/>
    <w:rsid w:val="2DE83FF1"/>
    <w:rsid w:val="2E311E03"/>
    <w:rsid w:val="2E953562"/>
    <w:rsid w:val="2EB17489"/>
    <w:rsid w:val="2EB3461B"/>
    <w:rsid w:val="2EDA501E"/>
    <w:rsid w:val="2EE63891"/>
    <w:rsid w:val="2F130625"/>
    <w:rsid w:val="30393444"/>
    <w:rsid w:val="3077007D"/>
    <w:rsid w:val="30C8153B"/>
    <w:rsid w:val="30F379B2"/>
    <w:rsid w:val="317C7F13"/>
    <w:rsid w:val="31882A35"/>
    <w:rsid w:val="31EF52BA"/>
    <w:rsid w:val="31FA760E"/>
    <w:rsid w:val="32091BDD"/>
    <w:rsid w:val="32427D50"/>
    <w:rsid w:val="324C6A8E"/>
    <w:rsid w:val="32D6057B"/>
    <w:rsid w:val="32E92AC0"/>
    <w:rsid w:val="33477440"/>
    <w:rsid w:val="334A6B54"/>
    <w:rsid w:val="334C6BD8"/>
    <w:rsid w:val="335C60F8"/>
    <w:rsid w:val="336543D1"/>
    <w:rsid w:val="347E72D9"/>
    <w:rsid w:val="3491166B"/>
    <w:rsid w:val="35075E5E"/>
    <w:rsid w:val="35443A08"/>
    <w:rsid w:val="354C74DD"/>
    <w:rsid w:val="357853B8"/>
    <w:rsid w:val="35EF71E5"/>
    <w:rsid w:val="360755C6"/>
    <w:rsid w:val="361F2F7E"/>
    <w:rsid w:val="36750B3B"/>
    <w:rsid w:val="368A4D05"/>
    <w:rsid w:val="36A05596"/>
    <w:rsid w:val="36EF03A4"/>
    <w:rsid w:val="372C3B63"/>
    <w:rsid w:val="373E27DA"/>
    <w:rsid w:val="374E03D2"/>
    <w:rsid w:val="376B1049"/>
    <w:rsid w:val="37732501"/>
    <w:rsid w:val="37AA211E"/>
    <w:rsid w:val="37B03ABB"/>
    <w:rsid w:val="37B46B0A"/>
    <w:rsid w:val="37E007CB"/>
    <w:rsid w:val="37FA6024"/>
    <w:rsid w:val="38030FFC"/>
    <w:rsid w:val="38197872"/>
    <w:rsid w:val="384E7661"/>
    <w:rsid w:val="38715017"/>
    <w:rsid w:val="38A765AC"/>
    <w:rsid w:val="38B928EC"/>
    <w:rsid w:val="394E48CC"/>
    <w:rsid w:val="3A1F47A3"/>
    <w:rsid w:val="3A2A46B6"/>
    <w:rsid w:val="3A364C19"/>
    <w:rsid w:val="3A5862C7"/>
    <w:rsid w:val="3A6A4D38"/>
    <w:rsid w:val="3A9E4568"/>
    <w:rsid w:val="3AAE4C4D"/>
    <w:rsid w:val="3AE10DD9"/>
    <w:rsid w:val="3B134632"/>
    <w:rsid w:val="3B5B30D2"/>
    <w:rsid w:val="3B650230"/>
    <w:rsid w:val="3B8D7EC4"/>
    <w:rsid w:val="3B9F6501"/>
    <w:rsid w:val="3BB5635A"/>
    <w:rsid w:val="3C526667"/>
    <w:rsid w:val="3CCC54F7"/>
    <w:rsid w:val="3D245F1D"/>
    <w:rsid w:val="3D495296"/>
    <w:rsid w:val="3D9606DD"/>
    <w:rsid w:val="3DA503E4"/>
    <w:rsid w:val="3DAD039E"/>
    <w:rsid w:val="3DFE73A5"/>
    <w:rsid w:val="3E3D4E2E"/>
    <w:rsid w:val="3E532955"/>
    <w:rsid w:val="3E5F5779"/>
    <w:rsid w:val="3E6374DC"/>
    <w:rsid w:val="3E6E5C09"/>
    <w:rsid w:val="3E835BBE"/>
    <w:rsid w:val="3E8E00C6"/>
    <w:rsid w:val="3EC5381A"/>
    <w:rsid w:val="3EC637E0"/>
    <w:rsid w:val="3EC67ECF"/>
    <w:rsid w:val="3ED46770"/>
    <w:rsid w:val="3EDF558F"/>
    <w:rsid w:val="3F196727"/>
    <w:rsid w:val="3F807C70"/>
    <w:rsid w:val="3F9B7339"/>
    <w:rsid w:val="3FCE768D"/>
    <w:rsid w:val="3FE610A0"/>
    <w:rsid w:val="400A58CE"/>
    <w:rsid w:val="402674D2"/>
    <w:rsid w:val="404B4F03"/>
    <w:rsid w:val="404D03EA"/>
    <w:rsid w:val="40587460"/>
    <w:rsid w:val="40611354"/>
    <w:rsid w:val="40A646DC"/>
    <w:rsid w:val="41131FBA"/>
    <w:rsid w:val="414F5F05"/>
    <w:rsid w:val="41831A70"/>
    <w:rsid w:val="41842033"/>
    <w:rsid w:val="41BD2754"/>
    <w:rsid w:val="41C03FD6"/>
    <w:rsid w:val="41CF0164"/>
    <w:rsid w:val="41D96705"/>
    <w:rsid w:val="41DC62AD"/>
    <w:rsid w:val="41EB2A62"/>
    <w:rsid w:val="41EB6BE4"/>
    <w:rsid w:val="42244551"/>
    <w:rsid w:val="425901B4"/>
    <w:rsid w:val="42CC4707"/>
    <w:rsid w:val="430907C2"/>
    <w:rsid w:val="4326722F"/>
    <w:rsid w:val="434559EE"/>
    <w:rsid w:val="43732FBB"/>
    <w:rsid w:val="43D50F16"/>
    <w:rsid w:val="441D7EC5"/>
    <w:rsid w:val="445A3558"/>
    <w:rsid w:val="44A53B55"/>
    <w:rsid w:val="44AB32D7"/>
    <w:rsid w:val="44C61A2F"/>
    <w:rsid w:val="45013067"/>
    <w:rsid w:val="450764F2"/>
    <w:rsid w:val="4583789A"/>
    <w:rsid w:val="45963D80"/>
    <w:rsid w:val="45A75874"/>
    <w:rsid w:val="45D20030"/>
    <w:rsid w:val="45E45E9C"/>
    <w:rsid w:val="46986BE3"/>
    <w:rsid w:val="46AA7F6E"/>
    <w:rsid w:val="46C82F01"/>
    <w:rsid w:val="46CD6108"/>
    <w:rsid w:val="46FF2591"/>
    <w:rsid w:val="471473D5"/>
    <w:rsid w:val="479215FF"/>
    <w:rsid w:val="47B2731A"/>
    <w:rsid w:val="4844591A"/>
    <w:rsid w:val="493A1B0E"/>
    <w:rsid w:val="497E6B2E"/>
    <w:rsid w:val="49CB5FFB"/>
    <w:rsid w:val="49CD1642"/>
    <w:rsid w:val="49D13D04"/>
    <w:rsid w:val="49FF3F87"/>
    <w:rsid w:val="4A0D1A37"/>
    <w:rsid w:val="4A1622DF"/>
    <w:rsid w:val="4A5E7C5A"/>
    <w:rsid w:val="4A643AFC"/>
    <w:rsid w:val="4AAB095B"/>
    <w:rsid w:val="4B8B7835"/>
    <w:rsid w:val="4BD9468F"/>
    <w:rsid w:val="4C5B2369"/>
    <w:rsid w:val="4C630947"/>
    <w:rsid w:val="4C8E62F7"/>
    <w:rsid w:val="4D7403E7"/>
    <w:rsid w:val="4D9F219A"/>
    <w:rsid w:val="4DA647AF"/>
    <w:rsid w:val="4DF840DC"/>
    <w:rsid w:val="4E1863E3"/>
    <w:rsid w:val="4E2F2B63"/>
    <w:rsid w:val="4E841010"/>
    <w:rsid w:val="4F08285C"/>
    <w:rsid w:val="4F131116"/>
    <w:rsid w:val="4F1451E1"/>
    <w:rsid w:val="4F2275B1"/>
    <w:rsid w:val="4F506919"/>
    <w:rsid w:val="4F66282E"/>
    <w:rsid w:val="4F8E379F"/>
    <w:rsid w:val="4FB826BF"/>
    <w:rsid w:val="4FE848EA"/>
    <w:rsid w:val="50223A7C"/>
    <w:rsid w:val="50AC48A4"/>
    <w:rsid w:val="51143D36"/>
    <w:rsid w:val="51AD425C"/>
    <w:rsid w:val="51CF0FC4"/>
    <w:rsid w:val="51E07508"/>
    <w:rsid w:val="51F0384A"/>
    <w:rsid w:val="520A4635"/>
    <w:rsid w:val="525C3512"/>
    <w:rsid w:val="526D3B09"/>
    <w:rsid w:val="52C9511A"/>
    <w:rsid w:val="52CE5D1D"/>
    <w:rsid w:val="52D16DB7"/>
    <w:rsid w:val="52FE0D07"/>
    <w:rsid w:val="5385591D"/>
    <w:rsid w:val="53A96276"/>
    <w:rsid w:val="53C41EDE"/>
    <w:rsid w:val="54407C34"/>
    <w:rsid w:val="54BA5E88"/>
    <w:rsid w:val="54EA7F17"/>
    <w:rsid w:val="54F75CB5"/>
    <w:rsid w:val="5506692C"/>
    <w:rsid w:val="553808B6"/>
    <w:rsid w:val="553C7EF1"/>
    <w:rsid w:val="554A32B9"/>
    <w:rsid w:val="554B0905"/>
    <w:rsid w:val="55732CF2"/>
    <w:rsid w:val="55C85A34"/>
    <w:rsid w:val="563C1C17"/>
    <w:rsid w:val="566254AA"/>
    <w:rsid w:val="569256FA"/>
    <w:rsid w:val="56A746B6"/>
    <w:rsid w:val="56DA2B18"/>
    <w:rsid w:val="56FA72BE"/>
    <w:rsid w:val="57484111"/>
    <w:rsid w:val="57901C4B"/>
    <w:rsid w:val="57B57241"/>
    <w:rsid w:val="58252497"/>
    <w:rsid w:val="586F5253"/>
    <w:rsid w:val="58957C09"/>
    <w:rsid w:val="58BE0443"/>
    <w:rsid w:val="58C904B9"/>
    <w:rsid w:val="59185CFC"/>
    <w:rsid w:val="59F310F5"/>
    <w:rsid w:val="59F458F4"/>
    <w:rsid w:val="5A877052"/>
    <w:rsid w:val="5ACC03DE"/>
    <w:rsid w:val="5AD4307F"/>
    <w:rsid w:val="5AE37497"/>
    <w:rsid w:val="5B030A94"/>
    <w:rsid w:val="5B722134"/>
    <w:rsid w:val="5B757F07"/>
    <w:rsid w:val="5B776941"/>
    <w:rsid w:val="5B847424"/>
    <w:rsid w:val="5BA93973"/>
    <w:rsid w:val="5BAC0AAD"/>
    <w:rsid w:val="5BBD750B"/>
    <w:rsid w:val="5BC911C7"/>
    <w:rsid w:val="5C797041"/>
    <w:rsid w:val="5CCA37AC"/>
    <w:rsid w:val="5CEB3257"/>
    <w:rsid w:val="5CED0CC4"/>
    <w:rsid w:val="5CEE41BB"/>
    <w:rsid w:val="5D6D0672"/>
    <w:rsid w:val="5D7578DB"/>
    <w:rsid w:val="5D8B6D58"/>
    <w:rsid w:val="5D944479"/>
    <w:rsid w:val="5DA01B3F"/>
    <w:rsid w:val="5DB357C9"/>
    <w:rsid w:val="5DBD0A8E"/>
    <w:rsid w:val="5DBD7352"/>
    <w:rsid w:val="5DE03827"/>
    <w:rsid w:val="5E484849"/>
    <w:rsid w:val="5E607E16"/>
    <w:rsid w:val="5ECA66DA"/>
    <w:rsid w:val="5EE852DF"/>
    <w:rsid w:val="5F02186A"/>
    <w:rsid w:val="5F1E1F11"/>
    <w:rsid w:val="5F286E89"/>
    <w:rsid w:val="5F2F7517"/>
    <w:rsid w:val="5F504760"/>
    <w:rsid w:val="5F772BCC"/>
    <w:rsid w:val="5F847B37"/>
    <w:rsid w:val="5FA0539A"/>
    <w:rsid w:val="5FB709E9"/>
    <w:rsid w:val="60134431"/>
    <w:rsid w:val="607263D3"/>
    <w:rsid w:val="60B47F98"/>
    <w:rsid w:val="61386B11"/>
    <w:rsid w:val="61575A23"/>
    <w:rsid w:val="61E72190"/>
    <w:rsid w:val="61F273D5"/>
    <w:rsid w:val="62227E62"/>
    <w:rsid w:val="62875821"/>
    <w:rsid w:val="62A05DE7"/>
    <w:rsid w:val="62E243A6"/>
    <w:rsid w:val="62F36BC1"/>
    <w:rsid w:val="63075F8F"/>
    <w:rsid w:val="631F4F21"/>
    <w:rsid w:val="638310C0"/>
    <w:rsid w:val="63A73323"/>
    <w:rsid w:val="63AE4F7C"/>
    <w:rsid w:val="63E935C0"/>
    <w:rsid w:val="64610A5D"/>
    <w:rsid w:val="652551DB"/>
    <w:rsid w:val="653E3962"/>
    <w:rsid w:val="65941D6D"/>
    <w:rsid w:val="65A535DC"/>
    <w:rsid w:val="65B137F9"/>
    <w:rsid w:val="65C97F6F"/>
    <w:rsid w:val="661411F5"/>
    <w:rsid w:val="662540AF"/>
    <w:rsid w:val="6631193A"/>
    <w:rsid w:val="663316D6"/>
    <w:rsid w:val="663C7503"/>
    <w:rsid w:val="665A2698"/>
    <w:rsid w:val="66721CAE"/>
    <w:rsid w:val="66FC376A"/>
    <w:rsid w:val="674B4D60"/>
    <w:rsid w:val="67557AF8"/>
    <w:rsid w:val="67803478"/>
    <w:rsid w:val="67F15371"/>
    <w:rsid w:val="67FE2BD9"/>
    <w:rsid w:val="68564AD7"/>
    <w:rsid w:val="686748BB"/>
    <w:rsid w:val="68836E58"/>
    <w:rsid w:val="68BA0687"/>
    <w:rsid w:val="695168B5"/>
    <w:rsid w:val="69523631"/>
    <w:rsid w:val="69710704"/>
    <w:rsid w:val="697A1064"/>
    <w:rsid w:val="698E57DC"/>
    <w:rsid w:val="6A0875ED"/>
    <w:rsid w:val="6A2A1BAE"/>
    <w:rsid w:val="6A4915F3"/>
    <w:rsid w:val="6AB55415"/>
    <w:rsid w:val="6AC83870"/>
    <w:rsid w:val="6B6C5BAC"/>
    <w:rsid w:val="6B717B52"/>
    <w:rsid w:val="6BB0495B"/>
    <w:rsid w:val="6BE97753"/>
    <w:rsid w:val="6BEF721E"/>
    <w:rsid w:val="6C0A20B6"/>
    <w:rsid w:val="6CA4198B"/>
    <w:rsid w:val="6CF707EE"/>
    <w:rsid w:val="6D2C133C"/>
    <w:rsid w:val="6D520C84"/>
    <w:rsid w:val="6DD306D4"/>
    <w:rsid w:val="6DDA6B95"/>
    <w:rsid w:val="6E276D33"/>
    <w:rsid w:val="6E890EE2"/>
    <w:rsid w:val="6E9250C1"/>
    <w:rsid w:val="6EA1438E"/>
    <w:rsid w:val="6EC72DCE"/>
    <w:rsid w:val="6ECC5BEC"/>
    <w:rsid w:val="6EEF1577"/>
    <w:rsid w:val="6F2225A3"/>
    <w:rsid w:val="6F3F5C9A"/>
    <w:rsid w:val="6FAF363C"/>
    <w:rsid w:val="6FD00E4A"/>
    <w:rsid w:val="6FEB436A"/>
    <w:rsid w:val="6FF00B54"/>
    <w:rsid w:val="700F10F2"/>
    <w:rsid w:val="70662A40"/>
    <w:rsid w:val="70B3375E"/>
    <w:rsid w:val="70C128C4"/>
    <w:rsid w:val="70F13F8D"/>
    <w:rsid w:val="71087893"/>
    <w:rsid w:val="7118251B"/>
    <w:rsid w:val="714666F9"/>
    <w:rsid w:val="7148304B"/>
    <w:rsid w:val="71F4092F"/>
    <w:rsid w:val="720E7666"/>
    <w:rsid w:val="723B3A4B"/>
    <w:rsid w:val="72815F4F"/>
    <w:rsid w:val="72D6391F"/>
    <w:rsid w:val="72E408D2"/>
    <w:rsid w:val="73161D60"/>
    <w:rsid w:val="73341C5C"/>
    <w:rsid w:val="739D70DD"/>
    <w:rsid w:val="73A27629"/>
    <w:rsid w:val="74032AF2"/>
    <w:rsid w:val="74260083"/>
    <w:rsid w:val="74640895"/>
    <w:rsid w:val="747645E9"/>
    <w:rsid w:val="7531437F"/>
    <w:rsid w:val="75627015"/>
    <w:rsid w:val="75842107"/>
    <w:rsid w:val="75A32826"/>
    <w:rsid w:val="75AE4E15"/>
    <w:rsid w:val="75E44CD8"/>
    <w:rsid w:val="763539E8"/>
    <w:rsid w:val="76376B11"/>
    <w:rsid w:val="76657225"/>
    <w:rsid w:val="76BA65DB"/>
    <w:rsid w:val="77A84E0A"/>
    <w:rsid w:val="77B85D1D"/>
    <w:rsid w:val="77C21F79"/>
    <w:rsid w:val="77F469E3"/>
    <w:rsid w:val="78030755"/>
    <w:rsid w:val="783B73C8"/>
    <w:rsid w:val="78436AC6"/>
    <w:rsid w:val="7885374F"/>
    <w:rsid w:val="7888430D"/>
    <w:rsid w:val="79303663"/>
    <w:rsid w:val="793B78AB"/>
    <w:rsid w:val="794C78DB"/>
    <w:rsid w:val="795D20C0"/>
    <w:rsid w:val="79813885"/>
    <w:rsid w:val="79870F4A"/>
    <w:rsid w:val="79920CB8"/>
    <w:rsid w:val="79A4634D"/>
    <w:rsid w:val="79B37AFC"/>
    <w:rsid w:val="79C43826"/>
    <w:rsid w:val="7A2B7BE0"/>
    <w:rsid w:val="7AB86CB3"/>
    <w:rsid w:val="7ABA0765"/>
    <w:rsid w:val="7B0D125B"/>
    <w:rsid w:val="7B1953CC"/>
    <w:rsid w:val="7B5C5908"/>
    <w:rsid w:val="7B726133"/>
    <w:rsid w:val="7B817917"/>
    <w:rsid w:val="7C0600FA"/>
    <w:rsid w:val="7C3A153A"/>
    <w:rsid w:val="7C654B51"/>
    <w:rsid w:val="7C8075E7"/>
    <w:rsid w:val="7CCA6E77"/>
    <w:rsid w:val="7D2613CC"/>
    <w:rsid w:val="7D410266"/>
    <w:rsid w:val="7D417B05"/>
    <w:rsid w:val="7D585826"/>
    <w:rsid w:val="7D6D2A5F"/>
    <w:rsid w:val="7D8C12AA"/>
    <w:rsid w:val="7DA9278C"/>
    <w:rsid w:val="7E36342F"/>
    <w:rsid w:val="7E744923"/>
    <w:rsid w:val="7ED74980"/>
    <w:rsid w:val="7EDC263B"/>
    <w:rsid w:val="7EDF6CD0"/>
    <w:rsid w:val="7EE20D75"/>
    <w:rsid w:val="7EEF5AB7"/>
    <w:rsid w:val="7EF028F8"/>
    <w:rsid w:val="7F375CCB"/>
    <w:rsid w:val="7F436BB2"/>
    <w:rsid w:val="7F7A7552"/>
    <w:rsid w:val="7F811A6E"/>
    <w:rsid w:val="7F8E1E88"/>
    <w:rsid w:val="7FBD0FED"/>
    <w:rsid w:val="7FDA5D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kern w:val="2"/>
      <w:sz w:val="21"/>
      <w:szCs w:val="24"/>
      <w:lang w:val="en-US" w:eastAsia="zh-CN" w:bidi="ar-SA"/>
    </w:rPr>
  </w:style>
  <w:style w:type="paragraph" w:styleId="2">
    <w:name w:val="heading 1"/>
    <w:basedOn w:val="1"/>
    <w:next w:val="1"/>
    <w:qFormat/>
    <w:uiPriority w:val="9"/>
    <w:pPr>
      <w:spacing w:after="156" w:afterLines="50" w:line="600" w:lineRule="exact"/>
      <w:ind w:firstLine="0" w:firstLineChars="0"/>
      <w:jc w:val="left"/>
      <w:outlineLvl w:val="0"/>
    </w:pPr>
    <w:rPr>
      <w:rFonts w:ascii="仿宋" w:hAnsi="仿宋" w:eastAsia="黑体"/>
      <w:b/>
      <w:color w:val="auto"/>
      <w:kern w:val="2"/>
      <w:sz w:val="32"/>
      <w:szCs w:val="24"/>
    </w:rPr>
  </w:style>
  <w:style w:type="paragraph" w:styleId="3">
    <w:name w:val="heading 2"/>
    <w:basedOn w:val="1"/>
    <w:next w:val="1"/>
    <w:qFormat/>
    <w:uiPriority w:val="9"/>
    <w:pPr>
      <w:spacing w:before="156" w:beforeLines="50" w:line="600" w:lineRule="exact"/>
      <w:ind w:firstLine="0" w:firstLineChars="0"/>
      <w:outlineLvl w:val="1"/>
    </w:pPr>
    <w:rPr>
      <w:rFonts w:eastAsia="仿宋"/>
      <w:b/>
      <w:sz w:val="32"/>
    </w:rPr>
  </w:style>
  <w:style w:type="paragraph" w:styleId="4">
    <w:name w:val="heading 3"/>
    <w:basedOn w:val="5"/>
    <w:next w:val="1"/>
    <w:link w:val="55"/>
    <w:qFormat/>
    <w:uiPriority w:val="9"/>
    <w:pPr>
      <w:outlineLvl w:val="2"/>
    </w:pPr>
  </w:style>
  <w:style w:type="paragraph" w:styleId="5">
    <w:name w:val="heading 4"/>
    <w:basedOn w:val="1"/>
    <w:next w:val="1"/>
    <w:qFormat/>
    <w:uiPriority w:val="9"/>
    <w:pPr>
      <w:keepNext/>
      <w:keepLines/>
      <w:spacing w:line="600" w:lineRule="exact"/>
      <w:ind w:firstLine="0" w:firstLineChars="0"/>
      <w:outlineLvl w:val="3"/>
    </w:pPr>
    <w:rPr>
      <w:rFonts w:ascii="Cambria" w:hAnsi="Cambria" w:eastAsia="仿宋" w:cs="黑体"/>
      <w:b/>
      <w:bCs/>
      <w:iCs/>
      <w:sz w:val="32"/>
    </w:rPr>
  </w:style>
  <w:style w:type="character" w:default="1" w:styleId="17">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6">
    <w:name w:val="Document Map"/>
    <w:basedOn w:val="1"/>
    <w:link w:val="53"/>
    <w:uiPriority w:val="0"/>
    <w:rPr>
      <w:rFonts w:ascii="宋体"/>
      <w:sz w:val="18"/>
      <w:szCs w:val="18"/>
    </w:rPr>
  </w:style>
  <w:style w:type="paragraph" w:styleId="7">
    <w:name w:val="Body Text Indent"/>
    <w:basedOn w:val="1"/>
    <w:qFormat/>
    <w:uiPriority w:val="0"/>
    <w:pPr>
      <w:widowControl w:val="0"/>
      <w:pBdr>
        <w:top w:val="none" w:color="auto" w:sz="0" w:space="0"/>
        <w:left w:val="none" w:color="auto" w:sz="0" w:space="0"/>
        <w:bottom w:val="none" w:color="auto" w:sz="0" w:space="0"/>
        <w:right w:val="none" w:color="auto" w:sz="0" w:space="0"/>
        <w:between w:val="none" w:color="auto" w:sz="0" w:space="0"/>
      </w:pBdr>
      <w:ind w:firstLine="780"/>
      <w:jc w:val="both"/>
    </w:pPr>
    <w:rPr>
      <w:rFonts w:ascii="仿宋_GB2312" w:hAnsi="Times New Roman" w:eastAsia="仿宋_GB2312" w:cs="Times New Roman"/>
      <w:bCs/>
      <w:color w:val="auto"/>
      <w:kern w:val="2"/>
      <w:sz w:val="44"/>
      <w:szCs w:val="44"/>
      <w:u w:val="none" w:color="auto"/>
      <w:lang w:val="en-US" w:eastAsia="zh-CN"/>
    </w:rPr>
  </w:style>
  <w:style w:type="paragraph" w:styleId="8">
    <w:name w:val="toc 3"/>
    <w:basedOn w:val="1"/>
    <w:next w:val="1"/>
    <w:qFormat/>
    <w:uiPriority w:val="0"/>
    <w:pPr>
      <w:ind w:left="840" w:leftChars="400"/>
    </w:pPr>
  </w:style>
  <w:style w:type="paragraph" w:styleId="9">
    <w:name w:val="Balloon Text"/>
    <w:basedOn w:val="1"/>
    <w:link w:val="54"/>
    <w:uiPriority w:val="0"/>
    <w:rPr>
      <w:sz w:val="18"/>
      <w:szCs w:val="18"/>
    </w:rPr>
  </w:style>
  <w:style w:type="paragraph" w:styleId="10">
    <w:name w:val="footer"/>
    <w:basedOn w:val="1"/>
    <w:unhideWhenUsed/>
    <w:uiPriority w:val="99"/>
    <w:pPr>
      <w:tabs>
        <w:tab w:val="center" w:pos="4153"/>
        <w:tab w:val="right" w:pos="8306"/>
      </w:tabs>
      <w:snapToGrid w:val="0"/>
      <w:jc w:val="left"/>
    </w:pPr>
    <w:rPr>
      <w:sz w:val="18"/>
      <w:szCs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nhideWhenUsed/>
    <w:qFormat/>
    <w:uiPriority w:val="39"/>
    <w:pPr>
      <w:spacing w:before="50" w:beforeLines="50"/>
      <w:ind w:firstLine="0" w:firstLineChars="0"/>
      <w:jc w:val="left"/>
    </w:pPr>
    <w:rPr>
      <w:rFonts w:eastAsia="黑体"/>
      <w:b/>
      <w:sz w:val="32"/>
    </w:rPr>
  </w:style>
  <w:style w:type="paragraph" w:styleId="13">
    <w:name w:val="toc 2"/>
    <w:basedOn w:val="1"/>
    <w:next w:val="1"/>
    <w:qFormat/>
    <w:uiPriority w:val="0"/>
    <w:pPr>
      <w:ind w:left="420" w:leftChars="200"/>
    </w:pPr>
  </w:style>
  <w:style w:type="paragraph" w:styleId="14">
    <w:name w:val="Normal (Web)"/>
    <w:basedOn w:val="1"/>
    <w:uiPriority w:val="0"/>
    <w:pPr>
      <w:spacing w:before="100" w:beforeAutospacing="1" w:after="100" w:afterAutospacing="1"/>
      <w:ind w:left="0" w:right="0"/>
      <w:jc w:val="left"/>
    </w:pPr>
    <w:rPr>
      <w:kern w:val="0"/>
      <w:sz w:val="24"/>
      <w:lang w:val="en-US" w:eastAsia="zh-CN" w:bidi="ar"/>
    </w:rPr>
  </w:style>
  <w:style w:type="table" w:styleId="16">
    <w:name w:val="Table Grid"/>
    <w:basedOn w:val="15"/>
    <w:uiPriority w:val="0"/>
    <w:pPr>
      <w:widowControl w:val="0"/>
      <w:jc w:val="both"/>
    </w:pPr>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uiPriority w:val="0"/>
    <w:rPr>
      <w:color w:val="000000"/>
      <w:sz w:val="14"/>
      <w:szCs w:val="14"/>
      <w:u w:val="none"/>
    </w:rPr>
  </w:style>
  <w:style w:type="character" w:styleId="20">
    <w:name w:val="Emphasis"/>
    <w:basedOn w:val="17"/>
    <w:qFormat/>
    <w:uiPriority w:val="0"/>
  </w:style>
  <w:style w:type="character" w:styleId="21">
    <w:name w:val="HTML Definition"/>
    <w:basedOn w:val="17"/>
    <w:uiPriority w:val="0"/>
  </w:style>
  <w:style w:type="character" w:styleId="22">
    <w:name w:val="HTML Acronym"/>
    <w:basedOn w:val="17"/>
    <w:uiPriority w:val="0"/>
  </w:style>
  <w:style w:type="character" w:styleId="23">
    <w:name w:val="HTML Variable"/>
    <w:basedOn w:val="17"/>
    <w:uiPriority w:val="0"/>
  </w:style>
  <w:style w:type="character" w:styleId="24">
    <w:name w:val="Hyperlink"/>
    <w:basedOn w:val="17"/>
    <w:uiPriority w:val="0"/>
    <w:rPr>
      <w:color w:val="000000"/>
      <w:sz w:val="14"/>
      <w:szCs w:val="14"/>
      <w:u w:val="none"/>
    </w:rPr>
  </w:style>
  <w:style w:type="character" w:styleId="25">
    <w:name w:val="HTML Code"/>
    <w:basedOn w:val="17"/>
    <w:uiPriority w:val="0"/>
    <w:rPr>
      <w:rFonts w:ascii="Courier New" w:hAnsi="Courier New"/>
      <w:sz w:val="20"/>
    </w:rPr>
  </w:style>
  <w:style w:type="character" w:styleId="26">
    <w:name w:val="HTML Cite"/>
    <w:basedOn w:val="17"/>
    <w:uiPriority w:val="0"/>
  </w:style>
  <w:style w:type="character" w:customStyle="1" w:styleId="27">
    <w:name w:val="bds_more2"/>
    <w:basedOn w:val="17"/>
    <w:uiPriority w:val="0"/>
    <w:rPr>
      <w:rFonts w:hint="eastAsia" w:ascii="宋体" w:hAnsi="宋体" w:eastAsia="宋体" w:cs="宋体"/>
    </w:rPr>
  </w:style>
  <w:style w:type="character" w:customStyle="1" w:styleId="28">
    <w:name w:val="bds_more"/>
    <w:basedOn w:val="17"/>
    <w:uiPriority w:val="0"/>
    <w:rPr>
      <w:rFonts w:hint="eastAsia" w:ascii="宋体" w:hAnsi="宋体" w:eastAsia="宋体" w:cs="宋体"/>
    </w:rPr>
  </w:style>
  <w:style w:type="character" w:customStyle="1" w:styleId="29">
    <w:name w:val="hover11"/>
    <w:basedOn w:val="17"/>
    <w:uiPriority w:val="0"/>
    <w:rPr>
      <w:color w:val="FFFFFF"/>
    </w:rPr>
  </w:style>
  <w:style w:type="character" w:customStyle="1" w:styleId="30">
    <w:name w:val="bds_more4"/>
    <w:basedOn w:val="17"/>
    <w:uiPriority w:val="0"/>
    <w:rPr>
      <w:rFonts w:hint="default" w:ascii="宋体 ! important" w:hAnsi="宋体 ! important" w:eastAsia="宋体 ! important" w:cs="宋体 ! important"/>
      <w:color w:val="454545"/>
      <w:sz w:val="12"/>
      <w:szCs w:val="12"/>
    </w:rPr>
  </w:style>
  <w:style w:type="character" w:customStyle="1" w:styleId="31">
    <w:name w:val="page_next"/>
    <w:basedOn w:val="17"/>
    <w:uiPriority w:val="0"/>
  </w:style>
  <w:style w:type="character" w:customStyle="1" w:styleId="32">
    <w:name w:val="bds_nopic1"/>
    <w:basedOn w:val="17"/>
    <w:uiPriority w:val="0"/>
  </w:style>
  <w:style w:type="character" w:customStyle="1" w:styleId="33">
    <w:name w:val="current"/>
    <w:basedOn w:val="17"/>
    <w:uiPriority w:val="0"/>
    <w:rPr>
      <w:b/>
      <w:color w:val="FFFFFF"/>
      <w:shd w:val="clear" w:color="auto" w:fill="2951A8"/>
    </w:rPr>
  </w:style>
  <w:style w:type="character" w:customStyle="1" w:styleId="34">
    <w:name w:val="bds_nopic2"/>
    <w:basedOn w:val="17"/>
    <w:uiPriority w:val="0"/>
  </w:style>
  <w:style w:type="character" w:customStyle="1" w:styleId="35">
    <w:name w:val="page_prev"/>
    <w:basedOn w:val="17"/>
    <w:uiPriority w:val="0"/>
  </w:style>
  <w:style w:type="character" w:customStyle="1" w:styleId="36">
    <w:name w:val="first-child"/>
    <w:basedOn w:val="17"/>
    <w:uiPriority w:val="0"/>
    <w:rPr>
      <w:color w:val="0F92D6"/>
      <w:sz w:val="16"/>
      <w:szCs w:val="16"/>
    </w:rPr>
  </w:style>
  <w:style w:type="character" w:customStyle="1" w:styleId="37">
    <w:name w:val="active1"/>
    <w:basedOn w:val="17"/>
    <w:uiPriority w:val="0"/>
    <w:rPr>
      <w:color w:val="FFFFFF"/>
    </w:rPr>
  </w:style>
  <w:style w:type="character" w:customStyle="1" w:styleId="38">
    <w:name w:val="on1"/>
    <w:basedOn w:val="17"/>
    <w:uiPriority w:val="0"/>
    <w:rPr>
      <w:color w:val="0F92D6"/>
      <w:sz w:val="22"/>
      <w:szCs w:val="22"/>
    </w:rPr>
  </w:style>
  <w:style w:type="character" w:customStyle="1" w:styleId="39">
    <w:name w:val="bds_nopic"/>
    <w:basedOn w:val="17"/>
    <w:uiPriority w:val="0"/>
  </w:style>
  <w:style w:type="character" w:customStyle="1" w:styleId="40">
    <w:name w:val="disabled"/>
    <w:basedOn w:val="17"/>
    <w:uiPriority w:val="0"/>
    <w:rPr>
      <w:color w:val="777777"/>
    </w:rPr>
  </w:style>
  <w:style w:type="character" w:customStyle="1" w:styleId="41">
    <w:name w:val="layui-layer-tabnow"/>
    <w:basedOn w:val="17"/>
    <w:uiPriority w:val="0"/>
    <w:rPr>
      <w:bdr w:val="single" w:color="CCCCCC" w:sz="4" w:space="0"/>
      <w:shd w:val="clear" w:color="auto" w:fill="FFFFFF"/>
    </w:rPr>
  </w:style>
  <w:style w:type="character" w:customStyle="1" w:styleId="42">
    <w:name w:val="bds_more3"/>
    <w:basedOn w:val="17"/>
    <w:uiPriority w:val="0"/>
    <w:rPr>
      <w:rFonts w:ascii="宋体 ! important" w:hAnsi="宋体 ! important" w:eastAsia="宋体 ! important" w:cs="宋体 ! important"/>
      <w:color w:val="454545"/>
      <w:sz w:val="14"/>
      <w:szCs w:val="14"/>
    </w:rPr>
  </w:style>
  <w:style w:type="character" w:customStyle="1" w:styleId="43">
    <w:name w:val="bds_more1"/>
    <w:basedOn w:val="17"/>
    <w:uiPriority w:val="0"/>
  </w:style>
  <w:style w:type="character" w:customStyle="1" w:styleId="44">
    <w:name w:val="conten_content1"/>
    <w:basedOn w:val="17"/>
    <w:uiPriority w:val="0"/>
    <w:rPr>
      <w:rFonts w:ascii="微软雅黑" w:hAnsi="微软雅黑" w:eastAsia="微软雅黑" w:cs="微软雅黑"/>
      <w:color w:val="424242"/>
      <w:sz w:val="15"/>
      <w:szCs w:val="15"/>
      <w:u w:val="none"/>
    </w:rPr>
  </w:style>
  <w:style w:type="character" w:customStyle="1" w:styleId="45">
    <w:name w:val="first-child1"/>
    <w:basedOn w:val="17"/>
    <w:uiPriority w:val="0"/>
  </w:style>
  <w:style w:type="paragraph" w:customStyle="1" w:styleId="46">
    <w:name w:val="WPSOffice手动目录 2"/>
    <w:uiPriority w:val="0"/>
    <w:pPr>
      <w:ind w:leftChars="200"/>
    </w:pPr>
    <w:rPr>
      <w:lang w:val="en-US" w:eastAsia="zh-CN" w:bidi="ar-SA"/>
    </w:rPr>
  </w:style>
  <w:style w:type="paragraph" w:customStyle="1" w:styleId="47">
    <w:name w:val="WPSOffice手动目录 1"/>
    <w:uiPriority w:val="0"/>
    <w:rPr>
      <w:lang w:val="en-US" w:eastAsia="zh-CN" w:bidi="ar-SA"/>
    </w:rPr>
  </w:style>
  <w:style w:type="paragraph" w:customStyle="1" w:styleId="48">
    <w:name w:val="正文 A"/>
    <w:uiPriority w:val="0"/>
    <w:pPr>
      <w:widowControl w:val="0"/>
      <w:jc w:val="both"/>
    </w:pPr>
    <w:rPr>
      <w:rFonts w:eastAsia="Calibri" w:cs="Calibri"/>
      <w:color w:val="000000"/>
      <w:kern w:val="2"/>
      <w:sz w:val="21"/>
      <w:szCs w:val="21"/>
      <w:u w:val="none" w:color="000000"/>
      <w:lang w:val="en-US" w:eastAsia="zh-CN" w:bidi="ar-SA"/>
    </w:rPr>
  </w:style>
  <w:style w:type="paragraph" w:styleId="49">
    <w:name w:val="List Paragraph"/>
    <w:basedOn w:val="1"/>
    <w:qFormat/>
    <w:uiPriority w:val="34"/>
    <w:pPr>
      <w:ind w:firstLine="420" w:firstLineChars="200"/>
    </w:pPr>
  </w:style>
  <w:style w:type="paragraph" w:styleId="50">
    <w:name w:val=""/>
    <w:basedOn w:val="1"/>
    <w:next w:val="1"/>
    <w:uiPriority w:val="0"/>
    <w:pPr>
      <w:pBdr>
        <w:top w:val="single" w:color="auto" w:sz="6" w:space="1"/>
      </w:pBdr>
      <w:jc w:val="center"/>
    </w:pPr>
    <w:rPr>
      <w:rFonts w:ascii="Arial" w:eastAsia="宋体"/>
      <w:vanish/>
      <w:sz w:val="16"/>
    </w:rPr>
  </w:style>
  <w:style w:type="paragraph" w:styleId="51">
    <w:name w:val=""/>
    <w:basedOn w:val="1"/>
    <w:next w:val="1"/>
    <w:uiPriority w:val="0"/>
    <w:pPr>
      <w:pBdr>
        <w:bottom w:val="single" w:color="auto" w:sz="6" w:space="1"/>
      </w:pBdr>
      <w:jc w:val="center"/>
    </w:pPr>
    <w:rPr>
      <w:rFonts w:ascii="Arial" w:eastAsia="宋体"/>
      <w:vanish/>
      <w:sz w:val="16"/>
    </w:rPr>
  </w:style>
  <w:style w:type="paragraph" w:customStyle="1" w:styleId="52">
    <w:name w:val="WPSOffice手动目录 3"/>
    <w:uiPriority w:val="0"/>
    <w:pPr>
      <w:ind w:leftChars="400"/>
    </w:pPr>
    <w:rPr>
      <w:lang w:val="en-US" w:eastAsia="zh-CN" w:bidi="ar-SA"/>
    </w:rPr>
  </w:style>
  <w:style w:type="character" w:customStyle="1" w:styleId="53">
    <w:name w:val="文档结构图 Char"/>
    <w:basedOn w:val="17"/>
    <w:link w:val="6"/>
    <w:uiPriority w:val="0"/>
    <w:rPr>
      <w:rFonts w:ascii="宋体" w:cs="Times New Roman"/>
      <w:kern w:val="2"/>
      <w:sz w:val="18"/>
      <w:szCs w:val="18"/>
    </w:rPr>
  </w:style>
  <w:style w:type="character" w:customStyle="1" w:styleId="54">
    <w:name w:val="批注框文本 Char"/>
    <w:basedOn w:val="17"/>
    <w:link w:val="9"/>
    <w:uiPriority w:val="0"/>
    <w:rPr>
      <w:rFonts w:cs="Times New Roman"/>
      <w:kern w:val="2"/>
      <w:sz w:val="18"/>
      <w:szCs w:val="18"/>
    </w:rPr>
  </w:style>
  <w:style w:type="character" w:customStyle="1" w:styleId="55">
    <w:name w:val="标题 3 Char"/>
    <w:link w:val="4"/>
    <w:uiPriority w:val="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58</Pages>
  <Words>31682</Words>
  <Characters>32373</Characters>
  <Lines>272</Lines>
  <Paragraphs>76</Paragraphs>
  <TotalTime>3</TotalTime>
  <ScaleCrop>false</ScaleCrop>
  <LinksUpToDate>false</LinksUpToDate>
  <CharactersWithSpaces>32507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GB</dc:creator>
  <cp:lastModifiedBy>hello</cp:lastModifiedBy>
  <cp:lastPrinted>2021-07-16T03:35:00Z</cp:lastPrinted>
  <dcterms:modified xsi:type="dcterms:W3CDTF">2023-01-13T08:18:09Z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348FB9D4A85A4E2FB79C3F56D08D62A8</vt:lpwstr>
  </property>
</Properties>
</file>