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2D358" w14:textId="77777777" w:rsidR="003A01DB" w:rsidRDefault="003A01DB" w:rsidP="00CA5D03">
      <w:pPr>
        <w:spacing w:line="590" w:lineRule="exact"/>
        <w:jc w:val="center"/>
        <w:rPr>
          <w:rFonts w:ascii="Times New Roman" w:eastAsia="方正小标宋简体" w:hAnsi="Times New Roman"/>
          <w:color w:val="000000"/>
          <w:sz w:val="52"/>
          <w:szCs w:val="52"/>
        </w:rPr>
      </w:pPr>
      <w:r>
        <w:rPr>
          <w:rFonts w:ascii="Times New Roman" w:eastAsia="方正小标宋简体" w:hAnsi="Times New Roman"/>
          <w:color w:val="000000"/>
          <w:sz w:val="52"/>
          <w:szCs w:val="52"/>
        </w:rPr>
        <w:t>德阳市旌阳区城乡社区发展治理</w:t>
      </w:r>
    </w:p>
    <w:p w14:paraId="6212BF44" w14:textId="77777777" w:rsidR="003A01DB" w:rsidRDefault="003A01DB" w:rsidP="00CA5D03">
      <w:pPr>
        <w:spacing w:line="590" w:lineRule="exact"/>
        <w:jc w:val="center"/>
        <w:rPr>
          <w:rFonts w:ascii="Times New Roman" w:eastAsia="方正小标宋简体" w:hAnsi="Times New Roman"/>
          <w:color w:val="000000"/>
          <w:sz w:val="48"/>
          <w:szCs w:val="48"/>
        </w:rPr>
      </w:pPr>
      <w:r>
        <w:rPr>
          <w:rFonts w:ascii="Times New Roman" w:eastAsia="方正小标宋简体" w:hAnsi="Times New Roman"/>
          <w:color w:val="000000"/>
          <w:sz w:val="52"/>
          <w:szCs w:val="52"/>
        </w:rPr>
        <w:t>“</w:t>
      </w:r>
      <w:r>
        <w:rPr>
          <w:rFonts w:ascii="Times New Roman" w:eastAsia="方正小标宋简体" w:hAnsi="Times New Roman"/>
          <w:color w:val="000000"/>
          <w:sz w:val="52"/>
          <w:szCs w:val="52"/>
        </w:rPr>
        <w:t>十四五</w:t>
      </w:r>
      <w:r>
        <w:rPr>
          <w:rFonts w:ascii="Times New Roman" w:eastAsia="方正小标宋简体" w:hAnsi="Times New Roman"/>
          <w:color w:val="000000"/>
          <w:sz w:val="52"/>
          <w:szCs w:val="52"/>
        </w:rPr>
        <w:t>”</w:t>
      </w:r>
      <w:r>
        <w:rPr>
          <w:rFonts w:ascii="Times New Roman" w:eastAsia="方正小标宋简体" w:hAnsi="Times New Roman"/>
          <w:color w:val="000000"/>
          <w:sz w:val="52"/>
          <w:szCs w:val="52"/>
        </w:rPr>
        <w:t>规划</w:t>
      </w:r>
    </w:p>
    <w:p w14:paraId="04408DEA" w14:textId="77777777" w:rsidR="003A01DB" w:rsidRDefault="003A01DB" w:rsidP="00CA5D03">
      <w:pPr>
        <w:spacing w:line="590" w:lineRule="exact"/>
        <w:jc w:val="center"/>
        <w:rPr>
          <w:rFonts w:ascii="Times New Roman" w:eastAsia="方正小标宋简体" w:hAnsi="Times New Roman"/>
          <w:bCs/>
          <w:color w:val="000000"/>
          <w:sz w:val="36"/>
          <w:szCs w:val="36"/>
        </w:rPr>
      </w:pPr>
      <w:r>
        <w:rPr>
          <w:rFonts w:ascii="Times New Roman" w:eastAsia="方正小标宋简体" w:hAnsi="Times New Roman"/>
          <w:bCs/>
          <w:color w:val="000000"/>
          <w:sz w:val="36"/>
          <w:szCs w:val="36"/>
        </w:rPr>
        <w:t>（</w:t>
      </w:r>
      <w:r>
        <w:rPr>
          <w:rFonts w:ascii="Times New Roman" w:eastAsia="方正小标宋简体" w:hAnsi="Times New Roman"/>
          <w:bCs/>
          <w:color w:val="000000"/>
          <w:sz w:val="36"/>
          <w:szCs w:val="36"/>
        </w:rPr>
        <w:t>2021—2025</w:t>
      </w:r>
      <w:r>
        <w:rPr>
          <w:rFonts w:ascii="Times New Roman" w:eastAsia="方正小标宋简体" w:hAnsi="Times New Roman"/>
          <w:bCs/>
          <w:color w:val="000000"/>
          <w:sz w:val="36"/>
          <w:szCs w:val="36"/>
        </w:rPr>
        <w:t>年）</w:t>
      </w:r>
    </w:p>
    <w:p w14:paraId="3B91074D" w14:textId="77777777" w:rsidR="003A01DB" w:rsidRDefault="003A01DB" w:rsidP="00CA5D03">
      <w:pPr>
        <w:spacing w:line="590" w:lineRule="exact"/>
        <w:jc w:val="center"/>
        <w:rPr>
          <w:rFonts w:ascii="Times New Roman" w:eastAsia="方正小标宋简体" w:hAnsi="Times New Roman"/>
          <w:color w:val="000000"/>
          <w:sz w:val="44"/>
          <w:szCs w:val="44"/>
        </w:rPr>
      </w:pPr>
    </w:p>
    <w:p w14:paraId="45D1DEC7" w14:textId="77777777" w:rsidR="003A01DB" w:rsidRDefault="003A01DB" w:rsidP="00CA5D03">
      <w:pPr>
        <w:spacing w:line="590" w:lineRule="exact"/>
        <w:jc w:val="center"/>
        <w:rPr>
          <w:rFonts w:ascii="Times New Roman" w:eastAsia="方正小标宋简体" w:hAnsi="Times New Roman"/>
          <w:color w:val="000000"/>
          <w:sz w:val="44"/>
          <w:szCs w:val="44"/>
        </w:rPr>
      </w:pPr>
    </w:p>
    <w:p w14:paraId="1F5C4EEA" w14:textId="77777777" w:rsidR="003A01DB" w:rsidRDefault="003A01DB" w:rsidP="00CA5D03">
      <w:pPr>
        <w:spacing w:line="590" w:lineRule="exact"/>
        <w:jc w:val="center"/>
        <w:rPr>
          <w:rFonts w:ascii="Times New Roman" w:eastAsia="方正小标宋简体" w:hAnsi="Times New Roman"/>
          <w:color w:val="000000"/>
          <w:sz w:val="44"/>
          <w:szCs w:val="44"/>
        </w:rPr>
      </w:pPr>
    </w:p>
    <w:p w14:paraId="334C1996" w14:textId="77777777" w:rsidR="003A01DB" w:rsidRDefault="003A01DB" w:rsidP="00CA5D03">
      <w:pPr>
        <w:spacing w:line="590" w:lineRule="exact"/>
        <w:jc w:val="center"/>
        <w:rPr>
          <w:rFonts w:ascii="Times New Roman" w:eastAsia="方正小标宋简体" w:hAnsi="Times New Roman"/>
          <w:color w:val="000000"/>
          <w:sz w:val="44"/>
          <w:szCs w:val="44"/>
        </w:rPr>
      </w:pPr>
    </w:p>
    <w:p w14:paraId="097E5A46" w14:textId="77777777" w:rsidR="003A01DB" w:rsidRDefault="003A01DB" w:rsidP="00CA5D03">
      <w:pPr>
        <w:spacing w:line="590" w:lineRule="exact"/>
        <w:jc w:val="center"/>
        <w:rPr>
          <w:rFonts w:ascii="Times New Roman" w:eastAsia="方正小标宋简体" w:hAnsi="Times New Roman"/>
          <w:color w:val="000000"/>
          <w:sz w:val="44"/>
          <w:szCs w:val="44"/>
        </w:rPr>
      </w:pPr>
    </w:p>
    <w:p w14:paraId="4F59ED8B" w14:textId="77777777" w:rsidR="003A01DB" w:rsidRDefault="003A01DB" w:rsidP="00CA5D03">
      <w:pPr>
        <w:spacing w:line="590" w:lineRule="exact"/>
        <w:jc w:val="center"/>
        <w:rPr>
          <w:rFonts w:ascii="Times New Roman" w:eastAsia="方正小标宋简体" w:hAnsi="Times New Roman"/>
          <w:color w:val="000000"/>
          <w:sz w:val="44"/>
          <w:szCs w:val="44"/>
        </w:rPr>
      </w:pPr>
    </w:p>
    <w:p w14:paraId="47FADD97" w14:textId="77777777" w:rsidR="003A01DB" w:rsidRDefault="003A01DB" w:rsidP="00CA5D03">
      <w:pPr>
        <w:spacing w:line="590" w:lineRule="exact"/>
        <w:jc w:val="center"/>
        <w:rPr>
          <w:rFonts w:ascii="Times New Roman" w:eastAsia="方正小标宋简体" w:hAnsi="Times New Roman"/>
          <w:color w:val="000000"/>
          <w:sz w:val="44"/>
          <w:szCs w:val="44"/>
        </w:rPr>
      </w:pPr>
    </w:p>
    <w:p w14:paraId="7E13B980" w14:textId="77777777" w:rsidR="003A01DB" w:rsidRDefault="003A01DB" w:rsidP="00CA5D03">
      <w:pPr>
        <w:spacing w:line="590" w:lineRule="exact"/>
        <w:jc w:val="center"/>
        <w:rPr>
          <w:rFonts w:ascii="Times New Roman" w:eastAsia="方正小标宋简体" w:hAnsi="Times New Roman"/>
          <w:color w:val="000000"/>
          <w:sz w:val="44"/>
          <w:szCs w:val="44"/>
        </w:rPr>
      </w:pPr>
    </w:p>
    <w:p w14:paraId="55C066EC" w14:textId="77777777" w:rsidR="003A01DB" w:rsidRDefault="003A01DB" w:rsidP="00CA5D03">
      <w:pPr>
        <w:spacing w:line="590" w:lineRule="exact"/>
        <w:jc w:val="center"/>
        <w:rPr>
          <w:rFonts w:ascii="Times New Roman" w:eastAsia="方正小标宋简体" w:hAnsi="Times New Roman" w:hint="eastAsia"/>
          <w:color w:val="000000"/>
          <w:sz w:val="44"/>
          <w:szCs w:val="44"/>
        </w:rPr>
      </w:pPr>
    </w:p>
    <w:p w14:paraId="51395CA7" w14:textId="77777777" w:rsidR="00D058B4" w:rsidRDefault="00D058B4" w:rsidP="00CA5D03">
      <w:pPr>
        <w:pStyle w:val="a0"/>
        <w:widowControl w:val="0"/>
        <w:rPr>
          <w:rFonts w:hint="eastAsia"/>
        </w:rPr>
      </w:pPr>
    </w:p>
    <w:p w14:paraId="20A4423E" w14:textId="77777777" w:rsidR="00D058B4" w:rsidRDefault="00D058B4" w:rsidP="00CA5D03">
      <w:pPr>
        <w:pStyle w:val="af"/>
        <w:widowControl w:val="0"/>
        <w:rPr>
          <w:rFonts w:hint="eastAsia"/>
        </w:rPr>
      </w:pPr>
    </w:p>
    <w:p w14:paraId="588E1A9D" w14:textId="77777777" w:rsidR="00D058B4" w:rsidRDefault="00D058B4" w:rsidP="00CA5D03">
      <w:pPr>
        <w:rPr>
          <w:rFonts w:hint="eastAsia"/>
        </w:rPr>
      </w:pPr>
    </w:p>
    <w:p w14:paraId="5E9FEDEC" w14:textId="77777777" w:rsidR="00D058B4" w:rsidRDefault="00D058B4" w:rsidP="00CA5D03">
      <w:pPr>
        <w:pStyle w:val="a0"/>
        <w:widowControl w:val="0"/>
        <w:rPr>
          <w:rFonts w:hint="eastAsia"/>
        </w:rPr>
      </w:pPr>
    </w:p>
    <w:p w14:paraId="38775E5C" w14:textId="77777777" w:rsidR="00D058B4" w:rsidRPr="00D058B4" w:rsidRDefault="00D058B4" w:rsidP="00CA5D03">
      <w:pPr>
        <w:pStyle w:val="a0"/>
        <w:widowControl w:val="0"/>
        <w:jc w:val="both"/>
        <w:rPr>
          <w:rFonts w:hint="eastAsia"/>
        </w:rPr>
      </w:pPr>
    </w:p>
    <w:p w14:paraId="566BD147" w14:textId="77777777" w:rsidR="003A01DB" w:rsidRDefault="003A01DB" w:rsidP="00CA5D03">
      <w:pPr>
        <w:spacing w:line="590" w:lineRule="exact"/>
        <w:jc w:val="center"/>
        <w:rPr>
          <w:rFonts w:ascii="Times New Roman" w:eastAsia="方正小标宋简体" w:hAnsi="Times New Roman"/>
          <w:bCs/>
          <w:color w:val="000000"/>
          <w:sz w:val="36"/>
          <w:szCs w:val="36"/>
        </w:rPr>
      </w:pPr>
      <w:r>
        <w:rPr>
          <w:rFonts w:ascii="Times New Roman" w:eastAsia="方正小标宋简体" w:hAnsi="Times New Roman"/>
          <w:bCs/>
          <w:color w:val="000000"/>
          <w:sz w:val="36"/>
          <w:szCs w:val="36"/>
        </w:rPr>
        <w:t>中共德阳市旌阳区委社区发展治理委员会办公室</w:t>
      </w:r>
    </w:p>
    <w:p w14:paraId="0148732E" w14:textId="77777777" w:rsidR="003A01DB" w:rsidRDefault="003A01DB" w:rsidP="00CA5D03">
      <w:pPr>
        <w:spacing w:line="590" w:lineRule="exact"/>
        <w:jc w:val="center"/>
        <w:rPr>
          <w:rFonts w:ascii="Times New Roman" w:eastAsia="方正小标宋简体" w:hAnsi="Times New Roman"/>
          <w:bCs/>
          <w:color w:val="000000"/>
          <w:sz w:val="36"/>
          <w:szCs w:val="36"/>
        </w:rPr>
      </w:pPr>
      <w:r>
        <w:rPr>
          <w:rFonts w:ascii="Times New Roman" w:eastAsia="方正小标宋简体" w:hAnsi="Times New Roman"/>
          <w:bCs/>
          <w:color w:val="000000"/>
          <w:sz w:val="36"/>
          <w:szCs w:val="36"/>
        </w:rPr>
        <w:t>2022</w:t>
      </w:r>
      <w:r>
        <w:rPr>
          <w:rFonts w:ascii="Times New Roman" w:eastAsia="方正小标宋简体" w:hAnsi="Times New Roman"/>
          <w:bCs/>
          <w:color w:val="000000"/>
          <w:sz w:val="36"/>
          <w:szCs w:val="36"/>
        </w:rPr>
        <w:t>年</w:t>
      </w:r>
      <w:r>
        <w:rPr>
          <w:rFonts w:ascii="Times New Roman" w:eastAsia="方正小标宋简体" w:hAnsi="Times New Roman"/>
          <w:bCs/>
          <w:color w:val="000000"/>
          <w:sz w:val="36"/>
          <w:szCs w:val="36"/>
        </w:rPr>
        <w:t>1</w:t>
      </w:r>
      <w:r>
        <w:rPr>
          <w:rFonts w:ascii="Times New Roman" w:eastAsia="方正小标宋简体" w:hAnsi="Times New Roman"/>
          <w:bCs/>
          <w:color w:val="000000"/>
          <w:sz w:val="36"/>
          <w:szCs w:val="36"/>
        </w:rPr>
        <w:t>月</w:t>
      </w:r>
    </w:p>
    <w:p w14:paraId="53774BC8" w14:textId="77777777" w:rsidR="003A01DB" w:rsidRDefault="003A01DB" w:rsidP="00CA5D03">
      <w:pPr>
        <w:spacing w:line="590" w:lineRule="exact"/>
        <w:jc w:val="center"/>
        <w:rPr>
          <w:rFonts w:ascii="Times New Roman" w:eastAsia="方正小标宋简体" w:hAnsi="Times New Roman"/>
          <w:color w:val="000000"/>
          <w:sz w:val="44"/>
          <w:szCs w:val="44"/>
        </w:rPr>
        <w:sectPr w:rsidR="003A01DB" w:rsidSect="00456FCE">
          <w:headerReference w:type="even" r:id="rId6"/>
          <w:headerReference w:type="default" r:id="rId7"/>
          <w:footerReference w:type="even" r:id="rId8"/>
          <w:footerReference w:type="default" r:id="rId9"/>
          <w:headerReference w:type="first" r:id="rId10"/>
          <w:footerReference w:type="first" r:id="rId11"/>
          <w:pgSz w:w="11906" w:h="16838" w:code="9"/>
          <w:pgMar w:top="1701" w:right="1304" w:bottom="1418" w:left="1531" w:header="1701" w:footer="1531" w:gutter="0"/>
          <w:cols w:space="720"/>
          <w:docGrid w:type="lines" w:linePitch="312"/>
        </w:sectPr>
      </w:pPr>
    </w:p>
    <w:p w14:paraId="40584C6A" w14:textId="77777777" w:rsidR="003A01DB" w:rsidRPr="00C223F9" w:rsidRDefault="003A01DB" w:rsidP="00C223F9">
      <w:pPr>
        <w:ind w:firstLineChars="200" w:firstLine="640"/>
        <w:rPr>
          <w:rFonts w:ascii="仿宋_GB2312" w:eastAsia="仿宋_GB2312" w:hint="eastAsia"/>
          <w:sz w:val="32"/>
          <w:szCs w:val="32"/>
        </w:rPr>
      </w:pPr>
      <w:bookmarkStart w:id="0" w:name="_Toc59176600"/>
      <w:bookmarkStart w:id="1" w:name="_Toc19073"/>
      <w:r w:rsidRPr="00C223F9">
        <w:rPr>
          <w:rFonts w:ascii="仿宋_GB2312" w:eastAsia="仿宋_GB2312" w:hint="eastAsia"/>
          <w:sz w:val="32"/>
          <w:szCs w:val="32"/>
        </w:rPr>
        <w:lastRenderedPageBreak/>
        <w:t>前  言</w:t>
      </w:r>
    </w:p>
    <w:p w14:paraId="16785521" w14:textId="77777777" w:rsidR="003A01DB" w:rsidRPr="005F4797" w:rsidRDefault="003A01DB" w:rsidP="005F4797"/>
    <w:p w14:paraId="21668591" w14:textId="77777777" w:rsidR="003A01DB" w:rsidRPr="005F4797" w:rsidRDefault="003A01DB" w:rsidP="005F4797">
      <w:pPr>
        <w:ind w:firstLineChars="200" w:firstLine="640"/>
        <w:rPr>
          <w:rFonts w:ascii="Times New Roman" w:eastAsia="仿宋_GB2312" w:hAnsi="Times New Roman"/>
          <w:color w:val="000000"/>
          <w:sz w:val="32"/>
          <w:szCs w:val="32"/>
        </w:rPr>
      </w:pPr>
      <w:r w:rsidRPr="005F4797">
        <w:rPr>
          <w:rFonts w:ascii="Times New Roman" w:eastAsia="仿宋_GB2312" w:hAnsi="Times New Roman"/>
          <w:color w:val="000000"/>
          <w:sz w:val="32"/>
          <w:szCs w:val="32"/>
        </w:rPr>
        <w:t>十四五时期（</w:t>
      </w:r>
      <w:r w:rsidRPr="005F4797">
        <w:rPr>
          <w:rFonts w:ascii="Times New Roman" w:eastAsia="仿宋_GB2312" w:hAnsi="Times New Roman"/>
          <w:color w:val="000000"/>
          <w:sz w:val="32"/>
          <w:szCs w:val="32"/>
        </w:rPr>
        <w:t>2021-2025</w:t>
      </w:r>
      <w:r w:rsidRPr="005F4797">
        <w:rPr>
          <w:rFonts w:ascii="Times New Roman" w:eastAsia="仿宋_GB2312" w:hAnsi="Times New Roman"/>
          <w:color w:val="000000"/>
          <w:sz w:val="32"/>
          <w:szCs w:val="32"/>
        </w:rPr>
        <w:t>年），是旌阳发展的战略机遇落地期、转型发展关键期、蓄势突破窗口期，也是推进社区发展治理现代化、建设高品质生活宜居地的重要时期，社区发展治理作为城市发展的底部支撑、社会治理的基础工程、基层治理的主要内容、党建引领的重点领域，作为主城区所在的旌阳肩负着巩固党的执政根基、创造幸福美好生活的政治责任和民生责任。</w:t>
      </w:r>
    </w:p>
    <w:p w14:paraId="751ED674" w14:textId="77777777" w:rsidR="003A01DB" w:rsidRPr="00BD17DD" w:rsidRDefault="003A01DB" w:rsidP="00BD17DD">
      <w:pPr>
        <w:ind w:firstLineChars="200" w:firstLine="640"/>
        <w:rPr>
          <w:rFonts w:ascii="Times New Roman" w:eastAsia="仿宋_GB2312" w:hAnsi="Times New Roman"/>
          <w:color w:val="000000"/>
          <w:sz w:val="32"/>
          <w:szCs w:val="32"/>
        </w:rPr>
      </w:pPr>
      <w:r w:rsidRPr="00BD17DD">
        <w:rPr>
          <w:rFonts w:ascii="Times New Roman" w:eastAsia="仿宋_GB2312" w:hAnsi="Times New Roman"/>
          <w:color w:val="000000"/>
          <w:sz w:val="32"/>
          <w:szCs w:val="32"/>
        </w:rPr>
        <w:t>本规划是以《德阳市旌阳区国民经济和社会发展第十四个五年规划和二〇三五年远景目标纲要》为指引，根据《中共中央</w:t>
      </w:r>
      <w:r w:rsidRPr="00BD17DD">
        <w:rPr>
          <w:rFonts w:ascii="Times New Roman" w:eastAsia="仿宋_GB2312" w:hAnsi="Times New Roman"/>
          <w:color w:val="000000"/>
          <w:sz w:val="32"/>
          <w:szCs w:val="32"/>
        </w:rPr>
        <w:t xml:space="preserve"> </w:t>
      </w:r>
      <w:r w:rsidRPr="00BD17DD">
        <w:rPr>
          <w:rFonts w:ascii="Times New Roman" w:eastAsia="仿宋_GB2312" w:hAnsi="Times New Roman"/>
          <w:color w:val="000000"/>
          <w:sz w:val="32"/>
          <w:szCs w:val="32"/>
        </w:rPr>
        <w:t>国务院关于加强基层治理体系和治理能力现代化建设的意见》《中共四川省委关于深入贯彻党的十九届四中全会精神推进城乡基层治理制度创新和能力建设的决定》编制的旌阳区社区发展治理领域的第一个五年规划。规划立足新发展阶段、贯彻新发展理念、服务新发展格局，明确全区社区发展治理十四五期间的总体思路、发展基础、主要举措，探索我区社区发展治理新机制、新模式、新场景，是全区深化党建引领社区发展治理的路线图、任务书和时间表。</w:t>
      </w:r>
    </w:p>
    <w:p w14:paraId="3B16049F" w14:textId="77777777" w:rsidR="003A01DB" w:rsidRPr="00C223F9" w:rsidRDefault="003A01DB" w:rsidP="00C223F9">
      <w:pPr>
        <w:pStyle w:val="1"/>
        <w:jc w:val="center"/>
        <w:rPr>
          <w:rFonts w:ascii="仿宋_GB2312" w:eastAsia="仿宋_GB2312" w:hint="eastAsia"/>
          <w:sz w:val="36"/>
          <w:szCs w:val="36"/>
        </w:rPr>
      </w:pPr>
      <w:r w:rsidRPr="00C223F9">
        <w:rPr>
          <w:rFonts w:hint="eastAsia"/>
        </w:rPr>
        <w:br w:type="page"/>
      </w:r>
      <w:r w:rsidRPr="00C223F9">
        <w:rPr>
          <w:rFonts w:ascii="仿宋_GB2312" w:eastAsia="仿宋_GB2312" w:hint="eastAsia"/>
          <w:sz w:val="36"/>
          <w:szCs w:val="36"/>
        </w:rPr>
        <w:lastRenderedPageBreak/>
        <w:t>第一章　规划背景</w:t>
      </w:r>
    </w:p>
    <w:p w14:paraId="56BC1191" w14:textId="77777777" w:rsidR="003A01DB" w:rsidRDefault="003A01DB" w:rsidP="00CA5D03">
      <w:pPr>
        <w:adjustRightInd w:val="0"/>
        <w:snapToGrid w:val="0"/>
        <w:spacing w:line="590" w:lineRule="exact"/>
        <w:ind w:firstLineChars="200" w:firstLine="640"/>
        <w:rPr>
          <w:rFonts w:ascii="Times New Roman" w:eastAsia="黑体" w:hAnsi="Times New Roman"/>
          <w:color w:val="000000"/>
          <w:sz w:val="32"/>
          <w:szCs w:val="32"/>
        </w:rPr>
      </w:pPr>
    </w:p>
    <w:p w14:paraId="07FABE4C" w14:textId="77777777" w:rsidR="003A01DB" w:rsidRPr="00EE6610" w:rsidRDefault="003A01DB" w:rsidP="00EE6610">
      <w:pPr>
        <w:adjustRightInd w:val="0"/>
        <w:snapToGrid w:val="0"/>
        <w:spacing w:afterLines="50" w:after="156" w:line="590" w:lineRule="exact"/>
        <w:jc w:val="center"/>
        <w:rPr>
          <w:rFonts w:ascii="楷体_GB2312" w:eastAsia="楷体_GB2312" w:hAnsi="Times New Roman" w:hint="eastAsia"/>
          <w:b/>
          <w:color w:val="000000"/>
          <w:sz w:val="32"/>
          <w:szCs w:val="32"/>
        </w:rPr>
      </w:pPr>
      <w:r w:rsidRPr="00EE6610">
        <w:rPr>
          <w:rFonts w:ascii="楷体_GB2312" w:eastAsia="楷体_GB2312" w:hAnsi="Times New Roman" w:hint="eastAsia"/>
          <w:b/>
          <w:color w:val="000000"/>
          <w:sz w:val="32"/>
          <w:szCs w:val="32"/>
        </w:rPr>
        <w:t>第一节 发展基础</w:t>
      </w:r>
    </w:p>
    <w:p w14:paraId="39631C30" w14:textId="77777777" w:rsidR="003A01DB" w:rsidRPr="00383722" w:rsidRDefault="003A01DB" w:rsidP="00383722">
      <w:pPr>
        <w:ind w:firstLineChars="200" w:firstLine="640"/>
        <w:rPr>
          <w:rFonts w:ascii="Times New Roman" w:eastAsia="仿宋_GB2312" w:hAnsi="Times New Roman"/>
          <w:color w:val="000000"/>
          <w:sz w:val="32"/>
          <w:szCs w:val="32"/>
        </w:rPr>
      </w:pPr>
      <w:r w:rsidRPr="00383722">
        <w:rPr>
          <w:rFonts w:ascii="Times New Roman" w:eastAsia="仿宋_GB2312" w:hAnsi="Times New Roman"/>
          <w:color w:val="000000"/>
          <w:sz w:val="32"/>
          <w:szCs w:val="32"/>
        </w:rPr>
        <w:t>“</w:t>
      </w:r>
      <w:r w:rsidRPr="00383722">
        <w:rPr>
          <w:rFonts w:ascii="Times New Roman" w:eastAsia="仿宋_GB2312" w:hAnsi="Times New Roman"/>
          <w:color w:val="000000"/>
          <w:sz w:val="32"/>
          <w:szCs w:val="32"/>
        </w:rPr>
        <w:t>十三五</w:t>
      </w:r>
      <w:r w:rsidRPr="00383722">
        <w:rPr>
          <w:rFonts w:ascii="Times New Roman" w:eastAsia="仿宋_GB2312" w:hAnsi="Times New Roman"/>
          <w:color w:val="000000"/>
          <w:sz w:val="32"/>
          <w:szCs w:val="32"/>
        </w:rPr>
        <w:t>”</w:t>
      </w:r>
      <w:r w:rsidRPr="00383722">
        <w:rPr>
          <w:rFonts w:ascii="Times New Roman" w:eastAsia="仿宋_GB2312" w:hAnsi="Times New Roman"/>
          <w:color w:val="000000"/>
          <w:sz w:val="32"/>
          <w:szCs w:val="32"/>
        </w:rPr>
        <w:t>时期，我区坚定落实习近平新时代中国特色社会主义思想，把握城市经济社会发展演进的客观规律、回应人民群众对美好生活向往的时代命题，在实施</w:t>
      </w:r>
      <w:r w:rsidRPr="00383722">
        <w:rPr>
          <w:rFonts w:ascii="Times New Roman" w:eastAsia="仿宋_GB2312" w:hAnsi="Times New Roman"/>
          <w:color w:val="000000"/>
          <w:sz w:val="32"/>
          <w:szCs w:val="32"/>
        </w:rPr>
        <w:t>“</w:t>
      </w:r>
      <w:r w:rsidRPr="00383722">
        <w:rPr>
          <w:rFonts w:ascii="Times New Roman" w:eastAsia="仿宋_GB2312" w:hAnsi="Times New Roman"/>
          <w:color w:val="000000"/>
          <w:sz w:val="32"/>
          <w:szCs w:val="32"/>
        </w:rPr>
        <w:t>两项改革</w:t>
      </w:r>
      <w:r w:rsidRPr="00383722">
        <w:rPr>
          <w:rFonts w:ascii="Times New Roman" w:eastAsia="仿宋_GB2312" w:hAnsi="Times New Roman"/>
          <w:color w:val="000000"/>
          <w:sz w:val="32"/>
          <w:szCs w:val="32"/>
        </w:rPr>
        <w:t>”</w:t>
      </w:r>
      <w:r w:rsidRPr="00383722">
        <w:rPr>
          <w:rFonts w:ascii="Times New Roman" w:eastAsia="仿宋_GB2312" w:hAnsi="Times New Roman"/>
          <w:color w:val="000000"/>
          <w:sz w:val="32"/>
          <w:szCs w:val="32"/>
        </w:rPr>
        <w:t>、重塑基层治理空间结构的同时，创造性做出党建引领城乡社区发展治理的重大决策，系统推进城乡社区发展治理，为</w:t>
      </w:r>
      <w:r w:rsidRPr="00383722">
        <w:rPr>
          <w:rFonts w:ascii="Times New Roman" w:eastAsia="仿宋_GB2312" w:hAnsi="Times New Roman"/>
          <w:color w:val="000000"/>
          <w:sz w:val="32"/>
          <w:szCs w:val="32"/>
        </w:rPr>
        <w:t>“</w:t>
      </w:r>
      <w:r w:rsidRPr="00383722">
        <w:rPr>
          <w:rFonts w:ascii="Times New Roman" w:eastAsia="仿宋_GB2312" w:hAnsi="Times New Roman"/>
          <w:color w:val="000000"/>
          <w:sz w:val="32"/>
          <w:szCs w:val="32"/>
        </w:rPr>
        <w:t>十四五</w:t>
      </w:r>
      <w:r w:rsidRPr="00383722">
        <w:rPr>
          <w:rFonts w:ascii="Times New Roman" w:eastAsia="仿宋_GB2312" w:hAnsi="Times New Roman"/>
          <w:color w:val="000000"/>
          <w:sz w:val="32"/>
          <w:szCs w:val="32"/>
        </w:rPr>
        <w:t>”</w:t>
      </w:r>
      <w:r w:rsidRPr="00383722">
        <w:rPr>
          <w:rFonts w:ascii="Times New Roman" w:eastAsia="仿宋_GB2312" w:hAnsi="Times New Roman"/>
          <w:color w:val="000000"/>
          <w:sz w:val="32"/>
          <w:szCs w:val="32"/>
        </w:rPr>
        <w:t>时期高质量推进基层治理体系和治理能力现代化建设奠定了坚实基础。</w:t>
      </w:r>
    </w:p>
    <w:p w14:paraId="2A3D2838" w14:textId="77777777" w:rsidR="003A01DB" w:rsidRPr="004C73A5" w:rsidRDefault="003A01DB" w:rsidP="004C73A5">
      <w:pPr>
        <w:ind w:firstLineChars="200" w:firstLine="640"/>
        <w:rPr>
          <w:rFonts w:ascii="Times New Roman" w:eastAsia="仿宋_GB2312" w:hAnsi="Times New Roman"/>
          <w:b/>
          <w:bCs/>
          <w:color w:val="000000"/>
          <w:sz w:val="32"/>
          <w:szCs w:val="40"/>
        </w:rPr>
      </w:pPr>
      <w:r w:rsidRPr="004C73A5">
        <w:rPr>
          <w:rFonts w:ascii="Times New Roman" w:eastAsia="楷体_GB2312" w:hAnsi="Times New Roman"/>
          <w:bCs/>
          <w:color w:val="000000"/>
          <w:sz w:val="32"/>
          <w:szCs w:val="40"/>
        </w:rPr>
        <w:t>（一）加强党委领导，构建高位统筹的组织领导体系。创新领导体制。</w:t>
      </w:r>
      <w:r w:rsidRPr="004C73A5">
        <w:rPr>
          <w:rFonts w:ascii="Times New Roman" w:eastAsia="仿宋_GB2312" w:hAnsi="Times New Roman"/>
          <w:b/>
          <w:bCs/>
          <w:color w:val="000000"/>
          <w:sz w:val="32"/>
          <w:szCs w:val="40"/>
        </w:rPr>
        <w:t>成立区委社区发展治理委员会，由区委书记、区长任主任，区委常委、区政府相关副区长任副主任，集中研究重大政策、部署重大事项、推进重大改革。设立区委社区发展治理委员会办公室、区乡村振兴发展服务中心、区城市更新服务中心、区数字化转型中心，在区委、区政府序列确定专责部门，形成一办三中心工作格局，统筹社区发展治理、乡村振兴、城市更新、数字转型重点工作，整合分散在多个党政部门的职能职责，着力解决</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t>九龙治水</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t>问题，形成区委社治办牵头抓总、</w:t>
      </w:r>
      <w:r w:rsidRPr="004C73A5">
        <w:rPr>
          <w:rFonts w:ascii="Times New Roman" w:eastAsia="仿宋_GB2312" w:hAnsi="Times New Roman"/>
          <w:b/>
          <w:bCs/>
          <w:color w:val="000000"/>
          <w:sz w:val="32"/>
          <w:szCs w:val="40"/>
        </w:rPr>
        <w:lastRenderedPageBreak/>
        <w:t>职能部门分工协作、镇（街道）和村（社区）推进落实的工作格局。构建制度生态。出台《构建新时代旌阳城乡基层治理制度创新和能力建设新格局的实施方案》文件，同步配套</w:t>
      </w:r>
      <w:r w:rsidRPr="004C73A5">
        <w:rPr>
          <w:rFonts w:ascii="Times New Roman" w:eastAsia="仿宋_GB2312" w:hAnsi="Times New Roman"/>
          <w:b/>
          <w:bCs/>
          <w:color w:val="000000"/>
          <w:sz w:val="32"/>
          <w:szCs w:val="40"/>
        </w:rPr>
        <w:t>“N”</w:t>
      </w:r>
      <w:r w:rsidRPr="004C73A5">
        <w:rPr>
          <w:rFonts w:ascii="Times New Roman" w:eastAsia="仿宋_GB2312" w:hAnsi="Times New Roman"/>
          <w:b/>
          <w:bCs/>
          <w:color w:val="000000"/>
          <w:sz w:val="32"/>
          <w:szCs w:val="40"/>
        </w:rPr>
        <w:t>项制度措施，启动全区城乡社区发展治理总体规划编制工作，配套制定《旌阳区社区综合体策划及分期建设方案》《社区综合体功能设置导则》《综合体导则实操手册》《旌阳区社区商业规划导则》《社区商业总体策划》等专项导则，形成系统、规范的制度体系。</w:t>
      </w:r>
    </w:p>
    <w:p w14:paraId="073CAA77" w14:textId="77777777" w:rsidR="003A01DB" w:rsidRPr="004C73A5" w:rsidRDefault="003A01DB" w:rsidP="004C73A5">
      <w:pPr>
        <w:ind w:firstLineChars="200" w:firstLine="640"/>
        <w:rPr>
          <w:rFonts w:ascii="Times New Roman" w:eastAsia="仿宋_GB2312" w:hAnsi="Times New Roman"/>
          <w:b/>
          <w:bCs/>
          <w:color w:val="000000"/>
          <w:sz w:val="32"/>
          <w:szCs w:val="40"/>
        </w:rPr>
      </w:pPr>
      <w:r w:rsidRPr="004C73A5">
        <w:rPr>
          <w:rFonts w:ascii="楷体_GB2312" w:eastAsia="楷体_GB2312" w:hAnsi="Times New Roman" w:hint="eastAsia"/>
          <w:bCs/>
          <w:color w:val="000000"/>
          <w:sz w:val="32"/>
          <w:szCs w:val="40"/>
        </w:rPr>
        <w:t>（二）提升环境品质，构建宜居导向的社区规划体系。</w:t>
      </w:r>
      <w:r w:rsidRPr="004C73A5">
        <w:rPr>
          <w:rFonts w:ascii="Times New Roman" w:eastAsia="仿宋_GB2312" w:hAnsi="Times New Roman"/>
          <w:b/>
          <w:bCs/>
          <w:color w:val="000000"/>
          <w:sz w:val="32"/>
          <w:szCs w:val="40"/>
        </w:rPr>
        <w:t>重塑社区空间形态。通过两项改革优化调整村（社区）规模，按照街巷、路网、水系、人口等多种因素，调整划定社区边界，镇（街道）减少至</w:t>
      </w:r>
      <w:r w:rsidRPr="004C73A5">
        <w:rPr>
          <w:rFonts w:ascii="Times New Roman" w:eastAsia="仿宋_GB2312" w:hAnsi="Times New Roman"/>
          <w:b/>
          <w:bCs/>
          <w:color w:val="000000"/>
          <w:sz w:val="32"/>
          <w:szCs w:val="40"/>
        </w:rPr>
        <w:t>11</w:t>
      </w:r>
      <w:r w:rsidRPr="004C73A5">
        <w:rPr>
          <w:rFonts w:ascii="Times New Roman" w:eastAsia="仿宋_GB2312" w:hAnsi="Times New Roman"/>
          <w:b/>
          <w:bCs/>
          <w:color w:val="000000"/>
          <w:sz w:val="32"/>
          <w:szCs w:val="40"/>
        </w:rPr>
        <w:t>个，减少率</w:t>
      </w:r>
      <w:r w:rsidRPr="004C73A5">
        <w:rPr>
          <w:rFonts w:ascii="Times New Roman" w:eastAsia="仿宋_GB2312" w:hAnsi="Times New Roman"/>
          <w:b/>
          <w:bCs/>
          <w:color w:val="000000"/>
          <w:sz w:val="32"/>
          <w:szCs w:val="40"/>
        </w:rPr>
        <w:t>31.3%</w:t>
      </w:r>
      <w:r w:rsidRPr="004C73A5">
        <w:rPr>
          <w:rFonts w:ascii="Times New Roman" w:eastAsia="仿宋_GB2312" w:hAnsi="Times New Roman"/>
          <w:b/>
          <w:bCs/>
          <w:color w:val="000000"/>
          <w:sz w:val="32"/>
          <w:szCs w:val="40"/>
        </w:rPr>
        <w:t>，社区减少至</w:t>
      </w:r>
      <w:r w:rsidRPr="004C73A5">
        <w:rPr>
          <w:rFonts w:ascii="Times New Roman" w:eastAsia="仿宋_GB2312" w:hAnsi="Times New Roman"/>
          <w:b/>
          <w:bCs/>
          <w:color w:val="000000"/>
          <w:sz w:val="32"/>
          <w:szCs w:val="40"/>
        </w:rPr>
        <w:t>76</w:t>
      </w:r>
      <w:r w:rsidRPr="004C73A5">
        <w:rPr>
          <w:rFonts w:ascii="Times New Roman" w:eastAsia="仿宋_GB2312" w:hAnsi="Times New Roman"/>
          <w:b/>
          <w:bCs/>
          <w:color w:val="000000"/>
          <w:sz w:val="32"/>
          <w:szCs w:val="40"/>
        </w:rPr>
        <w:t>个，减少率</w:t>
      </w:r>
      <w:r w:rsidRPr="004C73A5">
        <w:rPr>
          <w:rFonts w:ascii="Times New Roman" w:eastAsia="仿宋_GB2312" w:hAnsi="Times New Roman"/>
          <w:b/>
          <w:bCs/>
          <w:color w:val="000000"/>
          <w:sz w:val="32"/>
          <w:szCs w:val="40"/>
        </w:rPr>
        <w:t>17.4%</w:t>
      </w:r>
      <w:r w:rsidRPr="004C73A5">
        <w:rPr>
          <w:rFonts w:ascii="Times New Roman" w:eastAsia="仿宋_GB2312" w:hAnsi="Times New Roman"/>
          <w:b/>
          <w:bCs/>
          <w:color w:val="000000"/>
          <w:sz w:val="32"/>
          <w:szCs w:val="40"/>
        </w:rPr>
        <w:t>，建制村减少至</w:t>
      </w:r>
      <w:r w:rsidRPr="004C73A5">
        <w:rPr>
          <w:rFonts w:ascii="Times New Roman" w:eastAsia="仿宋_GB2312" w:hAnsi="Times New Roman"/>
          <w:b/>
          <w:bCs/>
          <w:color w:val="000000"/>
          <w:sz w:val="32"/>
          <w:szCs w:val="40"/>
        </w:rPr>
        <w:t>69</w:t>
      </w:r>
      <w:r w:rsidRPr="004C73A5">
        <w:rPr>
          <w:rFonts w:ascii="Times New Roman" w:eastAsia="仿宋_GB2312" w:hAnsi="Times New Roman"/>
          <w:b/>
          <w:bCs/>
          <w:color w:val="000000"/>
          <w:sz w:val="32"/>
          <w:szCs w:val="40"/>
        </w:rPr>
        <w:t>个，减少率</w:t>
      </w:r>
      <w:r w:rsidRPr="004C73A5">
        <w:rPr>
          <w:rFonts w:ascii="Times New Roman" w:eastAsia="仿宋_GB2312" w:hAnsi="Times New Roman"/>
          <w:b/>
          <w:bCs/>
          <w:color w:val="000000"/>
          <w:sz w:val="32"/>
          <w:szCs w:val="40"/>
        </w:rPr>
        <w:t>27.3%</w:t>
      </w:r>
      <w:r w:rsidRPr="004C73A5">
        <w:rPr>
          <w:rFonts w:ascii="Times New Roman" w:eastAsia="仿宋_GB2312" w:hAnsi="Times New Roman"/>
          <w:b/>
          <w:bCs/>
          <w:color w:val="000000"/>
          <w:sz w:val="32"/>
          <w:szCs w:val="40"/>
        </w:rPr>
        <w:t>，村民小组减少至</w:t>
      </w:r>
      <w:r w:rsidRPr="004C73A5">
        <w:rPr>
          <w:rFonts w:ascii="Times New Roman" w:eastAsia="仿宋_GB2312" w:hAnsi="Times New Roman"/>
          <w:b/>
          <w:bCs/>
          <w:color w:val="000000"/>
          <w:sz w:val="32"/>
          <w:szCs w:val="40"/>
        </w:rPr>
        <w:t>775</w:t>
      </w:r>
      <w:r w:rsidRPr="004C73A5">
        <w:rPr>
          <w:rFonts w:ascii="Times New Roman" w:eastAsia="仿宋_GB2312" w:hAnsi="Times New Roman"/>
          <w:b/>
          <w:bCs/>
          <w:color w:val="000000"/>
          <w:sz w:val="32"/>
          <w:szCs w:val="40"/>
        </w:rPr>
        <w:t>个，减少率</w:t>
      </w:r>
      <w:r w:rsidRPr="004C73A5">
        <w:rPr>
          <w:rFonts w:ascii="Times New Roman" w:eastAsia="仿宋_GB2312" w:hAnsi="Times New Roman"/>
          <w:b/>
          <w:bCs/>
          <w:color w:val="000000"/>
          <w:sz w:val="32"/>
          <w:szCs w:val="40"/>
        </w:rPr>
        <w:t>44%</w:t>
      </w:r>
      <w:r w:rsidRPr="004C73A5">
        <w:rPr>
          <w:rFonts w:ascii="Times New Roman" w:eastAsia="仿宋_GB2312" w:hAnsi="Times New Roman"/>
          <w:b/>
          <w:bCs/>
          <w:color w:val="000000"/>
          <w:sz w:val="32"/>
          <w:szCs w:val="40"/>
        </w:rPr>
        <w:t>，划分镇级片区</w:t>
      </w:r>
      <w:r w:rsidRPr="004C73A5">
        <w:rPr>
          <w:rFonts w:ascii="Times New Roman" w:eastAsia="仿宋_GB2312" w:hAnsi="Times New Roman"/>
          <w:b/>
          <w:bCs/>
          <w:color w:val="000000"/>
          <w:sz w:val="32"/>
          <w:szCs w:val="40"/>
        </w:rPr>
        <w:t>4</w:t>
      </w:r>
      <w:r w:rsidRPr="004C73A5">
        <w:rPr>
          <w:rFonts w:ascii="Times New Roman" w:eastAsia="仿宋_GB2312" w:hAnsi="Times New Roman"/>
          <w:b/>
          <w:bCs/>
          <w:color w:val="000000"/>
          <w:sz w:val="32"/>
          <w:szCs w:val="40"/>
        </w:rPr>
        <w:t>个、村级片区</w:t>
      </w:r>
      <w:r w:rsidRPr="004C73A5">
        <w:rPr>
          <w:rFonts w:ascii="Times New Roman" w:eastAsia="仿宋_GB2312" w:hAnsi="Times New Roman"/>
          <w:b/>
          <w:bCs/>
          <w:color w:val="000000"/>
          <w:sz w:val="32"/>
          <w:szCs w:val="40"/>
        </w:rPr>
        <w:t>14</w:t>
      </w:r>
      <w:r w:rsidRPr="004C73A5">
        <w:rPr>
          <w:rFonts w:ascii="Times New Roman" w:eastAsia="仿宋_GB2312" w:hAnsi="Times New Roman"/>
          <w:b/>
          <w:bCs/>
          <w:color w:val="000000"/>
          <w:sz w:val="32"/>
          <w:szCs w:val="40"/>
        </w:rPr>
        <w:t>个，设置中心镇</w:t>
      </w:r>
      <w:r w:rsidRPr="004C73A5">
        <w:rPr>
          <w:rFonts w:ascii="Times New Roman" w:eastAsia="仿宋_GB2312" w:hAnsi="Times New Roman"/>
          <w:b/>
          <w:bCs/>
          <w:color w:val="000000"/>
          <w:sz w:val="32"/>
          <w:szCs w:val="40"/>
        </w:rPr>
        <w:t>3</w:t>
      </w:r>
      <w:r w:rsidRPr="004C73A5">
        <w:rPr>
          <w:rFonts w:ascii="Times New Roman" w:eastAsia="仿宋_GB2312" w:hAnsi="Times New Roman"/>
          <w:b/>
          <w:bCs/>
          <w:color w:val="000000"/>
          <w:sz w:val="32"/>
          <w:szCs w:val="40"/>
        </w:rPr>
        <w:t>个、副中心镇</w:t>
      </w:r>
      <w:r w:rsidRPr="004C73A5">
        <w:rPr>
          <w:rFonts w:ascii="Times New Roman" w:eastAsia="仿宋_GB2312" w:hAnsi="Times New Roman"/>
          <w:b/>
          <w:bCs/>
          <w:color w:val="000000"/>
          <w:sz w:val="32"/>
          <w:szCs w:val="40"/>
        </w:rPr>
        <w:t>2</w:t>
      </w:r>
      <w:r w:rsidRPr="004C73A5">
        <w:rPr>
          <w:rFonts w:ascii="Times New Roman" w:eastAsia="仿宋_GB2312" w:hAnsi="Times New Roman"/>
          <w:b/>
          <w:bCs/>
          <w:color w:val="000000"/>
          <w:sz w:val="32"/>
          <w:szCs w:val="40"/>
        </w:rPr>
        <w:t>个、中心村</w:t>
      </w:r>
      <w:r w:rsidRPr="004C73A5">
        <w:rPr>
          <w:rFonts w:ascii="Times New Roman" w:eastAsia="仿宋_GB2312" w:hAnsi="Times New Roman"/>
          <w:b/>
          <w:bCs/>
          <w:color w:val="000000"/>
          <w:sz w:val="32"/>
          <w:szCs w:val="40"/>
        </w:rPr>
        <w:t>19</w:t>
      </w:r>
      <w:r w:rsidRPr="004C73A5">
        <w:rPr>
          <w:rFonts w:ascii="Times New Roman" w:eastAsia="仿宋_GB2312" w:hAnsi="Times New Roman"/>
          <w:b/>
          <w:bCs/>
          <w:color w:val="000000"/>
          <w:sz w:val="32"/>
          <w:szCs w:val="40"/>
        </w:rPr>
        <w:t>个；开展城市有机更新。统筹推进老旧小区改造、街区文化营造等行动，累计完成老旧小区改造</w:t>
      </w:r>
      <w:r w:rsidRPr="004C73A5">
        <w:rPr>
          <w:rFonts w:ascii="Times New Roman" w:eastAsia="仿宋_GB2312" w:hAnsi="Times New Roman"/>
          <w:b/>
          <w:bCs/>
          <w:color w:val="000000"/>
          <w:sz w:val="32"/>
          <w:szCs w:val="40"/>
        </w:rPr>
        <w:t>173</w:t>
      </w:r>
      <w:r w:rsidRPr="004C73A5">
        <w:rPr>
          <w:rFonts w:ascii="Times New Roman" w:eastAsia="仿宋_GB2312" w:hAnsi="Times New Roman"/>
          <w:b/>
          <w:bCs/>
          <w:color w:val="000000"/>
          <w:sz w:val="32"/>
          <w:szCs w:val="40"/>
        </w:rPr>
        <w:t>个、农贸市场改造</w:t>
      </w:r>
      <w:r w:rsidRPr="004C73A5">
        <w:rPr>
          <w:rFonts w:ascii="Times New Roman" w:eastAsia="仿宋_GB2312" w:hAnsi="Times New Roman"/>
          <w:b/>
          <w:bCs/>
          <w:color w:val="000000"/>
          <w:sz w:val="32"/>
          <w:szCs w:val="40"/>
        </w:rPr>
        <w:t>12</w:t>
      </w:r>
      <w:r w:rsidRPr="004C73A5">
        <w:rPr>
          <w:rFonts w:ascii="Times New Roman" w:eastAsia="仿宋_GB2312" w:hAnsi="Times New Roman"/>
          <w:b/>
          <w:bCs/>
          <w:color w:val="000000"/>
          <w:sz w:val="32"/>
          <w:szCs w:val="40"/>
        </w:rPr>
        <w:t>个、社区微更新</w:t>
      </w:r>
      <w:r w:rsidRPr="004C73A5">
        <w:rPr>
          <w:rFonts w:ascii="Times New Roman" w:eastAsia="仿宋_GB2312" w:hAnsi="Times New Roman"/>
          <w:b/>
          <w:bCs/>
          <w:color w:val="000000"/>
          <w:sz w:val="32"/>
          <w:szCs w:val="40"/>
        </w:rPr>
        <w:t>7</w:t>
      </w:r>
      <w:r w:rsidRPr="004C73A5">
        <w:rPr>
          <w:rFonts w:ascii="Times New Roman" w:eastAsia="仿宋_GB2312" w:hAnsi="Times New Roman"/>
          <w:b/>
          <w:bCs/>
          <w:color w:val="000000"/>
          <w:sz w:val="32"/>
          <w:szCs w:val="40"/>
        </w:rPr>
        <w:t>个，打造主题社区</w:t>
      </w:r>
      <w:r w:rsidRPr="004C73A5">
        <w:rPr>
          <w:rFonts w:ascii="Times New Roman" w:eastAsia="仿宋_GB2312" w:hAnsi="Times New Roman"/>
          <w:b/>
          <w:bCs/>
          <w:color w:val="000000"/>
          <w:sz w:val="32"/>
          <w:szCs w:val="40"/>
        </w:rPr>
        <w:t>10</w:t>
      </w:r>
      <w:r w:rsidRPr="004C73A5">
        <w:rPr>
          <w:rFonts w:ascii="Times New Roman" w:eastAsia="仿宋_GB2312" w:hAnsi="Times New Roman"/>
          <w:b/>
          <w:bCs/>
          <w:color w:val="000000"/>
          <w:sz w:val="32"/>
          <w:szCs w:val="40"/>
        </w:rPr>
        <w:t>个、街头公园</w:t>
      </w:r>
      <w:r w:rsidRPr="004C73A5">
        <w:rPr>
          <w:rFonts w:ascii="Times New Roman" w:eastAsia="仿宋_GB2312" w:hAnsi="Times New Roman"/>
          <w:b/>
          <w:bCs/>
          <w:color w:val="000000"/>
          <w:sz w:val="32"/>
          <w:szCs w:val="40"/>
        </w:rPr>
        <w:t>22</w:t>
      </w:r>
      <w:r w:rsidRPr="004C73A5">
        <w:rPr>
          <w:rFonts w:ascii="Times New Roman" w:eastAsia="仿宋_GB2312" w:hAnsi="Times New Roman"/>
          <w:b/>
          <w:bCs/>
          <w:color w:val="000000"/>
          <w:sz w:val="32"/>
          <w:szCs w:val="40"/>
        </w:rPr>
        <w:t>个、特色街区</w:t>
      </w:r>
      <w:r w:rsidRPr="004C73A5">
        <w:rPr>
          <w:rFonts w:ascii="Times New Roman" w:eastAsia="仿宋_GB2312" w:hAnsi="Times New Roman"/>
          <w:b/>
          <w:bCs/>
          <w:color w:val="000000"/>
          <w:sz w:val="32"/>
          <w:szCs w:val="40"/>
        </w:rPr>
        <w:t>3</w:t>
      </w:r>
      <w:r w:rsidRPr="004C73A5">
        <w:rPr>
          <w:rFonts w:ascii="Times New Roman" w:eastAsia="仿宋_GB2312" w:hAnsi="Times New Roman"/>
          <w:b/>
          <w:bCs/>
          <w:color w:val="000000"/>
          <w:sz w:val="32"/>
          <w:szCs w:val="40"/>
        </w:rPr>
        <w:t>条。丰富社区生活体验。大力培育全龄全时全新社区服务和消费，依托特色街区、主题社区、社区综合体打造多元社区商业消费场</w:t>
      </w:r>
      <w:r w:rsidRPr="004C73A5">
        <w:rPr>
          <w:rFonts w:ascii="Times New Roman" w:eastAsia="仿宋_GB2312" w:hAnsi="Times New Roman"/>
          <w:b/>
          <w:bCs/>
          <w:color w:val="000000"/>
          <w:sz w:val="32"/>
          <w:szCs w:val="40"/>
        </w:rPr>
        <w:lastRenderedPageBreak/>
        <w:t>景</w:t>
      </w:r>
      <w:r w:rsidRPr="004C73A5">
        <w:rPr>
          <w:rFonts w:ascii="Times New Roman" w:eastAsia="仿宋_GB2312" w:hAnsi="Times New Roman"/>
          <w:b/>
          <w:bCs/>
          <w:color w:val="000000"/>
          <w:sz w:val="32"/>
          <w:szCs w:val="40"/>
        </w:rPr>
        <w:t>23</w:t>
      </w:r>
      <w:r w:rsidRPr="004C73A5">
        <w:rPr>
          <w:rFonts w:ascii="Times New Roman" w:eastAsia="仿宋_GB2312" w:hAnsi="Times New Roman"/>
          <w:b/>
          <w:bCs/>
          <w:color w:val="000000"/>
          <w:sz w:val="32"/>
          <w:szCs w:val="40"/>
        </w:rPr>
        <w:t>个，通过</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t>社区</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t>公园</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t>打造社区公共服务新空间、社区运动角等特殊场景</w:t>
      </w:r>
      <w:r w:rsidRPr="004C73A5">
        <w:rPr>
          <w:rFonts w:ascii="Times New Roman" w:eastAsia="仿宋_GB2312" w:hAnsi="Times New Roman"/>
          <w:b/>
          <w:bCs/>
          <w:color w:val="000000"/>
          <w:sz w:val="32"/>
          <w:szCs w:val="40"/>
        </w:rPr>
        <w:t>60</w:t>
      </w:r>
      <w:r w:rsidRPr="004C73A5">
        <w:rPr>
          <w:rFonts w:ascii="Times New Roman" w:eastAsia="仿宋_GB2312" w:hAnsi="Times New Roman"/>
          <w:b/>
          <w:bCs/>
          <w:color w:val="000000"/>
          <w:sz w:val="32"/>
          <w:szCs w:val="40"/>
        </w:rPr>
        <w:t>余个。</w:t>
      </w:r>
    </w:p>
    <w:p w14:paraId="3D643A99" w14:textId="77777777" w:rsidR="003A01DB" w:rsidRPr="004C73A5" w:rsidRDefault="003A01DB" w:rsidP="004C73A5">
      <w:pPr>
        <w:ind w:firstLineChars="200" w:firstLine="640"/>
        <w:rPr>
          <w:rFonts w:ascii="Times New Roman" w:eastAsia="仿宋_GB2312" w:hAnsi="Times New Roman"/>
          <w:b/>
          <w:bCs/>
          <w:color w:val="000000"/>
          <w:sz w:val="32"/>
          <w:szCs w:val="40"/>
        </w:rPr>
      </w:pPr>
      <w:r w:rsidRPr="004C73A5">
        <w:rPr>
          <w:rFonts w:ascii="楷体_GB2312" w:eastAsia="楷体_GB2312" w:hAnsi="Times New Roman" w:hint="eastAsia"/>
          <w:bCs/>
          <w:color w:val="000000"/>
          <w:sz w:val="32"/>
          <w:szCs w:val="40"/>
        </w:rPr>
        <w:t>（三）紧贴居民需求，构建精准精细的社区服务体系。</w:t>
      </w:r>
      <w:r w:rsidRPr="004C73A5">
        <w:rPr>
          <w:rFonts w:ascii="Times New Roman" w:eastAsia="仿宋_GB2312" w:hAnsi="Times New Roman"/>
          <w:b/>
          <w:bCs/>
          <w:color w:val="000000"/>
          <w:sz w:val="32"/>
          <w:szCs w:val="40"/>
        </w:rPr>
        <w:t>科学布局服务阵地。以城市社区基本尺度，根据居民人口分布、活动规律和出行习惯等科学确定社区服务半径，规划建设</w:t>
      </w:r>
      <w:r w:rsidRPr="004C73A5">
        <w:rPr>
          <w:rFonts w:ascii="Times New Roman" w:eastAsia="仿宋_GB2312" w:hAnsi="Times New Roman"/>
          <w:b/>
          <w:bCs/>
          <w:color w:val="000000"/>
          <w:sz w:val="32"/>
          <w:szCs w:val="40"/>
        </w:rPr>
        <w:t>57</w:t>
      </w:r>
      <w:r w:rsidRPr="004C73A5">
        <w:rPr>
          <w:rFonts w:ascii="Times New Roman" w:eastAsia="仿宋_GB2312" w:hAnsi="Times New Roman"/>
          <w:b/>
          <w:bCs/>
          <w:color w:val="000000"/>
          <w:sz w:val="32"/>
          <w:szCs w:val="40"/>
        </w:rPr>
        <w:t>个社区综合体，全覆盖实施党群服务中心亲民化改造、公共服务设施补短板项目，建成秦宓邑家、青甜扬嘉、书香文昌、上东风景等</w:t>
      </w:r>
      <w:r w:rsidRPr="004C73A5">
        <w:rPr>
          <w:rFonts w:ascii="Times New Roman" w:eastAsia="仿宋_GB2312" w:hAnsi="Times New Roman"/>
          <w:b/>
          <w:bCs/>
          <w:color w:val="000000"/>
          <w:sz w:val="32"/>
          <w:szCs w:val="40"/>
        </w:rPr>
        <w:t>50</w:t>
      </w:r>
      <w:r w:rsidRPr="004C73A5">
        <w:rPr>
          <w:rFonts w:ascii="Times New Roman" w:eastAsia="仿宋_GB2312" w:hAnsi="Times New Roman"/>
          <w:b/>
          <w:bCs/>
          <w:color w:val="000000"/>
          <w:sz w:val="32"/>
          <w:szCs w:val="40"/>
        </w:rPr>
        <w:t>个片区、社区、驿站级社区综合体，形成</w:t>
      </w:r>
      <w:r w:rsidRPr="004C73A5">
        <w:rPr>
          <w:rFonts w:ascii="Times New Roman" w:eastAsia="仿宋_GB2312" w:hAnsi="Times New Roman"/>
          <w:b/>
          <w:bCs/>
          <w:color w:val="000000"/>
          <w:sz w:val="32"/>
          <w:szCs w:val="40"/>
        </w:rPr>
        <w:t>“15</w:t>
      </w:r>
      <w:r w:rsidRPr="004C73A5">
        <w:rPr>
          <w:rFonts w:ascii="Times New Roman" w:eastAsia="仿宋_GB2312" w:hAnsi="Times New Roman"/>
          <w:b/>
          <w:bCs/>
          <w:color w:val="000000"/>
          <w:sz w:val="32"/>
          <w:szCs w:val="40"/>
        </w:rPr>
        <w:t>分钟</w:t>
      </w:r>
      <w:r w:rsidRPr="004C73A5">
        <w:rPr>
          <w:rFonts w:ascii="Times New Roman" w:eastAsia="仿宋_GB2312" w:hAnsi="Times New Roman"/>
          <w:b/>
          <w:bCs/>
          <w:color w:val="000000"/>
          <w:sz w:val="32"/>
          <w:szCs w:val="40"/>
        </w:rPr>
        <w:t>—10</w:t>
      </w:r>
      <w:r w:rsidRPr="004C73A5">
        <w:rPr>
          <w:rFonts w:ascii="Times New Roman" w:eastAsia="仿宋_GB2312" w:hAnsi="Times New Roman"/>
          <w:b/>
          <w:bCs/>
          <w:color w:val="000000"/>
          <w:sz w:val="32"/>
          <w:szCs w:val="40"/>
        </w:rPr>
        <w:t>分钟</w:t>
      </w:r>
      <w:r w:rsidRPr="004C73A5">
        <w:rPr>
          <w:rFonts w:ascii="Times New Roman" w:eastAsia="仿宋_GB2312" w:hAnsi="Times New Roman"/>
          <w:b/>
          <w:bCs/>
          <w:color w:val="000000"/>
          <w:sz w:val="32"/>
          <w:szCs w:val="40"/>
        </w:rPr>
        <w:t>—5</w:t>
      </w:r>
      <w:r w:rsidRPr="004C73A5">
        <w:rPr>
          <w:rFonts w:ascii="Times New Roman" w:eastAsia="仿宋_GB2312" w:hAnsi="Times New Roman"/>
          <w:b/>
          <w:bCs/>
          <w:color w:val="000000"/>
          <w:sz w:val="32"/>
          <w:szCs w:val="40"/>
        </w:rPr>
        <w:t>分钟</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t>社区综合服务圈。精准配置服务功能。建立基本公共服务清单管理和动态更新制度，依托社区服务阵地，活化利用社区闲置空间资源，根据居民需求集成提供公共服务、公益服务、生活服务等</w:t>
      </w:r>
      <w:r w:rsidRPr="004C73A5">
        <w:rPr>
          <w:rFonts w:ascii="Times New Roman" w:eastAsia="仿宋_GB2312" w:hAnsi="Times New Roman"/>
          <w:b/>
          <w:bCs/>
          <w:color w:val="000000"/>
          <w:sz w:val="32"/>
          <w:szCs w:val="40"/>
        </w:rPr>
        <w:t>3</w:t>
      </w:r>
      <w:r w:rsidRPr="004C73A5">
        <w:rPr>
          <w:rFonts w:ascii="Times New Roman" w:eastAsia="仿宋_GB2312" w:hAnsi="Times New Roman"/>
          <w:b/>
          <w:bCs/>
          <w:color w:val="000000"/>
          <w:sz w:val="32"/>
          <w:szCs w:val="40"/>
        </w:rPr>
        <w:t>大类服务，开通社区智慧服务平台，利用社区小程序引入与周边既有业态错位发展的社区商业，居民在</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t>家门口</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t>享受到高品质多元化服务。</w:t>
      </w:r>
    </w:p>
    <w:p w14:paraId="4928CF3B" w14:textId="77777777" w:rsidR="003A01DB" w:rsidRPr="004C73A5" w:rsidRDefault="003A01DB" w:rsidP="004C73A5">
      <w:pPr>
        <w:ind w:firstLineChars="200" w:firstLine="640"/>
        <w:rPr>
          <w:rFonts w:ascii="Times New Roman" w:eastAsia="仿宋_GB2312" w:hAnsi="Times New Roman"/>
          <w:b/>
          <w:bCs/>
          <w:color w:val="000000"/>
          <w:sz w:val="32"/>
          <w:szCs w:val="40"/>
        </w:rPr>
      </w:pPr>
      <w:r w:rsidRPr="004C73A5">
        <w:rPr>
          <w:rFonts w:ascii="Times New Roman" w:eastAsia="楷体_GB2312" w:hAnsi="Times New Roman"/>
          <w:bCs/>
          <w:color w:val="000000"/>
          <w:sz w:val="32"/>
          <w:szCs w:val="40"/>
        </w:rPr>
        <w:t>（四）突出共建共享，构建党建引领的基层动员体系。</w:t>
      </w:r>
      <w:r w:rsidRPr="004C73A5">
        <w:rPr>
          <w:rFonts w:ascii="Times New Roman" w:eastAsia="仿宋_GB2312" w:hAnsi="Times New Roman"/>
          <w:b/>
          <w:bCs/>
          <w:color w:val="000000"/>
          <w:sz w:val="32"/>
          <w:szCs w:val="40"/>
        </w:rPr>
        <w:t>创新党建引领路径。构建五级党组织纵向联动、区域党组织横向互动的组织体系，全面实施党建引领推进社区治理</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t>一张网</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t>，推动建设网格、小区党组织</w:t>
      </w:r>
      <w:r w:rsidRPr="004C73A5">
        <w:rPr>
          <w:rFonts w:ascii="Times New Roman" w:eastAsia="仿宋_GB2312" w:hAnsi="Times New Roman"/>
          <w:b/>
          <w:bCs/>
          <w:color w:val="000000"/>
          <w:sz w:val="32"/>
          <w:szCs w:val="40"/>
        </w:rPr>
        <w:t>330</w:t>
      </w:r>
      <w:r w:rsidRPr="004C73A5">
        <w:rPr>
          <w:rFonts w:ascii="Times New Roman" w:eastAsia="仿宋_GB2312" w:hAnsi="Times New Roman"/>
          <w:b/>
          <w:bCs/>
          <w:color w:val="000000"/>
          <w:sz w:val="32"/>
          <w:szCs w:val="40"/>
        </w:rPr>
        <w:t>余个，探索推进红色物业服务模式。突出共建共治共享。创新社会协同、群众参与基层治理的组织形式和制度渠道，大力发展社会组织，建立</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t>幸福旌城</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lastRenderedPageBreak/>
        <w:t>社区发展治理品牌，通过公益创投等方式培育发展</w:t>
      </w:r>
      <w:r w:rsidRPr="004C73A5">
        <w:rPr>
          <w:rFonts w:ascii="Times New Roman" w:eastAsia="仿宋_GB2312" w:hAnsi="Times New Roman"/>
          <w:b/>
          <w:bCs/>
          <w:color w:val="000000"/>
          <w:sz w:val="32"/>
          <w:szCs w:val="40"/>
        </w:rPr>
        <w:t>3A</w:t>
      </w:r>
      <w:r w:rsidRPr="004C73A5">
        <w:rPr>
          <w:rFonts w:ascii="Times New Roman" w:eastAsia="仿宋_GB2312" w:hAnsi="Times New Roman"/>
          <w:b/>
          <w:bCs/>
          <w:color w:val="000000"/>
          <w:sz w:val="32"/>
          <w:szCs w:val="40"/>
        </w:rPr>
        <w:t>等级以上社会组织</w:t>
      </w:r>
      <w:r w:rsidRPr="004C73A5">
        <w:rPr>
          <w:rFonts w:ascii="Times New Roman" w:eastAsia="仿宋_GB2312" w:hAnsi="Times New Roman"/>
          <w:b/>
          <w:bCs/>
          <w:color w:val="000000"/>
          <w:sz w:val="32"/>
          <w:szCs w:val="40"/>
        </w:rPr>
        <w:t>20</w:t>
      </w:r>
      <w:r w:rsidRPr="004C73A5">
        <w:rPr>
          <w:rFonts w:ascii="Times New Roman" w:eastAsia="仿宋_GB2312" w:hAnsi="Times New Roman"/>
          <w:b/>
          <w:bCs/>
          <w:color w:val="000000"/>
          <w:sz w:val="32"/>
          <w:szCs w:val="40"/>
        </w:rPr>
        <w:t>家、持证社工</w:t>
      </w:r>
      <w:r w:rsidRPr="004C73A5">
        <w:rPr>
          <w:rFonts w:ascii="Times New Roman" w:eastAsia="仿宋_GB2312" w:hAnsi="Times New Roman"/>
          <w:b/>
          <w:bCs/>
          <w:color w:val="000000"/>
          <w:sz w:val="32"/>
          <w:szCs w:val="40"/>
        </w:rPr>
        <w:t>158</w:t>
      </w:r>
      <w:r w:rsidRPr="004C73A5">
        <w:rPr>
          <w:rFonts w:ascii="Times New Roman" w:eastAsia="仿宋_GB2312" w:hAnsi="Times New Roman"/>
          <w:b/>
          <w:bCs/>
          <w:color w:val="000000"/>
          <w:sz w:val="32"/>
          <w:szCs w:val="40"/>
        </w:rPr>
        <w:t>人，</w:t>
      </w:r>
      <w:r w:rsidRPr="004C73A5">
        <w:rPr>
          <w:rFonts w:ascii="Times New Roman" w:eastAsia="仿宋_GB2312" w:hAnsi="Times New Roman"/>
          <w:b/>
          <w:bCs/>
          <w:color w:val="000000"/>
          <w:sz w:val="32"/>
          <w:szCs w:val="40"/>
        </w:rPr>
        <w:t>13</w:t>
      </w:r>
      <w:r w:rsidRPr="004C73A5">
        <w:rPr>
          <w:rFonts w:ascii="Times New Roman" w:eastAsia="仿宋_GB2312" w:hAnsi="Times New Roman"/>
          <w:b/>
          <w:bCs/>
          <w:color w:val="000000"/>
          <w:sz w:val="32"/>
          <w:szCs w:val="40"/>
        </w:rPr>
        <w:t>万余名注册志愿者参与社区开展组织共建、活动共联、资源共享，社会服务品质不断提升。</w:t>
      </w:r>
    </w:p>
    <w:p w14:paraId="3DA2E77F" w14:textId="77777777" w:rsidR="003A01DB" w:rsidRPr="004C73A5" w:rsidRDefault="003A01DB" w:rsidP="004C73A5">
      <w:pPr>
        <w:ind w:firstLineChars="200" w:firstLine="640"/>
        <w:rPr>
          <w:rFonts w:ascii="Times New Roman" w:eastAsia="方正仿宋简体" w:hAnsi="Times New Roman"/>
          <w:b/>
          <w:bCs/>
          <w:color w:val="000000"/>
          <w:sz w:val="32"/>
          <w:szCs w:val="40"/>
        </w:rPr>
      </w:pPr>
      <w:r w:rsidRPr="004C73A5">
        <w:rPr>
          <w:rFonts w:ascii="Times New Roman" w:eastAsia="楷体_GB2312" w:hAnsi="Times New Roman"/>
          <w:bCs/>
          <w:color w:val="000000"/>
          <w:sz w:val="32"/>
          <w:szCs w:val="40"/>
        </w:rPr>
        <w:t>（五）夯实基层基础，构建重心下移的支撑保障体系。</w:t>
      </w:r>
      <w:r w:rsidRPr="004C73A5">
        <w:rPr>
          <w:rFonts w:ascii="Times New Roman" w:eastAsia="仿宋_GB2312" w:hAnsi="Times New Roman"/>
          <w:b/>
          <w:bCs/>
          <w:color w:val="000000"/>
          <w:sz w:val="32"/>
          <w:szCs w:val="40"/>
        </w:rPr>
        <w:t>优化基层权责关系。以全省两项改革</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t>后半篇</w:t>
      </w:r>
      <w:r w:rsidRPr="004C73A5">
        <w:rPr>
          <w:rFonts w:ascii="Times New Roman" w:eastAsia="仿宋_GB2312" w:hAnsi="Times New Roman"/>
          <w:b/>
          <w:bCs/>
          <w:color w:val="000000"/>
          <w:sz w:val="32"/>
          <w:szCs w:val="40"/>
        </w:rPr>
        <w:t>”</w:t>
      </w:r>
      <w:r w:rsidRPr="004C73A5">
        <w:rPr>
          <w:rFonts w:ascii="Times New Roman" w:eastAsia="仿宋_GB2312" w:hAnsi="Times New Roman"/>
          <w:b/>
          <w:bCs/>
          <w:color w:val="000000"/>
          <w:sz w:val="32"/>
          <w:szCs w:val="40"/>
        </w:rPr>
        <w:t>文章实施为契机，纵深推进社区减负提能改革，建立城乡社区工作事项准入制度，制定城乡社区依法履职事项指导清单</w:t>
      </w:r>
      <w:r w:rsidRPr="004C73A5">
        <w:rPr>
          <w:rFonts w:ascii="Times New Roman" w:eastAsia="仿宋_GB2312" w:hAnsi="Times New Roman"/>
          <w:b/>
          <w:bCs/>
          <w:color w:val="000000"/>
          <w:sz w:val="32"/>
          <w:szCs w:val="40"/>
        </w:rPr>
        <w:t>23</w:t>
      </w:r>
      <w:r w:rsidRPr="004C73A5">
        <w:rPr>
          <w:rFonts w:ascii="Times New Roman" w:eastAsia="仿宋_GB2312" w:hAnsi="Times New Roman"/>
          <w:b/>
          <w:bCs/>
          <w:color w:val="000000"/>
          <w:sz w:val="32"/>
          <w:szCs w:val="40"/>
        </w:rPr>
        <w:t>项，协助办理事项指导清单</w:t>
      </w:r>
      <w:r w:rsidRPr="004C73A5">
        <w:rPr>
          <w:rFonts w:ascii="Times New Roman" w:eastAsia="仿宋_GB2312" w:hAnsi="Times New Roman"/>
          <w:b/>
          <w:bCs/>
          <w:color w:val="000000"/>
          <w:sz w:val="32"/>
          <w:szCs w:val="40"/>
        </w:rPr>
        <w:t>50</w:t>
      </w:r>
      <w:r w:rsidRPr="004C73A5">
        <w:rPr>
          <w:rFonts w:ascii="Times New Roman" w:eastAsia="仿宋_GB2312" w:hAnsi="Times New Roman"/>
          <w:b/>
          <w:bCs/>
          <w:color w:val="000000"/>
          <w:sz w:val="32"/>
          <w:szCs w:val="40"/>
        </w:rPr>
        <w:t>项，负面事项指导清单</w:t>
      </w:r>
      <w:r w:rsidRPr="004C73A5">
        <w:rPr>
          <w:rFonts w:ascii="Times New Roman" w:eastAsia="仿宋_GB2312" w:hAnsi="Times New Roman"/>
          <w:b/>
          <w:bCs/>
          <w:color w:val="000000"/>
          <w:sz w:val="32"/>
          <w:szCs w:val="40"/>
        </w:rPr>
        <w:t>7</w:t>
      </w:r>
      <w:r w:rsidRPr="004C73A5">
        <w:rPr>
          <w:rFonts w:ascii="Times New Roman" w:eastAsia="仿宋_GB2312" w:hAnsi="Times New Roman"/>
          <w:b/>
          <w:bCs/>
          <w:color w:val="000000"/>
          <w:sz w:val="32"/>
          <w:szCs w:val="40"/>
        </w:rPr>
        <w:t>项，优化社区权责关系。强化基层要素保障。建立保障与激励双轨并行的社区专项经费制度，区财政增加预算</w:t>
      </w:r>
      <w:r w:rsidRPr="004C73A5">
        <w:rPr>
          <w:rFonts w:ascii="Times New Roman" w:eastAsia="仿宋_GB2312" w:hAnsi="Times New Roman"/>
          <w:b/>
          <w:bCs/>
          <w:color w:val="000000"/>
          <w:sz w:val="32"/>
          <w:szCs w:val="40"/>
        </w:rPr>
        <w:t>1918</w:t>
      </w:r>
      <w:r w:rsidRPr="004C73A5">
        <w:rPr>
          <w:rFonts w:ascii="Times New Roman" w:eastAsia="仿宋_GB2312" w:hAnsi="Times New Roman"/>
          <w:b/>
          <w:bCs/>
          <w:color w:val="000000"/>
          <w:sz w:val="32"/>
          <w:szCs w:val="40"/>
        </w:rPr>
        <w:t>万元专项用于村（社区）基层干部基本报酬，全面提升基层干部队伍获得感、幸福感，增强干事创业活力，区财政每年预算不低于</w:t>
      </w:r>
      <w:r w:rsidRPr="004C73A5">
        <w:rPr>
          <w:rFonts w:ascii="Times New Roman" w:eastAsia="仿宋_GB2312" w:hAnsi="Times New Roman"/>
          <w:b/>
          <w:bCs/>
          <w:color w:val="000000"/>
          <w:sz w:val="32"/>
          <w:szCs w:val="40"/>
        </w:rPr>
        <w:t>1500</w:t>
      </w:r>
      <w:r w:rsidRPr="004C73A5">
        <w:rPr>
          <w:rFonts w:ascii="Times New Roman" w:eastAsia="仿宋_GB2312" w:hAnsi="Times New Roman"/>
          <w:b/>
          <w:bCs/>
          <w:color w:val="000000"/>
          <w:sz w:val="32"/>
          <w:szCs w:val="40"/>
        </w:rPr>
        <w:t>万元城乡基层治理资金专项用于社区发展治理和民生服务项目，鼓励和培育社会力量参与基层治理；选优建强基层人才队伍，采取公开遴选、组织推荐的方式，从大学生村干部、复员退伍军人、返乡务工人员等群体中选拔社区后备人才，建立全区村（社区）后备干部库，入库优秀村（社区）干部</w:t>
      </w:r>
      <w:r w:rsidRPr="004C73A5">
        <w:rPr>
          <w:rFonts w:ascii="Times New Roman" w:eastAsia="仿宋_GB2312" w:hAnsi="Times New Roman"/>
          <w:b/>
          <w:bCs/>
          <w:color w:val="000000"/>
          <w:sz w:val="32"/>
          <w:szCs w:val="40"/>
        </w:rPr>
        <w:t>550</w:t>
      </w:r>
      <w:r w:rsidRPr="004C73A5">
        <w:rPr>
          <w:rFonts w:ascii="Times New Roman" w:eastAsia="仿宋_GB2312" w:hAnsi="Times New Roman"/>
          <w:b/>
          <w:bCs/>
          <w:color w:val="000000"/>
          <w:sz w:val="32"/>
          <w:szCs w:val="40"/>
        </w:rPr>
        <w:t>余名。</w:t>
      </w:r>
    </w:p>
    <w:p w14:paraId="2D97BD8B" w14:textId="77777777" w:rsidR="003A01DB" w:rsidRPr="00EE6610" w:rsidRDefault="003A01DB" w:rsidP="00EE6610">
      <w:pPr>
        <w:adjustRightInd w:val="0"/>
        <w:snapToGrid w:val="0"/>
        <w:spacing w:beforeLines="50" w:before="156" w:afterLines="50" w:after="156" w:line="590" w:lineRule="exact"/>
        <w:jc w:val="center"/>
        <w:rPr>
          <w:rFonts w:ascii="楷体_GB2312" w:eastAsia="楷体_GB2312" w:hAnsi="Times New Roman" w:hint="eastAsia"/>
          <w:b/>
          <w:color w:val="000000"/>
          <w:sz w:val="32"/>
          <w:szCs w:val="32"/>
        </w:rPr>
      </w:pPr>
      <w:r w:rsidRPr="00EE6610">
        <w:rPr>
          <w:rFonts w:ascii="楷体_GB2312" w:eastAsia="楷体_GB2312" w:hAnsi="Times New Roman" w:hint="eastAsia"/>
          <w:b/>
          <w:color w:val="000000"/>
          <w:sz w:val="32"/>
          <w:szCs w:val="32"/>
        </w:rPr>
        <w:t>第二节 发展形势</w:t>
      </w:r>
    </w:p>
    <w:p w14:paraId="314F3F22" w14:textId="77777777" w:rsidR="003A01DB" w:rsidRPr="00456FCE" w:rsidRDefault="003A01DB" w:rsidP="00CA5D03">
      <w:pPr>
        <w:spacing w:line="590" w:lineRule="exact"/>
        <w:ind w:firstLine="659"/>
        <w:rPr>
          <w:rFonts w:ascii="Times New Roman" w:eastAsia="仿宋_GB2312" w:hAnsi="Times New Roman"/>
          <w:color w:val="000000"/>
          <w:sz w:val="32"/>
          <w:szCs w:val="32"/>
        </w:rPr>
      </w:pPr>
      <w:r w:rsidRPr="005B5F6D">
        <w:rPr>
          <w:rFonts w:ascii="Times New Roman" w:eastAsia="楷体_GB2312" w:hAnsi="Times New Roman"/>
          <w:b/>
          <w:color w:val="000000"/>
          <w:sz w:val="32"/>
          <w:szCs w:val="32"/>
        </w:rPr>
        <w:t>（一）面对创新基层治理能力建设形势任务，体制机制层</w:t>
      </w:r>
      <w:r w:rsidRPr="005B5F6D">
        <w:rPr>
          <w:rFonts w:ascii="Times New Roman" w:eastAsia="楷体_GB2312" w:hAnsi="Times New Roman"/>
          <w:b/>
          <w:color w:val="000000"/>
          <w:sz w:val="32"/>
          <w:szCs w:val="32"/>
        </w:rPr>
        <w:lastRenderedPageBreak/>
        <w:t>面存在制度创新不足、力量统筹不够、职能配置不优等问题。</w:t>
      </w:r>
      <w:r w:rsidRPr="00456FCE">
        <w:rPr>
          <w:rFonts w:ascii="Times New Roman" w:eastAsia="仿宋_GB2312" w:hAnsi="Times New Roman"/>
          <w:color w:val="000000"/>
          <w:sz w:val="32"/>
          <w:szCs w:val="32"/>
        </w:rPr>
        <w:t>主要表现在：顶层设计深度不够、分类供给不足、操作指引不细，引领性的社区发展治理制度体系未成型。基层治理队伍多部门管理、多条线并行衍生出管理不规范、职责不清晰、履职不到位等问题，社区人才队伍梯队培养、递进使用、科学规范的全周期职业成长链条尚未形成。基层权责不匹配的状况未根本改变，镇（街道）事务多责任大但职能权限和统筹能力不足，社区职责边界模糊，</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小马拉大车</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小肩</w:t>
      </w:r>
      <w:r w:rsidRPr="00456FCE">
        <w:rPr>
          <w:rFonts w:ascii="Times New Roman" w:eastAsia="仿宋_GB2312" w:hAnsi="Times New Roman" w:hint="eastAsia"/>
          <w:color w:val="000000"/>
          <w:sz w:val="32"/>
          <w:szCs w:val="32"/>
        </w:rPr>
        <w:t>扛</w:t>
      </w:r>
      <w:r w:rsidRPr="00456FCE">
        <w:rPr>
          <w:rFonts w:ascii="Times New Roman" w:eastAsia="仿宋_GB2312" w:hAnsi="Times New Roman"/>
          <w:color w:val="000000"/>
          <w:sz w:val="32"/>
          <w:szCs w:val="32"/>
        </w:rPr>
        <w:t>重担</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情况比较突出。</w:t>
      </w:r>
    </w:p>
    <w:p w14:paraId="4835D9B0" w14:textId="77777777" w:rsidR="003A01DB" w:rsidRPr="00456FCE" w:rsidRDefault="003A01DB" w:rsidP="00CA5D03">
      <w:pPr>
        <w:spacing w:line="590" w:lineRule="exact"/>
        <w:ind w:firstLine="659"/>
        <w:rPr>
          <w:rFonts w:ascii="Times New Roman" w:eastAsia="仿宋_GB2312" w:hAnsi="Times New Roman"/>
          <w:color w:val="000000"/>
          <w:sz w:val="32"/>
          <w:szCs w:val="32"/>
        </w:rPr>
      </w:pPr>
      <w:r w:rsidRPr="005B5F6D">
        <w:rPr>
          <w:rFonts w:ascii="Times New Roman" w:eastAsia="楷体_GB2312" w:hAnsi="Times New Roman"/>
          <w:b/>
          <w:color w:val="000000"/>
          <w:sz w:val="32"/>
          <w:szCs w:val="32"/>
        </w:rPr>
        <w:t>（二）面对居民多元化品质化服务需求，服务供给体系存在供给服务大水漫灌、便民服务流程繁琐、生活服务发育不足等问题。</w:t>
      </w:r>
      <w:r w:rsidRPr="00456FCE">
        <w:rPr>
          <w:rFonts w:ascii="Times New Roman" w:eastAsia="仿宋_GB2312" w:hAnsi="Times New Roman"/>
          <w:color w:val="000000"/>
          <w:sz w:val="32"/>
          <w:szCs w:val="32"/>
        </w:rPr>
        <w:t>主要表现在：供给服务供需结构性矛盾较为突出，均等化供给模式与精准化匹配需求不相适应，针对不同领域、不同层次、不同年龄群体的服务供给机制不健全；便民服务供给需求对接不够精准，养老托幼、家政保洁等需求大、频次高的便民服务供给不足，覆盖全龄全时全域人群的综合服务体系还未完全形成；生活性服务发展滞后，社区消费场景中体验消费、绿色消费、文化消费、智能消费等新兴消费较少，与周边城市存在较大差距。</w:t>
      </w:r>
    </w:p>
    <w:p w14:paraId="54ED02B6" w14:textId="77777777" w:rsidR="003A01DB" w:rsidRPr="00456FCE" w:rsidRDefault="003A01DB" w:rsidP="00CA5D03">
      <w:pPr>
        <w:spacing w:line="590" w:lineRule="exact"/>
        <w:ind w:firstLineChars="200"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（三）面对社区社会组织结构的培育孵化，共建共治共享存在市场活力激发不足、社会协同程度不高、居民参与意愿不强等问题。</w:t>
      </w:r>
      <w:r w:rsidRPr="00456FCE">
        <w:rPr>
          <w:rFonts w:ascii="Times New Roman" w:eastAsia="仿宋_GB2312" w:hAnsi="Times New Roman"/>
          <w:color w:val="000000"/>
          <w:sz w:val="32"/>
          <w:szCs w:val="32"/>
        </w:rPr>
        <w:t>主要表现在：政府大包大揽的工作方式压缩了市场</w:t>
      </w:r>
      <w:r w:rsidRPr="00456FCE">
        <w:rPr>
          <w:rFonts w:ascii="Times New Roman" w:eastAsia="仿宋_GB2312" w:hAnsi="Times New Roman"/>
          <w:color w:val="000000"/>
          <w:sz w:val="32"/>
          <w:szCs w:val="32"/>
        </w:rPr>
        <w:lastRenderedPageBreak/>
        <w:t>参与空间，市场主体在民生服务保障、公共关系构建等社会领域发挥作用的参与渠道不畅、制度支撑不足、扶持政策缺失。全区社会组织总体上呈现少、小、散、弱特征，</w:t>
      </w:r>
      <w:r w:rsidRPr="00456FCE">
        <w:rPr>
          <w:rFonts w:ascii="Times New Roman" w:eastAsia="仿宋_GB2312" w:hAnsi="Times New Roman"/>
          <w:color w:val="000000"/>
          <w:sz w:val="32"/>
          <w:szCs w:val="32"/>
        </w:rPr>
        <w:t>3A</w:t>
      </w:r>
      <w:r w:rsidRPr="00456FCE">
        <w:rPr>
          <w:rFonts w:ascii="Times New Roman" w:eastAsia="仿宋_GB2312" w:hAnsi="Times New Roman"/>
          <w:color w:val="000000"/>
          <w:sz w:val="32"/>
          <w:szCs w:val="32"/>
        </w:rPr>
        <w:t>级以上社会组织占比较低；居民参与社区事务缺乏刚性约束和激励机制，社区各类活动的参与者不多，且多以居家老人、妇女、儿童为主，年轻群体主动参与社区事务和活动的意愿不强。</w:t>
      </w:r>
    </w:p>
    <w:p w14:paraId="238DEECA" w14:textId="77777777" w:rsidR="003A01DB" w:rsidRPr="00456FCE" w:rsidRDefault="003A01DB" w:rsidP="00CA5D03">
      <w:pPr>
        <w:spacing w:line="590" w:lineRule="exact"/>
        <w:ind w:firstLine="659"/>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（四）面对治理重心下移的实践方向，资源要素配置存在共享机制缺位、配置方式粗放、应急能力不足等问题。</w:t>
      </w:r>
      <w:r w:rsidRPr="00456FCE">
        <w:rPr>
          <w:rFonts w:ascii="Times New Roman" w:eastAsia="仿宋_GB2312" w:hAnsi="Times New Roman"/>
          <w:color w:val="000000"/>
          <w:sz w:val="32"/>
          <w:szCs w:val="32"/>
        </w:rPr>
        <w:t>主要表现在：公共资源下沉和共享机制不健全，公共服务设施面向社区开放共享缺乏制度安排和设施配套。资源要素部门化、碎片化问题不同程度存在，缺乏有效整合机制和供需对接平台。基层应对重大突发公共事件的调度、统筹机制还需健全，紧急状态下基层应急处置的权限和能力不足。</w:t>
      </w:r>
    </w:p>
    <w:p w14:paraId="170E79BA" w14:textId="77777777" w:rsidR="003A01DB" w:rsidRPr="004C73A5" w:rsidRDefault="003A01DB" w:rsidP="004C73A5">
      <w:pPr>
        <w:ind w:firstLineChars="200" w:firstLine="640"/>
        <w:rPr>
          <w:rFonts w:ascii="Times New Roman" w:eastAsia="仿宋_GB2312" w:hAnsi="Times New Roman" w:hint="eastAsia"/>
          <w:b/>
          <w:bCs/>
          <w:color w:val="000000"/>
          <w:sz w:val="32"/>
          <w:szCs w:val="40"/>
        </w:rPr>
      </w:pPr>
      <w:r w:rsidRPr="004C73A5">
        <w:rPr>
          <w:rFonts w:ascii="楷体_GB2312" w:eastAsia="楷体_GB2312" w:hAnsi="Times New Roman" w:hint="eastAsia"/>
          <w:color w:val="000000"/>
          <w:sz w:val="32"/>
          <w:szCs w:val="40"/>
        </w:rPr>
        <w:t>（五）面对基层治理智慧化的发展趋势，智慧治理体系存在信息共享不畅、数据标准缺失、应用场景不足等问题。</w:t>
      </w:r>
      <w:r w:rsidRPr="004C73A5">
        <w:rPr>
          <w:rFonts w:ascii="Times New Roman" w:eastAsia="仿宋_GB2312" w:hAnsi="Times New Roman"/>
          <w:b/>
          <w:bCs/>
          <w:color w:val="000000"/>
          <w:sz w:val="32"/>
          <w:szCs w:val="40"/>
        </w:rPr>
        <w:t>主要表现在：信息壁垒情况较为普遍，多个部门信息系统均在社区部署应用，但产生数据缺乏整合融通和系统运用，导致基层反复采集数据却难以有效整合数据转化为治理资源。基层智慧治理缺乏统一规划和数据采集、接入等方面的规范标准，对智慧治理应用带来障碍。</w:t>
      </w:r>
    </w:p>
    <w:p w14:paraId="21608CD8" w14:textId="77777777" w:rsidR="003A01DB" w:rsidRPr="004C73A5" w:rsidRDefault="003A01DB" w:rsidP="004C73A5">
      <w:pPr>
        <w:rPr>
          <w:rFonts w:hint="eastAsia"/>
        </w:rPr>
      </w:pPr>
    </w:p>
    <w:p w14:paraId="1007FDC2" w14:textId="77777777" w:rsidR="003A01DB" w:rsidRPr="00C223F9" w:rsidRDefault="003A01DB" w:rsidP="00C223F9">
      <w:pPr>
        <w:pStyle w:val="1"/>
        <w:jc w:val="center"/>
        <w:rPr>
          <w:rFonts w:ascii="仿宋_GB2312" w:eastAsia="仿宋_GB2312" w:hint="eastAsia"/>
          <w:sz w:val="36"/>
          <w:szCs w:val="36"/>
        </w:rPr>
      </w:pPr>
      <w:r w:rsidRPr="00C223F9">
        <w:rPr>
          <w:rFonts w:ascii="仿宋_GB2312" w:eastAsia="仿宋_GB2312" w:hint="eastAsia"/>
          <w:sz w:val="32"/>
          <w:szCs w:val="32"/>
        </w:rPr>
        <w:br w:type="page"/>
      </w:r>
      <w:r w:rsidRPr="00C223F9">
        <w:rPr>
          <w:rFonts w:ascii="仿宋_GB2312" w:eastAsia="仿宋_GB2312" w:hint="eastAsia"/>
          <w:sz w:val="36"/>
          <w:szCs w:val="36"/>
        </w:rPr>
        <w:lastRenderedPageBreak/>
        <w:t>第二章　总体要求</w:t>
      </w:r>
      <w:bookmarkEnd w:id="0"/>
      <w:bookmarkEnd w:id="1"/>
    </w:p>
    <w:p w14:paraId="1D9EB34D" w14:textId="77777777" w:rsidR="00EE6610" w:rsidRDefault="00EE6610" w:rsidP="00EE6610">
      <w:pPr>
        <w:adjustRightInd w:val="0"/>
        <w:snapToGrid w:val="0"/>
        <w:spacing w:beforeLines="50" w:before="156" w:afterLines="50" w:after="156" w:line="590" w:lineRule="exact"/>
        <w:jc w:val="center"/>
        <w:rPr>
          <w:rFonts w:ascii="楷体_GB2312" w:eastAsia="楷体_GB2312" w:hAnsi="Times New Roman" w:hint="eastAsia"/>
          <w:b/>
          <w:color w:val="000000"/>
          <w:sz w:val="32"/>
          <w:szCs w:val="32"/>
        </w:rPr>
      </w:pPr>
    </w:p>
    <w:p w14:paraId="6C5150CF" w14:textId="77777777" w:rsidR="003A01DB" w:rsidRPr="00EE6610" w:rsidRDefault="003A01DB" w:rsidP="00EE6610">
      <w:pPr>
        <w:adjustRightInd w:val="0"/>
        <w:snapToGrid w:val="0"/>
        <w:spacing w:afterLines="50" w:after="156" w:line="590" w:lineRule="exact"/>
        <w:jc w:val="center"/>
        <w:rPr>
          <w:rFonts w:ascii="楷体_GB2312" w:eastAsia="楷体_GB2312" w:hAnsi="Times New Roman" w:hint="eastAsia"/>
          <w:b/>
          <w:color w:val="000000"/>
          <w:sz w:val="32"/>
          <w:szCs w:val="32"/>
        </w:rPr>
      </w:pPr>
      <w:r w:rsidRPr="00EE6610">
        <w:rPr>
          <w:rFonts w:ascii="楷体_GB2312" w:eastAsia="楷体_GB2312" w:hAnsi="Times New Roman" w:hint="eastAsia"/>
          <w:b/>
          <w:color w:val="000000"/>
          <w:sz w:val="32"/>
          <w:szCs w:val="32"/>
        </w:rPr>
        <w:t>第一节 指导思想</w:t>
      </w:r>
    </w:p>
    <w:p w14:paraId="06960C1D" w14:textId="77777777" w:rsidR="003A01DB" w:rsidRPr="00EE5316" w:rsidRDefault="003A01DB" w:rsidP="00EE5316">
      <w:pPr>
        <w:ind w:firstLineChars="200" w:firstLine="640"/>
        <w:rPr>
          <w:rFonts w:ascii="Times New Roman" w:eastAsia="仿宋_GB2312" w:hAnsi="Times New Roman"/>
          <w:color w:val="000000"/>
          <w:sz w:val="32"/>
          <w:szCs w:val="32"/>
        </w:rPr>
      </w:pPr>
      <w:r w:rsidRPr="00EE5316">
        <w:rPr>
          <w:rFonts w:ascii="Times New Roman" w:eastAsia="仿宋_GB2312" w:hAnsi="Times New Roman"/>
          <w:color w:val="000000"/>
          <w:sz w:val="32"/>
          <w:szCs w:val="32"/>
        </w:rPr>
        <w:t>坚持以习近平新时代中国特色社会主义思想为指导，深入贯彻党的十九大和十九届二中、三中、四中、五中、六中全会精神，深入贯彻落实习近平总书记关于基层治理工作重要指示精神，全面贯彻新发展理念，依托成渝地区双层经济圈建设和成德眉资同城化发展国省战略，以建设高品质和谐宜居生活社区为奋斗目标，以建设美丽幸福社区创建为重点任务，以构建社区发展治理共同体为路径，以建立五社联动机制为抓手，全面提升基层治理体系和治理能力现代化水平，更好满足人民群众对幸福美好生活的向往，打造共建共治共享的新时代旌阳社区发展治理新格局。</w:t>
      </w:r>
    </w:p>
    <w:p w14:paraId="455B7233" w14:textId="77777777" w:rsidR="003A01DB" w:rsidRPr="009C21FD" w:rsidRDefault="003A01DB" w:rsidP="009C21FD">
      <w:pPr>
        <w:adjustRightInd w:val="0"/>
        <w:snapToGrid w:val="0"/>
        <w:spacing w:beforeLines="50" w:before="156" w:afterLines="50" w:after="156" w:line="590" w:lineRule="exact"/>
        <w:jc w:val="center"/>
        <w:rPr>
          <w:rFonts w:ascii="楷体_GB2312" w:eastAsia="楷体_GB2312" w:hAnsi="Times New Roman" w:hint="eastAsia"/>
          <w:b/>
          <w:color w:val="000000"/>
          <w:sz w:val="32"/>
          <w:szCs w:val="32"/>
        </w:rPr>
      </w:pPr>
      <w:r w:rsidRPr="009C21FD">
        <w:rPr>
          <w:rFonts w:ascii="楷体_GB2312" w:eastAsia="楷体_GB2312" w:hAnsi="Times New Roman" w:hint="eastAsia"/>
          <w:b/>
          <w:color w:val="000000"/>
          <w:sz w:val="32"/>
          <w:szCs w:val="32"/>
        </w:rPr>
        <w:t>第二节 基本原则</w:t>
      </w:r>
    </w:p>
    <w:p w14:paraId="6038FB2C"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（一）坚持党建引领。</w:t>
      </w:r>
      <w:r w:rsidRPr="00456FCE">
        <w:rPr>
          <w:rFonts w:ascii="Times New Roman" w:eastAsia="仿宋_GB2312" w:hAnsi="Times New Roman"/>
          <w:color w:val="000000"/>
          <w:sz w:val="32"/>
          <w:szCs w:val="32"/>
        </w:rPr>
        <w:t>加强党对基层治理的全面领导，切实发挥基层党组织领导核心作用，增强基层党组织政治领导力、思想引领力、群众组织力、社会号召力，确保基层治理始终保持正确政治方向。</w:t>
      </w:r>
    </w:p>
    <w:p w14:paraId="0508AF5D"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lastRenderedPageBreak/>
        <w:t>（二）坚持人民至上。</w:t>
      </w:r>
      <w:r w:rsidRPr="00456FCE">
        <w:rPr>
          <w:rFonts w:ascii="Times New Roman" w:eastAsia="仿宋_GB2312" w:hAnsi="Times New Roman"/>
          <w:color w:val="000000"/>
          <w:sz w:val="32"/>
          <w:szCs w:val="32"/>
        </w:rPr>
        <w:t>牢固树立以人民为中心的发展思想，更好满足人民群众日益增长的美好生活需要，聚焦群众急难愁盼问题，精准实施服务供给侧改革，健全基本公共服务体系，增强群众获得感、幸福感、安全感。</w:t>
      </w:r>
    </w:p>
    <w:p w14:paraId="393C373C"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（三）坚持依法治理。</w:t>
      </w:r>
      <w:r w:rsidRPr="005B5F6D">
        <w:rPr>
          <w:rFonts w:ascii="Times New Roman" w:eastAsia="仿宋_GB2312" w:hAnsi="Times New Roman" w:hint="eastAsia"/>
          <w:color w:val="000000"/>
          <w:sz w:val="32"/>
          <w:szCs w:val="32"/>
        </w:rPr>
        <w:t>充</w:t>
      </w:r>
      <w:r w:rsidRPr="00456FCE">
        <w:rPr>
          <w:rFonts w:ascii="Times New Roman" w:eastAsia="仿宋_GB2312" w:hAnsi="Times New Roman"/>
          <w:color w:val="000000"/>
          <w:sz w:val="32"/>
          <w:szCs w:val="32"/>
        </w:rPr>
        <w:t>分发挥法治固根本、稳预期、利长远的保障作用，把基层治理纳入法治化轨道，坚持运用法治思维和法治方式推进基层治理，进一步将制度优势转化为治理效能。</w:t>
      </w:r>
    </w:p>
    <w:p w14:paraId="561FD854"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（四）坚持改革创新。</w:t>
      </w:r>
      <w:r w:rsidRPr="00456FCE">
        <w:rPr>
          <w:rFonts w:ascii="Times New Roman" w:eastAsia="仿宋_GB2312" w:hAnsi="Times New Roman"/>
          <w:color w:val="000000"/>
          <w:sz w:val="32"/>
          <w:szCs w:val="32"/>
        </w:rPr>
        <w:t>以改革的思路、创新的举措，解决城乡基层治理中存在的体制性障碍、机制性梗阻和政策性问题，推动高效能治理与高质量发展同频共振。</w:t>
      </w:r>
    </w:p>
    <w:p w14:paraId="1EBAFF0F"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（五）坚持多元共治。</w:t>
      </w:r>
      <w:r w:rsidRPr="00456FCE">
        <w:rPr>
          <w:rFonts w:ascii="Times New Roman" w:eastAsia="仿宋_GB2312" w:hAnsi="Times New Roman"/>
          <w:color w:val="000000"/>
          <w:sz w:val="32"/>
          <w:szCs w:val="32"/>
        </w:rPr>
        <w:t>完善党委领导、政府负责、民主协商、社会协同、公众参与、法治保障、科技支撑的社会治理体系，实现活力和秩序相统一，全面深化</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五主五一五融合</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的城乡社区发展治理模式，建设人人有责、人人尽责、人人享有的社区发展治理共同体。</w:t>
      </w:r>
    </w:p>
    <w:p w14:paraId="06D7B58C" w14:textId="77777777" w:rsidR="003A01DB" w:rsidRPr="009C21FD" w:rsidRDefault="003A01DB" w:rsidP="009C21FD">
      <w:pPr>
        <w:adjustRightInd w:val="0"/>
        <w:snapToGrid w:val="0"/>
        <w:spacing w:beforeLines="50" w:before="156" w:afterLines="50" w:after="156" w:line="590" w:lineRule="exact"/>
        <w:jc w:val="center"/>
        <w:rPr>
          <w:rFonts w:ascii="楷体_GB2312" w:eastAsia="楷体_GB2312" w:hAnsi="Times New Roman" w:hint="eastAsia"/>
          <w:b/>
          <w:color w:val="000000"/>
          <w:sz w:val="32"/>
          <w:szCs w:val="32"/>
        </w:rPr>
      </w:pPr>
      <w:r w:rsidRPr="009C21FD">
        <w:rPr>
          <w:rFonts w:ascii="楷体_GB2312" w:eastAsia="楷体_GB2312" w:hAnsi="Times New Roman" w:hint="eastAsia"/>
          <w:b/>
          <w:color w:val="000000"/>
          <w:sz w:val="32"/>
          <w:szCs w:val="32"/>
        </w:rPr>
        <w:t>第三节 发展目标</w:t>
      </w:r>
    </w:p>
    <w:p w14:paraId="1C5C8032" w14:textId="77777777" w:rsidR="003A01DB" w:rsidRPr="00EE5316" w:rsidRDefault="003A01DB" w:rsidP="00EE5316">
      <w:pPr>
        <w:ind w:firstLineChars="200" w:firstLine="640"/>
        <w:rPr>
          <w:rFonts w:ascii="Times New Roman" w:eastAsia="仿宋_GB2312" w:hAnsi="Times New Roman"/>
          <w:color w:val="000000"/>
          <w:sz w:val="32"/>
          <w:szCs w:val="32"/>
        </w:rPr>
      </w:pPr>
      <w:r w:rsidRPr="00EE5316">
        <w:rPr>
          <w:rFonts w:ascii="Times New Roman" w:eastAsia="仿宋_GB2312" w:hAnsi="Times New Roman"/>
          <w:color w:val="000000"/>
          <w:sz w:val="32"/>
          <w:szCs w:val="32"/>
        </w:rPr>
        <w:t>到</w:t>
      </w:r>
      <w:r w:rsidRPr="00EE5316">
        <w:rPr>
          <w:rFonts w:ascii="Times New Roman" w:eastAsia="仿宋_GB2312" w:hAnsi="Times New Roman"/>
          <w:color w:val="000000"/>
          <w:sz w:val="32"/>
          <w:szCs w:val="32"/>
        </w:rPr>
        <w:t>2022</w:t>
      </w:r>
      <w:r w:rsidRPr="00EE5316">
        <w:rPr>
          <w:rFonts w:ascii="Times New Roman" w:eastAsia="仿宋_GB2312" w:hAnsi="Times New Roman"/>
          <w:color w:val="000000"/>
          <w:sz w:val="32"/>
          <w:szCs w:val="32"/>
        </w:rPr>
        <w:t>年，全区基层党组织领导下的各类组织关系更加清晰顺畅，公共服务、公共管理、公共安全得到有效保障，基层治理能力持续增强，在城乡社区发展治理制度更加成熟更加定型上取得明显成效。到</w:t>
      </w:r>
      <w:r w:rsidRPr="00EE5316">
        <w:rPr>
          <w:rFonts w:ascii="Times New Roman" w:eastAsia="仿宋_GB2312" w:hAnsi="Times New Roman"/>
          <w:color w:val="000000"/>
          <w:sz w:val="32"/>
          <w:szCs w:val="32"/>
        </w:rPr>
        <w:t>2025</w:t>
      </w:r>
      <w:r w:rsidRPr="00EE5316">
        <w:rPr>
          <w:rFonts w:ascii="Times New Roman" w:eastAsia="仿宋_GB2312" w:hAnsi="Times New Roman"/>
          <w:color w:val="000000"/>
          <w:sz w:val="32"/>
          <w:szCs w:val="32"/>
        </w:rPr>
        <w:t>年，全区城乡社区发展治理制度更</w:t>
      </w:r>
      <w:r w:rsidRPr="00EE5316">
        <w:rPr>
          <w:rFonts w:ascii="Times New Roman" w:eastAsia="仿宋_GB2312" w:hAnsi="Times New Roman"/>
          <w:color w:val="000000"/>
          <w:sz w:val="32"/>
          <w:szCs w:val="32"/>
        </w:rPr>
        <w:lastRenderedPageBreak/>
        <w:t>加完善，城乡社区发展治理能力显著提升，治理措施更加精准全面，党的执政根基和基层政权进一步巩固夯实，为推进基层治理体系和治理能力现代化奠定坚实基础。展望</w:t>
      </w:r>
      <w:r w:rsidRPr="00EE5316">
        <w:rPr>
          <w:rFonts w:ascii="Times New Roman" w:eastAsia="仿宋_GB2312" w:hAnsi="Times New Roman"/>
          <w:color w:val="000000"/>
          <w:sz w:val="32"/>
          <w:szCs w:val="32"/>
        </w:rPr>
        <w:t>2035</w:t>
      </w:r>
      <w:r w:rsidRPr="00EE5316">
        <w:rPr>
          <w:rFonts w:ascii="Times New Roman" w:eastAsia="仿宋_GB2312" w:hAnsi="Times New Roman"/>
          <w:color w:val="000000"/>
          <w:sz w:val="32"/>
          <w:szCs w:val="32"/>
        </w:rPr>
        <w:t>年，全区城乡社区发展治理内涵得到充实，城乡社区形态更加优美、生态更加怡人、业态更具活力、文态彰显特色、心态向善向美，全面建成人人享受品质生活、人人享受全龄服务、人人拥有归属认同、人人有序参与治理的高品质和谐宜居生活社区。</w:t>
      </w:r>
    </w:p>
    <w:p w14:paraId="23AECAD1" w14:textId="77777777" w:rsidR="003A01DB" w:rsidRPr="005B5F6D" w:rsidRDefault="003A01DB" w:rsidP="00CA5D03">
      <w:pPr>
        <w:pStyle w:val="21"/>
        <w:spacing w:beforeLines="50" w:before="156" w:afterLines="100" w:after="312" w:line="590" w:lineRule="exact"/>
        <w:jc w:val="center"/>
        <w:rPr>
          <w:rFonts w:ascii="宋体" w:hAnsi="宋体"/>
          <w:b/>
          <w:color w:val="000000"/>
          <w:sz w:val="32"/>
          <w:szCs w:val="32"/>
        </w:rPr>
      </w:pPr>
      <w:r w:rsidRPr="005B5F6D">
        <w:rPr>
          <w:rFonts w:ascii="宋体" w:hAnsi="宋体"/>
          <w:b/>
          <w:color w:val="000000"/>
          <w:sz w:val="32"/>
          <w:szCs w:val="32"/>
        </w:rPr>
        <w:t>专栏</w:t>
      </w:r>
      <w:r w:rsidRPr="005B5F6D">
        <w:rPr>
          <w:rFonts w:ascii="宋体" w:hAnsi="宋体" w:hint="eastAsia"/>
          <w:b/>
          <w:color w:val="000000"/>
          <w:sz w:val="32"/>
          <w:szCs w:val="32"/>
        </w:rPr>
        <w:t>：</w:t>
      </w:r>
      <w:r w:rsidRPr="005B5F6D">
        <w:rPr>
          <w:rFonts w:ascii="宋体" w:hAnsi="宋体"/>
          <w:b/>
          <w:color w:val="000000"/>
          <w:sz w:val="32"/>
          <w:szCs w:val="32"/>
        </w:rPr>
        <w:t>“十四五”时期城乡社区发展治理主要指标</w:t>
      </w:r>
    </w:p>
    <w:tbl>
      <w:tblPr>
        <w:tblW w:w="990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5400"/>
        <w:gridCol w:w="1260"/>
        <w:gridCol w:w="1080"/>
        <w:gridCol w:w="1080"/>
      </w:tblGrid>
      <w:tr w:rsidR="003A01DB" w:rsidRPr="005B5F6D" w14:paraId="1DAAB508" w14:textId="77777777" w:rsidTr="005B5F6D">
        <w:trPr>
          <w:trHeight w:val="325"/>
        </w:trPr>
        <w:tc>
          <w:tcPr>
            <w:tcW w:w="1080" w:type="dxa"/>
            <w:vAlign w:val="center"/>
          </w:tcPr>
          <w:p w14:paraId="03A786CD" w14:textId="77777777" w:rsidR="003A01DB" w:rsidRPr="005B5F6D" w:rsidRDefault="003A01DB" w:rsidP="00CA5D03">
            <w:pPr>
              <w:pStyle w:val="21"/>
              <w:spacing w:line="400" w:lineRule="exact"/>
              <w:jc w:val="center"/>
              <w:rPr>
                <w:rFonts w:ascii="Times New Roman" w:hAnsi="Times New Roman"/>
                <w:b/>
                <w:color w:val="000000"/>
                <w:sz w:val="18"/>
                <w:szCs w:val="18"/>
              </w:rPr>
            </w:pPr>
            <w:r w:rsidRPr="005B5F6D">
              <w:rPr>
                <w:rFonts w:ascii="Times New Roman" w:hAnsi="Times New Roman"/>
                <w:b/>
                <w:color w:val="000000"/>
                <w:sz w:val="18"/>
                <w:szCs w:val="18"/>
              </w:rPr>
              <w:t>维度</w:t>
            </w:r>
          </w:p>
        </w:tc>
        <w:tc>
          <w:tcPr>
            <w:tcW w:w="5400" w:type="dxa"/>
            <w:vAlign w:val="center"/>
          </w:tcPr>
          <w:p w14:paraId="4CEB15E7" w14:textId="77777777" w:rsidR="003A01DB" w:rsidRPr="005B5F6D" w:rsidRDefault="003A01DB" w:rsidP="00CA5D03">
            <w:pPr>
              <w:pStyle w:val="21"/>
              <w:spacing w:line="400" w:lineRule="exact"/>
              <w:jc w:val="center"/>
              <w:rPr>
                <w:rFonts w:ascii="Times New Roman" w:hAnsi="Times New Roman"/>
                <w:b/>
                <w:color w:val="000000"/>
                <w:sz w:val="18"/>
                <w:szCs w:val="18"/>
              </w:rPr>
            </w:pPr>
            <w:r w:rsidRPr="005B5F6D">
              <w:rPr>
                <w:rFonts w:ascii="Times New Roman" w:hAnsi="Times New Roman"/>
                <w:b/>
                <w:color w:val="000000"/>
                <w:sz w:val="18"/>
                <w:szCs w:val="18"/>
              </w:rPr>
              <w:t>指标</w:t>
            </w:r>
          </w:p>
        </w:tc>
        <w:tc>
          <w:tcPr>
            <w:tcW w:w="1260" w:type="dxa"/>
            <w:vAlign w:val="center"/>
          </w:tcPr>
          <w:p w14:paraId="71B417EE" w14:textId="77777777" w:rsidR="003A01DB" w:rsidRPr="005B5F6D" w:rsidRDefault="003A01DB" w:rsidP="00CA5D03">
            <w:pPr>
              <w:pStyle w:val="21"/>
              <w:spacing w:line="400" w:lineRule="exact"/>
              <w:jc w:val="center"/>
              <w:rPr>
                <w:rFonts w:ascii="Times New Roman" w:hAnsi="Times New Roman"/>
                <w:b/>
                <w:color w:val="000000"/>
                <w:sz w:val="18"/>
                <w:szCs w:val="18"/>
              </w:rPr>
            </w:pPr>
            <w:r w:rsidRPr="005B5F6D">
              <w:rPr>
                <w:rFonts w:ascii="Times New Roman" w:hAnsi="Times New Roman"/>
                <w:b/>
                <w:color w:val="000000"/>
                <w:sz w:val="18"/>
                <w:szCs w:val="18"/>
              </w:rPr>
              <w:t>2025</w:t>
            </w:r>
            <w:r w:rsidRPr="005B5F6D">
              <w:rPr>
                <w:rFonts w:ascii="Times New Roman" w:hAnsi="Times New Roman"/>
                <w:b/>
                <w:color w:val="000000"/>
                <w:sz w:val="18"/>
                <w:szCs w:val="18"/>
              </w:rPr>
              <w:t>年</w:t>
            </w:r>
          </w:p>
        </w:tc>
        <w:tc>
          <w:tcPr>
            <w:tcW w:w="1080" w:type="dxa"/>
            <w:vAlign w:val="center"/>
          </w:tcPr>
          <w:p w14:paraId="2506FD93" w14:textId="77777777" w:rsidR="003A01DB" w:rsidRPr="005B5F6D" w:rsidRDefault="003A01DB" w:rsidP="00CA5D03">
            <w:pPr>
              <w:pStyle w:val="21"/>
              <w:spacing w:line="400" w:lineRule="exact"/>
              <w:jc w:val="center"/>
              <w:rPr>
                <w:rFonts w:ascii="Times New Roman" w:hAnsi="Times New Roman"/>
                <w:b/>
                <w:color w:val="000000"/>
                <w:sz w:val="18"/>
                <w:szCs w:val="18"/>
              </w:rPr>
            </w:pPr>
            <w:r w:rsidRPr="005B5F6D">
              <w:rPr>
                <w:rFonts w:ascii="Times New Roman" w:hAnsi="Times New Roman"/>
                <w:b/>
                <w:color w:val="000000"/>
                <w:sz w:val="18"/>
                <w:szCs w:val="18"/>
              </w:rPr>
              <w:t>属性</w:t>
            </w:r>
          </w:p>
        </w:tc>
        <w:tc>
          <w:tcPr>
            <w:tcW w:w="1080" w:type="dxa"/>
            <w:vAlign w:val="center"/>
          </w:tcPr>
          <w:p w14:paraId="183AAA79" w14:textId="77777777" w:rsidR="003A01DB" w:rsidRPr="005B5F6D" w:rsidRDefault="003A01DB" w:rsidP="00CA5D03">
            <w:pPr>
              <w:pStyle w:val="21"/>
              <w:spacing w:line="400" w:lineRule="exact"/>
              <w:rPr>
                <w:rFonts w:ascii="Times New Roman" w:hAnsi="Times New Roman"/>
                <w:b/>
                <w:color w:val="000000"/>
                <w:sz w:val="18"/>
                <w:szCs w:val="18"/>
              </w:rPr>
            </w:pPr>
            <w:r w:rsidRPr="005B5F6D">
              <w:rPr>
                <w:rFonts w:ascii="Times New Roman" w:hAnsi="Times New Roman"/>
                <w:b/>
                <w:color w:val="000000"/>
                <w:sz w:val="18"/>
                <w:szCs w:val="18"/>
              </w:rPr>
              <w:t>备注</w:t>
            </w:r>
          </w:p>
        </w:tc>
      </w:tr>
      <w:tr w:rsidR="003A01DB" w:rsidRPr="005B5F6D" w14:paraId="36357F19" w14:textId="77777777" w:rsidTr="005B5F6D">
        <w:trPr>
          <w:trHeight w:val="325"/>
        </w:trPr>
        <w:tc>
          <w:tcPr>
            <w:tcW w:w="1080" w:type="dxa"/>
            <w:vMerge w:val="restart"/>
            <w:vAlign w:val="center"/>
          </w:tcPr>
          <w:p w14:paraId="38EFBBEA"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党建</w:t>
            </w:r>
          </w:p>
        </w:tc>
        <w:tc>
          <w:tcPr>
            <w:tcW w:w="5400" w:type="dxa"/>
            <w:vAlign w:val="center"/>
          </w:tcPr>
          <w:p w14:paraId="6008C8D6"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社会组织党建入章程（</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4C0DA8DC"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100</w:t>
            </w:r>
          </w:p>
        </w:tc>
        <w:tc>
          <w:tcPr>
            <w:tcW w:w="1080" w:type="dxa"/>
            <w:vAlign w:val="center"/>
          </w:tcPr>
          <w:p w14:paraId="4313E813"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6DBAE6CF"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5C5DB372" w14:textId="77777777" w:rsidTr="005B5F6D">
        <w:trPr>
          <w:trHeight w:val="325"/>
        </w:trPr>
        <w:tc>
          <w:tcPr>
            <w:tcW w:w="1080" w:type="dxa"/>
            <w:vMerge/>
            <w:vAlign w:val="center"/>
          </w:tcPr>
          <w:p w14:paraId="3D59AB23"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34073B60"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党组织领导写入居民小区（院落）管理规约、议事规则（</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147DADAA"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100</w:t>
            </w:r>
          </w:p>
        </w:tc>
        <w:tc>
          <w:tcPr>
            <w:tcW w:w="1080" w:type="dxa"/>
            <w:vAlign w:val="center"/>
          </w:tcPr>
          <w:p w14:paraId="347C19CA"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17F63BB8"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5ADF9964" w14:textId="77777777" w:rsidTr="005B5F6D">
        <w:trPr>
          <w:trHeight w:val="325"/>
        </w:trPr>
        <w:tc>
          <w:tcPr>
            <w:tcW w:w="1080" w:type="dxa"/>
            <w:vMerge/>
            <w:vAlign w:val="center"/>
          </w:tcPr>
          <w:p w14:paraId="11B9FFB2"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27931CFE"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w:t>
            </w:r>
            <w:r w:rsidRPr="005B5F6D">
              <w:rPr>
                <w:rFonts w:ascii="Times New Roman" w:hAnsi="Times New Roman"/>
                <w:color w:val="000000"/>
                <w:sz w:val="18"/>
                <w:szCs w:val="18"/>
              </w:rPr>
              <w:t>两委</w:t>
            </w:r>
            <w:r w:rsidRPr="005B5F6D">
              <w:rPr>
                <w:rFonts w:ascii="Times New Roman" w:hAnsi="Times New Roman"/>
                <w:color w:val="000000"/>
                <w:sz w:val="18"/>
                <w:szCs w:val="18"/>
              </w:rPr>
              <w:t>”</w:t>
            </w:r>
            <w:r w:rsidRPr="005B5F6D">
              <w:rPr>
                <w:rFonts w:ascii="Times New Roman" w:hAnsi="Times New Roman"/>
                <w:color w:val="000000"/>
                <w:sz w:val="18"/>
                <w:szCs w:val="18"/>
              </w:rPr>
              <w:t>交叉任职的社区（</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51CC0122"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100</w:t>
            </w:r>
          </w:p>
        </w:tc>
        <w:tc>
          <w:tcPr>
            <w:tcW w:w="1080" w:type="dxa"/>
            <w:vAlign w:val="center"/>
          </w:tcPr>
          <w:p w14:paraId="1A544C6C"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约束性</w:t>
            </w:r>
          </w:p>
        </w:tc>
        <w:tc>
          <w:tcPr>
            <w:tcW w:w="1080" w:type="dxa"/>
            <w:vAlign w:val="center"/>
          </w:tcPr>
          <w:p w14:paraId="2F048142"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117DB3B9" w14:textId="77777777" w:rsidTr="005B5F6D">
        <w:trPr>
          <w:trHeight w:val="325"/>
        </w:trPr>
        <w:tc>
          <w:tcPr>
            <w:tcW w:w="1080" w:type="dxa"/>
            <w:vMerge/>
            <w:vAlign w:val="center"/>
          </w:tcPr>
          <w:p w14:paraId="4F0C780E"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2C668C0D"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居民委员会下设公共卫生委员会覆盖率、环境和物业管理委员会覆盖率（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751795D4"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100</w:t>
            </w:r>
          </w:p>
        </w:tc>
        <w:tc>
          <w:tcPr>
            <w:tcW w:w="1080" w:type="dxa"/>
            <w:vAlign w:val="center"/>
          </w:tcPr>
          <w:p w14:paraId="24DBCE51"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1F86CD46"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1C5133E1" w14:textId="77777777" w:rsidTr="005B5F6D">
        <w:trPr>
          <w:trHeight w:val="325"/>
        </w:trPr>
        <w:tc>
          <w:tcPr>
            <w:tcW w:w="1080" w:type="dxa"/>
            <w:vMerge w:val="restart"/>
            <w:vAlign w:val="center"/>
          </w:tcPr>
          <w:p w14:paraId="1E648A04"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惠民</w:t>
            </w:r>
          </w:p>
        </w:tc>
        <w:tc>
          <w:tcPr>
            <w:tcW w:w="5400" w:type="dxa"/>
            <w:vAlign w:val="center"/>
          </w:tcPr>
          <w:p w14:paraId="120F6BB6"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社区未成年人关爱保护服务阵地覆盖率（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74A3D7B1"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100</w:t>
            </w:r>
          </w:p>
        </w:tc>
        <w:tc>
          <w:tcPr>
            <w:tcW w:w="1080" w:type="dxa"/>
            <w:vAlign w:val="center"/>
          </w:tcPr>
          <w:p w14:paraId="4C969271"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约束性</w:t>
            </w:r>
          </w:p>
        </w:tc>
        <w:tc>
          <w:tcPr>
            <w:tcW w:w="1080" w:type="dxa"/>
            <w:vAlign w:val="center"/>
          </w:tcPr>
          <w:p w14:paraId="477CDDAE"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6B131B09" w14:textId="77777777" w:rsidTr="005B5F6D">
        <w:trPr>
          <w:trHeight w:val="325"/>
        </w:trPr>
        <w:tc>
          <w:tcPr>
            <w:tcW w:w="1080" w:type="dxa"/>
            <w:vMerge/>
            <w:vAlign w:val="center"/>
          </w:tcPr>
          <w:p w14:paraId="72400624"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1D389741"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社区未成年人工作专人专岗覆盖率（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1F0F5BFA"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100</w:t>
            </w:r>
          </w:p>
        </w:tc>
        <w:tc>
          <w:tcPr>
            <w:tcW w:w="1080" w:type="dxa"/>
            <w:vAlign w:val="center"/>
          </w:tcPr>
          <w:p w14:paraId="2B48449D"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约束性</w:t>
            </w:r>
          </w:p>
        </w:tc>
        <w:tc>
          <w:tcPr>
            <w:tcW w:w="1080" w:type="dxa"/>
            <w:vAlign w:val="center"/>
          </w:tcPr>
          <w:p w14:paraId="0E7CF6C2"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1BAA3003" w14:textId="77777777" w:rsidTr="005B5F6D">
        <w:trPr>
          <w:trHeight w:val="336"/>
        </w:trPr>
        <w:tc>
          <w:tcPr>
            <w:tcW w:w="1080" w:type="dxa"/>
            <w:vMerge/>
            <w:vAlign w:val="center"/>
          </w:tcPr>
          <w:p w14:paraId="570108B3"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5DB7B289"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每个街道社区养老服务综合体（个）</w:t>
            </w:r>
          </w:p>
        </w:tc>
        <w:tc>
          <w:tcPr>
            <w:tcW w:w="1260" w:type="dxa"/>
            <w:vAlign w:val="center"/>
          </w:tcPr>
          <w:p w14:paraId="6B49271B"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w:t>
            </w:r>
          </w:p>
        </w:tc>
        <w:tc>
          <w:tcPr>
            <w:tcW w:w="1080" w:type="dxa"/>
            <w:vAlign w:val="center"/>
          </w:tcPr>
          <w:p w14:paraId="706E21E1"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4C16A44E"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11EC7F9B" w14:textId="77777777" w:rsidTr="005B5F6D">
        <w:trPr>
          <w:trHeight w:val="336"/>
        </w:trPr>
        <w:tc>
          <w:tcPr>
            <w:tcW w:w="1080" w:type="dxa"/>
            <w:vMerge/>
            <w:vAlign w:val="center"/>
          </w:tcPr>
          <w:p w14:paraId="6B00973D"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10B6E930"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镇（街道）范围具备综合功能的养老服务机构覆盖率（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541C8AD0"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≥60</w:t>
            </w:r>
          </w:p>
        </w:tc>
        <w:tc>
          <w:tcPr>
            <w:tcW w:w="1080" w:type="dxa"/>
            <w:vAlign w:val="center"/>
          </w:tcPr>
          <w:p w14:paraId="66062620"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14F18E4B"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56CC31A4" w14:textId="77777777" w:rsidTr="005B5F6D">
        <w:trPr>
          <w:trHeight w:val="336"/>
        </w:trPr>
        <w:tc>
          <w:tcPr>
            <w:tcW w:w="1080" w:type="dxa"/>
            <w:vMerge/>
            <w:vAlign w:val="center"/>
          </w:tcPr>
          <w:p w14:paraId="38E8252A"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3CE69D84"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社区养老服务覆盖率（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7635A1F3"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≥90</w:t>
            </w:r>
          </w:p>
        </w:tc>
        <w:tc>
          <w:tcPr>
            <w:tcW w:w="1080" w:type="dxa"/>
            <w:vAlign w:val="center"/>
          </w:tcPr>
          <w:p w14:paraId="0292CEAF"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550FB629"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2298F812" w14:textId="77777777" w:rsidTr="005B5F6D">
        <w:trPr>
          <w:trHeight w:val="336"/>
        </w:trPr>
        <w:tc>
          <w:tcPr>
            <w:tcW w:w="1080" w:type="dxa"/>
            <w:vMerge/>
            <w:vAlign w:val="center"/>
          </w:tcPr>
          <w:p w14:paraId="72993CE3"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7BC1C846"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城区无障碍道路覆盖率（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542D105A"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85</w:t>
            </w:r>
          </w:p>
        </w:tc>
        <w:tc>
          <w:tcPr>
            <w:tcW w:w="1080" w:type="dxa"/>
            <w:vAlign w:val="center"/>
          </w:tcPr>
          <w:p w14:paraId="5FD92E53"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29D319FE"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5080D36E" w14:textId="77777777" w:rsidTr="005B5F6D">
        <w:trPr>
          <w:trHeight w:val="336"/>
        </w:trPr>
        <w:tc>
          <w:tcPr>
            <w:tcW w:w="1080" w:type="dxa"/>
            <w:vMerge w:val="restart"/>
            <w:vAlign w:val="center"/>
          </w:tcPr>
          <w:p w14:paraId="6171995D"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品质</w:t>
            </w:r>
          </w:p>
        </w:tc>
        <w:tc>
          <w:tcPr>
            <w:tcW w:w="5400" w:type="dxa"/>
            <w:vAlign w:val="center"/>
          </w:tcPr>
          <w:p w14:paraId="5E1561EB"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城乡社区综合服务设施覆盖率（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755A6C1B"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100</w:t>
            </w:r>
          </w:p>
        </w:tc>
        <w:tc>
          <w:tcPr>
            <w:tcW w:w="1080" w:type="dxa"/>
            <w:vAlign w:val="center"/>
          </w:tcPr>
          <w:p w14:paraId="28F22BB1"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6D82DDB8"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59B4940F" w14:textId="77777777" w:rsidTr="005B5F6D">
        <w:trPr>
          <w:trHeight w:val="336"/>
        </w:trPr>
        <w:tc>
          <w:tcPr>
            <w:tcW w:w="1080" w:type="dxa"/>
            <w:vMerge/>
            <w:vAlign w:val="center"/>
          </w:tcPr>
          <w:p w14:paraId="793BF8E7"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0CC89CDF"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每百户居民拥有社区综合服务设施面积（平方米）</w:t>
            </w:r>
          </w:p>
        </w:tc>
        <w:tc>
          <w:tcPr>
            <w:tcW w:w="1260" w:type="dxa"/>
            <w:vAlign w:val="center"/>
          </w:tcPr>
          <w:p w14:paraId="0736E0AC"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≥30</w:t>
            </w:r>
          </w:p>
        </w:tc>
        <w:tc>
          <w:tcPr>
            <w:tcW w:w="1080" w:type="dxa"/>
            <w:vAlign w:val="center"/>
          </w:tcPr>
          <w:p w14:paraId="5F55C8CD"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790541A7"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1EF578D7" w14:textId="77777777" w:rsidTr="005B5F6D">
        <w:trPr>
          <w:trHeight w:val="336"/>
        </w:trPr>
        <w:tc>
          <w:tcPr>
            <w:tcW w:w="1080" w:type="dxa"/>
            <w:vMerge/>
            <w:vAlign w:val="center"/>
          </w:tcPr>
          <w:p w14:paraId="7FA0EEF8"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5BFC9308"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城区社区党群服务中心</w:t>
            </w:r>
            <w:r w:rsidRPr="005B5F6D">
              <w:rPr>
                <w:rFonts w:ascii="Times New Roman" w:hAnsi="Times New Roman"/>
                <w:color w:val="000000"/>
                <w:sz w:val="18"/>
                <w:szCs w:val="18"/>
              </w:rPr>
              <w:t>“</w:t>
            </w:r>
            <w:r w:rsidRPr="005B5F6D">
              <w:rPr>
                <w:rFonts w:ascii="Times New Roman" w:hAnsi="Times New Roman"/>
                <w:color w:val="000000"/>
                <w:sz w:val="18"/>
                <w:szCs w:val="18"/>
              </w:rPr>
              <w:t>亲民化</w:t>
            </w:r>
            <w:r w:rsidRPr="005B5F6D">
              <w:rPr>
                <w:rFonts w:ascii="Times New Roman" w:hAnsi="Times New Roman"/>
                <w:color w:val="000000"/>
                <w:sz w:val="18"/>
                <w:szCs w:val="18"/>
              </w:rPr>
              <w:t>”</w:t>
            </w:r>
            <w:r w:rsidRPr="005B5F6D">
              <w:rPr>
                <w:rFonts w:ascii="Times New Roman" w:hAnsi="Times New Roman"/>
                <w:color w:val="000000"/>
                <w:sz w:val="18"/>
                <w:szCs w:val="18"/>
              </w:rPr>
              <w:t>改造验收完成率（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03A18C53"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100</w:t>
            </w:r>
          </w:p>
        </w:tc>
        <w:tc>
          <w:tcPr>
            <w:tcW w:w="1080" w:type="dxa"/>
            <w:vAlign w:val="center"/>
          </w:tcPr>
          <w:p w14:paraId="67910DA3"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约束性</w:t>
            </w:r>
          </w:p>
        </w:tc>
        <w:tc>
          <w:tcPr>
            <w:tcW w:w="1080" w:type="dxa"/>
            <w:vAlign w:val="center"/>
          </w:tcPr>
          <w:p w14:paraId="42C51CFA"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11C03CE0" w14:textId="77777777" w:rsidTr="005B5F6D">
        <w:trPr>
          <w:trHeight w:val="336"/>
        </w:trPr>
        <w:tc>
          <w:tcPr>
            <w:tcW w:w="1080" w:type="dxa"/>
            <w:vMerge/>
            <w:vAlign w:val="center"/>
          </w:tcPr>
          <w:p w14:paraId="4A2997A9"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38AC1A24"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每个城市社区户外劳动者（环卫工、快递员等）休息驿站数量</w:t>
            </w:r>
          </w:p>
        </w:tc>
        <w:tc>
          <w:tcPr>
            <w:tcW w:w="1260" w:type="dxa"/>
            <w:vAlign w:val="center"/>
          </w:tcPr>
          <w:p w14:paraId="3D73B88F"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w:t>
            </w:r>
          </w:p>
        </w:tc>
        <w:tc>
          <w:tcPr>
            <w:tcW w:w="1080" w:type="dxa"/>
            <w:vAlign w:val="center"/>
          </w:tcPr>
          <w:p w14:paraId="1B7C2BDB"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05AB253D"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35DA21CE" w14:textId="77777777" w:rsidTr="005B5F6D">
        <w:trPr>
          <w:trHeight w:val="336"/>
        </w:trPr>
        <w:tc>
          <w:tcPr>
            <w:tcW w:w="1080" w:type="dxa"/>
            <w:vMerge/>
            <w:vAlign w:val="center"/>
          </w:tcPr>
          <w:p w14:paraId="16EC1B32"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7ADBFB04"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居住型城镇社区</w:t>
            </w:r>
            <w:r w:rsidRPr="005B5F6D">
              <w:rPr>
                <w:rFonts w:ascii="Times New Roman" w:hAnsi="Times New Roman"/>
                <w:color w:val="000000"/>
                <w:sz w:val="18"/>
                <w:szCs w:val="18"/>
              </w:rPr>
              <w:t>500</w:t>
            </w:r>
            <w:r w:rsidRPr="005B5F6D">
              <w:rPr>
                <w:rFonts w:ascii="Times New Roman" w:hAnsi="Times New Roman"/>
                <w:color w:val="000000"/>
                <w:sz w:val="18"/>
                <w:szCs w:val="18"/>
              </w:rPr>
              <w:t>米半径范围内的公园覆盖率（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6439CEF3"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≥80</w:t>
            </w:r>
          </w:p>
        </w:tc>
        <w:tc>
          <w:tcPr>
            <w:tcW w:w="1080" w:type="dxa"/>
            <w:vAlign w:val="center"/>
          </w:tcPr>
          <w:p w14:paraId="18C51BEB"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5CCCBF77"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4F2D0C70" w14:textId="77777777" w:rsidTr="005B5F6D">
        <w:trPr>
          <w:trHeight w:val="336"/>
        </w:trPr>
        <w:tc>
          <w:tcPr>
            <w:tcW w:w="1080" w:type="dxa"/>
            <w:vMerge w:val="restart"/>
            <w:vAlign w:val="center"/>
          </w:tcPr>
          <w:p w14:paraId="0C4FB30E"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业态</w:t>
            </w:r>
          </w:p>
        </w:tc>
        <w:tc>
          <w:tcPr>
            <w:tcW w:w="5400" w:type="dxa"/>
            <w:vAlign w:val="center"/>
          </w:tcPr>
          <w:p w14:paraId="6894E40B"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社区商业和综合服务设施面积占社区总建筑面积的比例（</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32FD7089"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12</w:t>
            </w:r>
          </w:p>
        </w:tc>
        <w:tc>
          <w:tcPr>
            <w:tcW w:w="1080" w:type="dxa"/>
            <w:vAlign w:val="center"/>
          </w:tcPr>
          <w:p w14:paraId="3FD2F8E2"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约束性</w:t>
            </w:r>
          </w:p>
        </w:tc>
        <w:tc>
          <w:tcPr>
            <w:tcW w:w="1080" w:type="dxa"/>
            <w:vAlign w:val="center"/>
          </w:tcPr>
          <w:p w14:paraId="1BA2CA06"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44203E40" w14:textId="77777777" w:rsidTr="005B5F6D">
        <w:trPr>
          <w:trHeight w:val="336"/>
        </w:trPr>
        <w:tc>
          <w:tcPr>
            <w:tcW w:w="1080" w:type="dxa"/>
            <w:vMerge/>
            <w:vAlign w:val="center"/>
          </w:tcPr>
          <w:p w14:paraId="0E4310BD"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3DE5D34A"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具有就业服务平台的社区比例（</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34E7934D"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100</w:t>
            </w:r>
          </w:p>
        </w:tc>
        <w:tc>
          <w:tcPr>
            <w:tcW w:w="1080" w:type="dxa"/>
            <w:vAlign w:val="center"/>
          </w:tcPr>
          <w:p w14:paraId="330ACD83"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407ADA94"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425421F5" w14:textId="77777777" w:rsidTr="005B5F6D">
        <w:trPr>
          <w:trHeight w:val="336"/>
        </w:trPr>
        <w:tc>
          <w:tcPr>
            <w:tcW w:w="1080" w:type="dxa"/>
            <w:vMerge/>
            <w:vAlign w:val="center"/>
          </w:tcPr>
          <w:p w14:paraId="2400F8F7"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545BDBCB"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社区基金的组建率（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630BE032"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≥30</w:t>
            </w:r>
          </w:p>
        </w:tc>
        <w:tc>
          <w:tcPr>
            <w:tcW w:w="1080" w:type="dxa"/>
            <w:vAlign w:val="center"/>
          </w:tcPr>
          <w:p w14:paraId="59A4DC1E"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249D51B4"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4027DF7A" w14:textId="77777777" w:rsidTr="005B5F6D">
        <w:trPr>
          <w:trHeight w:val="336"/>
        </w:trPr>
        <w:tc>
          <w:tcPr>
            <w:tcW w:w="1080" w:type="dxa"/>
            <w:vMerge/>
            <w:vAlign w:val="center"/>
          </w:tcPr>
          <w:p w14:paraId="30A79D5B"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294C6E5F"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社会公众对社区发展（硬件、空间等）满意度（</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743302D5"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≥85</w:t>
            </w:r>
          </w:p>
        </w:tc>
        <w:tc>
          <w:tcPr>
            <w:tcW w:w="1080" w:type="dxa"/>
            <w:vAlign w:val="center"/>
          </w:tcPr>
          <w:p w14:paraId="64009ACA"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063F2981"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10C4092C" w14:textId="77777777" w:rsidTr="005B5F6D">
        <w:trPr>
          <w:trHeight w:val="336"/>
        </w:trPr>
        <w:tc>
          <w:tcPr>
            <w:tcW w:w="1080" w:type="dxa"/>
            <w:vMerge/>
            <w:vAlign w:val="center"/>
          </w:tcPr>
          <w:p w14:paraId="54B52C34"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456D9B69"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综合文化服务中心覆盖率（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18EFE0CA"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90</w:t>
            </w:r>
          </w:p>
        </w:tc>
        <w:tc>
          <w:tcPr>
            <w:tcW w:w="1080" w:type="dxa"/>
            <w:vAlign w:val="center"/>
          </w:tcPr>
          <w:p w14:paraId="458F7076"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2ADA38DC"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22F6091A" w14:textId="77777777" w:rsidTr="005B5F6D">
        <w:trPr>
          <w:trHeight w:val="336"/>
        </w:trPr>
        <w:tc>
          <w:tcPr>
            <w:tcW w:w="1080" w:type="dxa"/>
            <w:vMerge/>
            <w:vAlign w:val="center"/>
          </w:tcPr>
          <w:p w14:paraId="4BA087C5"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68855F8A"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社区综合体覆盖城市社区比例（</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5FAF1C34"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≥60</w:t>
            </w:r>
          </w:p>
        </w:tc>
        <w:tc>
          <w:tcPr>
            <w:tcW w:w="1080" w:type="dxa"/>
            <w:vAlign w:val="center"/>
          </w:tcPr>
          <w:p w14:paraId="5BD9E662"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5168223B"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310CFD58" w14:textId="77777777" w:rsidTr="005B5F6D">
        <w:trPr>
          <w:trHeight w:val="336"/>
        </w:trPr>
        <w:tc>
          <w:tcPr>
            <w:tcW w:w="1080" w:type="dxa"/>
            <w:vMerge w:val="restart"/>
            <w:vAlign w:val="center"/>
          </w:tcPr>
          <w:p w14:paraId="53C7F1DA"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智慧</w:t>
            </w:r>
          </w:p>
        </w:tc>
        <w:tc>
          <w:tcPr>
            <w:tcW w:w="5400" w:type="dxa"/>
            <w:vAlign w:val="center"/>
          </w:tcPr>
          <w:p w14:paraId="38961602"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一体化在线政务服务平台建设率（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70D70E16"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≥80</w:t>
            </w:r>
          </w:p>
        </w:tc>
        <w:tc>
          <w:tcPr>
            <w:tcW w:w="1080" w:type="dxa"/>
            <w:vAlign w:val="center"/>
          </w:tcPr>
          <w:p w14:paraId="05444726"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276A38AD"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5D6802B3" w14:textId="77777777" w:rsidTr="005B5F6D">
        <w:trPr>
          <w:trHeight w:val="336"/>
        </w:trPr>
        <w:tc>
          <w:tcPr>
            <w:tcW w:w="1080" w:type="dxa"/>
            <w:vMerge/>
            <w:vAlign w:val="center"/>
          </w:tcPr>
          <w:p w14:paraId="5A5FF128"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2DB383B8"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政务服务</w:t>
            </w:r>
            <w:r w:rsidRPr="005B5F6D">
              <w:rPr>
                <w:rFonts w:ascii="Times New Roman" w:hAnsi="Times New Roman"/>
                <w:color w:val="000000"/>
                <w:sz w:val="18"/>
                <w:szCs w:val="18"/>
              </w:rPr>
              <w:t>“</w:t>
            </w:r>
            <w:r w:rsidRPr="005B5F6D">
              <w:rPr>
                <w:rFonts w:ascii="Times New Roman" w:hAnsi="Times New Roman"/>
                <w:color w:val="000000"/>
                <w:sz w:val="18"/>
                <w:szCs w:val="18"/>
              </w:rPr>
              <w:t>一网通办</w:t>
            </w:r>
            <w:r w:rsidRPr="005B5F6D">
              <w:rPr>
                <w:rFonts w:ascii="Times New Roman" w:hAnsi="Times New Roman"/>
                <w:color w:val="000000"/>
                <w:sz w:val="18"/>
                <w:szCs w:val="18"/>
              </w:rPr>
              <w:t>”</w:t>
            </w:r>
            <w:r w:rsidRPr="005B5F6D">
              <w:rPr>
                <w:rFonts w:ascii="Times New Roman" w:hAnsi="Times New Roman"/>
                <w:color w:val="000000"/>
                <w:sz w:val="18"/>
                <w:szCs w:val="18"/>
              </w:rPr>
              <w:t>综合实现率（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5AD0EACE"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≥80</w:t>
            </w:r>
          </w:p>
        </w:tc>
        <w:tc>
          <w:tcPr>
            <w:tcW w:w="1080" w:type="dxa"/>
            <w:vAlign w:val="center"/>
          </w:tcPr>
          <w:p w14:paraId="1BCCCD2F"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1AE85094"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76F3E595" w14:textId="77777777" w:rsidTr="005B5F6D">
        <w:trPr>
          <w:trHeight w:val="336"/>
        </w:trPr>
        <w:tc>
          <w:tcPr>
            <w:tcW w:w="1080" w:type="dxa"/>
            <w:vMerge/>
            <w:vAlign w:val="center"/>
          </w:tcPr>
          <w:p w14:paraId="7A3C6B0F"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7AE41D13"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住宅小区达到省级智慧安防小区建设标准比例（</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1C3C6135"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≥80</w:t>
            </w:r>
          </w:p>
        </w:tc>
        <w:tc>
          <w:tcPr>
            <w:tcW w:w="1080" w:type="dxa"/>
            <w:vAlign w:val="center"/>
          </w:tcPr>
          <w:p w14:paraId="5369F91B"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23866C42"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0A5573D4" w14:textId="77777777" w:rsidTr="005B5F6D">
        <w:trPr>
          <w:trHeight w:val="336"/>
        </w:trPr>
        <w:tc>
          <w:tcPr>
            <w:tcW w:w="1080" w:type="dxa"/>
            <w:vMerge/>
            <w:vAlign w:val="center"/>
          </w:tcPr>
          <w:p w14:paraId="05BB7B85"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047E507F"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社区</w:t>
            </w:r>
            <w:r w:rsidRPr="005B5F6D">
              <w:rPr>
                <w:rFonts w:ascii="Times New Roman" w:hAnsi="Times New Roman"/>
                <w:color w:val="000000"/>
                <w:sz w:val="18"/>
                <w:szCs w:val="18"/>
              </w:rPr>
              <w:t>“</w:t>
            </w:r>
            <w:r w:rsidRPr="005B5F6D">
              <w:rPr>
                <w:rFonts w:ascii="Times New Roman" w:hAnsi="Times New Roman"/>
                <w:color w:val="000000"/>
                <w:sz w:val="18"/>
                <w:szCs w:val="18"/>
              </w:rPr>
              <w:t>雪亮工程</w:t>
            </w:r>
            <w:r w:rsidRPr="005B5F6D">
              <w:rPr>
                <w:rFonts w:ascii="Times New Roman" w:hAnsi="Times New Roman"/>
                <w:color w:val="000000"/>
                <w:sz w:val="18"/>
                <w:szCs w:val="18"/>
              </w:rPr>
              <w:t>”</w:t>
            </w:r>
            <w:r w:rsidRPr="005B5F6D">
              <w:rPr>
                <w:rFonts w:ascii="Times New Roman" w:hAnsi="Times New Roman"/>
                <w:color w:val="000000"/>
                <w:sz w:val="18"/>
                <w:szCs w:val="18"/>
              </w:rPr>
              <w:t>覆盖率（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7CE2CDEF"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100</w:t>
            </w:r>
          </w:p>
        </w:tc>
        <w:tc>
          <w:tcPr>
            <w:tcW w:w="1080" w:type="dxa"/>
            <w:vAlign w:val="center"/>
          </w:tcPr>
          <w:p w14:paraId="240333B3"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29E326D5"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5EED67FF" w14:textId="77777777" w:rsidTr="005B5F6D">
        <w:trPr>
          <w:trHeight w:val="336"/>
        </w:trPr>
        <w:tc>
          <w:tcPr>
            <w:tcW w:w="1080" w:type="dxa"/>
            <w:vMerge/>
            <w:vAlign w:val="center"/>
          </w:tcPr>
          <w:p w14:paraId="0B493335"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123E2BA8"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民生诉求响应完成率（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761D96BB"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≥95</w:t>
            </w:r>
          </w:p>
        </w:tc>
        <w:tc>
          <w:tcPr>
            <w:tcW w:w="1080" w:type="dxa"/>
            <w:vAlign w:val="center"/>
          </w:tcPr>
          <w:p w14:paraId="682C87CE"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0F62DE0E"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587A6287" w14:textId="77777777" w:rsidTr="005B5F6D">
        <w:trPr>
          <w:trHeight w:val="336"/>
        </w:trPr>
        <w:tc>
          <w:tcPr>
            <w:tcW w:w="1080" w:type="dxa"/>
            <w:vMerge/>
            <w:vAlign w:val="center"/>
          </w:tcPr>
          <w:p w14:paraId="54BB8238"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387F7D5B"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社区消防、安保、灾害等预警预防体系和应急机制建设率（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0DF8CBD3"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100</w:t>
            </w:r>
          </w:p>
        </w:tc>
        <w:tc>
          <w:tcPr>
            <w:tcW w:w="1080" w:type="dxa"/>
            <w:vAlign w:val="center"/>
          </w:tcPr>
          <w:p w14:paraId="1CB0273C"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2CDDEA83"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0DBF308B" w14:textId="77777777" w:rsidTr="005B5F6D">
        <w:trPr>
          <w:trHeight w:val="336"/>
        </w:trPr>
        <w:tc>
          <w:tcPr>
            <w:tcW w:w="1080" w:type="dxa"/>
            <w:vMerge w:val="restart"/>
            <w:vAlign w:val="center"/>
          </w:tcPr>
          <w:p w14:paraId="6A22C50F"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共治</w:t>
            </w:r>
          </w:p>
        </w:tc>
        <w:tc>
          <w:tcPr>
            <w:tcW w:w="5400" w:type="dxa"/>
            <w:vAlign w:val="center"/>
          </w:tcPr>
          <w:p w14:paraId="52EEBF7E"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每万名城镇常住人口拥有社区工作者（人）</w:t>
            </w:r>
          </w:p>
        </w:tc>
        <w:tc>
          <w:tcPr>
            <w:tcW w:w="1260" w:type="dxa"/>
            <w:vAlign w:val="center"/>
          </w:tcPr>
          <w:p w14:paraId="2C3525F5"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18</w:t>
            </w:r>
          </w:p>
        </w:tc>
        <w:tc>
          <w:tcPr>
            <w:tcW w:w="1080" w:type="dxa"/>
            <w:vAlign w:val="center"/>
          </w:tcPr>
          <w:p w14:paraId="0DFDF209"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623B086D"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43DEC5ED" w14:textId="77777777" w:rsidTr="005B5F6D">
        <w:trPr>
          <w:trHeight w:val="336"/>
        </w:trPr>
        <w:tc>
          <w:tcPr>
            <w:tcW w:w="1080" w:type="dxa"/>
            <w:vMerge/>
            <w:vAlign w:val="center"/>
          </w:tcPr>
          <w:p w14:paraId="7AB5EA08"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2FE0352F"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社区专职工作者中取得社会工作职业资格水平证书人数比例（</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476524B7"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15</w:t>
            </w:r>
          </w:p>
        </w:tc>
        <w:tc>
          <w:tcPr>
            <w:tcW w:w="1080" w:type="dxa"/>
            <w:vAlign w:val="center"/>
          </w:tcPr>
          <w:p w14:paraId="0E3E55C1"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086C755A"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05D60055" w14:textId="77777777" w:rsidTr="005B5F6D">
        <w:trPr>
          <w:trHeight w:val="336"/>
        </w:trPr>
        <w:tc>
          <w:tcPr>
            <w:tcW w:w="1080" w:type="dxa"/>
            <w:vMerge/>
            <w:vAlign w:val="center"/>
          </w:tcPr>
          <w:p w14:paraId="545BF2D5"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667FB822"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全区每年新增登记和备案功能服务型社区社会组织同比增长率（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4CC7D9A0"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w:t>
            </w:r>
          </w:p>
        </w:tc>
        <w:tc>
          <w:tcPr>
            <w:tcW w:w="1080" w:type="dxa"/>
            <w:vAlign w:val="center"/>
          </w:tcPr>
          <w:p w14:paraId="29F4B0D5"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2B30AFD3"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6472B089" w14:textId="77777777" w:rsidTr="005B5F6D">
        <w:trPr>
          <w:trHeight w:val="336"/>
        </w:trPr>
        <w:tc>
          <w:tcPr>
            <w:tcW w:w="1080" w:type="dxa"/>
            <w:vMerge/>
            <w:vAlign w:val="center"/>
          </w:tcPr>
          <w:p w14:paraId="7DD765B6"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4B65F718"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全区每年新增登记和备案兴趣爱好志愿服务型社区社会组织同比增长率（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21C536DA"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w:t>
            </w:r>
          </w:p>
        </w:tc>
        <w:tc>
          <w:tcPr>
            <w:tcW w:w="1080" w:type="dxa"/>
            <w:vAlign w:val="center"/>
          </w:tcPr>
          <w:p w14:paraId="25D60896"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1F142F99"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144E8675" w14:textId="77777777" w:rsidTr="005B5F6D">
        <w:trPr>
          <w:trHeight w:val="336"/>
        </w:trPr>
        <w:tc>
          <w:tcPr>
            <w:tcW w:w="1080" w:type="dxa"/>
            <w:vMerge/>
            <w:vAlign w:val="center"/>
          </w:tcPr>
          <w:p w14:paraId="1EEB5B34"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46168ECA"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社会组织孵化园（基地）覆盖率（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6A70BE5C"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≥80</w:t>
            </w:r>
          </w:p>
        </w:tc>
        <w:tc>
          <w:tcPr>
            <w:tcW w:w="1080" w:type="dxa"/>
            <w:vAlign w:val="center"/>
          </w:tcPr>
          <w:p w14:paraId="0243CD9B"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7E336249"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29BB9AB1" w14:textId="77777777" w:rsidTr="005B5F6D">
        <w:trPr>
          <w:trHeight w:val="336"/>
        </w:trPr>
        <w:tc>
          <w:tcPr>
            <w:tcW w:w="1080" w:type="dxa"/>
            <w:vMerge/>
            <w:vAlign w:val="center"/>
          </w:tcPr>
          <w:p w14:paraId="2388EB55"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56B8D187"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社会工作服务机构数总量（个）</w:t>
            </w:r>
          </w:p>
        </w:tc>
        <w:tc>
          <w:tcPr>
            <w:tcW w:w="1260" w:type="dxa"/>
            <w:vAlign w:val="center"/>
          </w:tcPr>
          <w:p w14:paraId="0B4B03FC"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≥4</w:t>
            </w:r>
          </w:p>
        </w:tc>
        <w:tc>
          <w:tcPr>
            <w:tcW w:w="1080" w:type="dxa"/>
            <w:vAlign w:val="center"/>
          </w:tcPr>
          <w:p w14:paraId="57E48927"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756E7641"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6563373A" w14:textId="77777777" w:rsidTr="005B5F6D">
        <w:trPr>
          <w:trHeight w:val="336"/>
        </w:trPr>
        <w:tc>
          <w:tcPr>
            <w:tcW w:w="1080" w:type="dxa"/>
            <w:vMerge/>
            <w:vAlign w:val="center"/>
          </w:tcPr>
          <w:p w14:paraId="1D2A548A"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7BF9FC9C"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镇（街道）社会工作服务覆盖率（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405CDBA4"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100</w:t>
            </w:r>
          </w:p>
        </w:tc>
        <w:tc>
          <w:tcPr>
            <w:tcW w:w="1080" w:type="dxa"/>
            <w:vAlign w:val="center"/>
          </w:tcPr>
          <w:p w14:paraId="4562FCDE"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018BA5C5"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54C6E5F6" w14:textId="77777777" w:rsidTr="005B5F6D">
        <w:trPr>
          <w:trHeight w:val="336"/>
        </w:trPr>
        <w:tc>
          <w:tcPr>
            <w:tcW w:w="1080" w:type="dxa"/>
            <w:vMerge/>
            <w:vAlign w:val="center"/>
          </w:tcPr>
          <w:p w14:paraId="2A4AA2E9"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0C5886BC"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志愿者服务站点在社区综合服务设施中的覆盖率（</w:t>
            </w:r>
            <w:r w:rsidRPr="005B5F6D">
              <w:rPr>
                <w:rFonts w:ascii="Times New Roman" w:hAnsi="Times New Roman"/>
                <w:color w:val="000000"/>
                <w:sz w:val="18"/>
                <w:szCs w:val="18"/>
              </w:rPr>
              <w:t>%</w:t>
            </w:r>
            <w:r w:rsidRPr="005B5F6D">
              <w:rPr>
                <w:rFonts w:ascii="Times New Roman" w:hAnsi="Times New Roman"/>
                <w:color w:val="000000"/>
                <w:sz w:val="18"/>
                <w:szCs w:val="18"/>
              </w:rPr>
              <w:t>）</w:t>
            </w:r>
          </w:p>
        </w:tc>
        <w:tc>
          <w:tcPr>
            <w:tcW w:w="1260" w:type="dxa"/>
            <w:vAlign w:val="center"/>
          </w:tcPr>
          <w:p w14:paraId="3B3595B7"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100</w:t>
            </w:r>
          </w:p>
        </w:tc>
        <w:tc>
          <w:tcPr>
            <w:tcW w:w="1080" w:type="dxa"/>
            <w:vAlign w:val="center"/>
          </w:tcPr>
          <w:p w14:paraId="11BD68E5"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2A6DE3BF" w14:textId="77777777" w:rsidR="003A01DB" w:rsidRPr="005B5F6D" w:rsidRDefault="003A01DB" w:rsidP="00CA5D03">
            <w:pPr>
              <w:pStyle w:val="21"/>
              <w:spacing w:line="400" w:lineRule="exact"/>
              <w:rPr>
                <w:rFonts w:ascii="Times New Roman" w:hAnsi="Times New Roman"/>
                <w:color w:val="000000"/>
                <w:sz w:val="18"/>
                <w:szCs w:val="18"/>
              </w:rPr>
            </w:pPr>
          </w:p>
        </w:tc>
      </w:tr>
      <w:tr w:rsidR="003A01DB" w:rsidRPr="005B5F6D" w14:paraId="3E76C8C0" w14:textId="77777777" w:rsidTr="005B5F6D">
        <w:trPr>
          <w:trHeight w:val="336"/>
        </w:trPr>
        <w:tc>
          <w:tcPr>
            <w:tcW w:w="1080" w:type="dxa"/>
            <w:vMerge/>
            <w:vAlign w:val="center"/>
          </w:tcPr>
          <w:p w14:paraId="6D70E475" w14:textId="77777777" w:rsidR="003A01DB" w:rsidRPr="005B5F6D" w:rsidRDefault="003A01DB" w:rsidP="00CA5D03">
            <w:pPr>
              <w:pStyle w:val="21"/>
              <w:spacing w:line="400" w:lineRule="exact"/>
              <w:jc w:val="center"/>
              <w:rPr>
                <w:rFonts w:ascii="Times New Roman" w:hAnsi="Times New Roman"/>
                <w:color w:val="000000"/>
                <w:sz w:val="18"/>
                <w:szCs w:val="18"/>
              </w:rPr>
            </w:pPr>
          </w:p>
        </w:tc>
        <w:tc>
          <w:tcPr>
            <w:tcW w:w="5400" w:type="dxa"/>
            <w:vAlign w:val="center"/>
          </w:tcPr>
          <w:p w14:paraId="1EF95165" w14:textId="77777777" w:rsidR="003A01DB" w:rsidRPr="005B5F6D" w:rsidRDefault="003A01DB" w:rsidP="00CA5D03">
            <w:pPr>
              <w:pStyle w:val="21"/>
              <w:spacing w:line="400" w:lineRule="exact"/>
              <w:rPr>
                <w:rFonts w:ascii="Times New Roman" w:hAnsi="Times New Roman"/>
                <w:color w:val="000000"/>
                <w:sz w:val="18"/>
                <w:szCs w:val="18"/>
              </w:rPr>
            </w:pPr>
            <w:r w:rsidRPr="005B5F6D">
              <w:rPr>
                <w:rFonts w:ascii="Times New Roman" w:hAnsi="Times New Roman"/>
                <w:color w:val="000000"/>
                <w:sz w:val="18"/>
                <w:szCs w:val="18"/>
              </w:rPr>
              <w:t>成立区级社区治理发展创新支持平台（个）</w:t>
            </w:r>
          </w:p>
        </w:tc>
        <w:tc>
          <w:tcPr>
            <w:tcW w:w="1260" w:type="dxa"/>
            <w:vAlign w:val="center"/>
          </w:tcPr>
          <w:p w14:paraId="5DB450F4"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1</w:t>
            </w:r>
          </w:p>
        </w:tc>
        <w:tc>
          <w:tcPr>
            <w:tcW w:w="1080" w:type="dxa"/>
            <w:vAlign w:val="center"/>
          </w:tcPr>
          <w:p w14:paraId="6992827F" w14:textId="77777777" w:rsidR="003A01DB" w:rsidRPr="005B5F6D" w:rsidRDefault="003A01DB" w:rsidP="00CA5D03">
            <w:pPr>
              <w:pStyle w:val="21"/>
              <w:spacing w:line="400" w:lineRule="exact"/>
              <w:jc w:val="center"/>
              <w:rPr>
                <w:rFonts w:ascii="Times New Roman" w:hAnsi="Times New Roman"/>
                <w:color w:val="000000"/>
                <w:sz w:val="18"/>
                <w:szCs w:val="18"/>
              </w:rPr>
            </w:pPr>
            <w:r w:rsidRPr="005B5F6D">
              <w:rPr>
                <w:rFonts w:ascii="Times New Roman" w:hAnsi="Times New Roman"/>
                <w:color w:val="000000"/>
                <w:sz w:val="18"/>
                <w:szCs w:val="18"/>
              </w:rPr>
              <w:t>预期性</w:t>
            </w:r>
          </w:p>
        </w:tc>
        <w:tc>
          <w:tcPr>
            <w:tcW w:w="1080" w:type="dxa"/>
            <w:vAlign w:val="center"/>
          </w:tcPr>
          <w:p w14:paraId="34A52485" w14:textId="77777777" w:rsidR="003A01DB" w:rsidRPr="005B5F6D" w:rsidRDefault="003A01DB" w:rsidP="00CA5D03">
            <w:pPr>
              <w:pStyle w:val="21"/>
              <w:spacing w:line="400" w:lineRule="exact"/>
              <w:rPr>
                <w:rFonts w:ascii="Times New Roman" w:hAnsi="Times New Roman"/>
                <w:color w:val="000000"/>
                <w:sz w:val="18"/>
                <w:szCs w:val="18"/>
              </w:rPr>
            </w:pPr>
          </w:p>
        </w:tc>
      </w:tr>
    </w:tbl>
    <w:p w14:paraId="6E003DB2" w14:textId="77777777" w:rsidR="003A01DB" w:rsidRDefault="003A01DB" w:rsidP="00CA5D03">
      <w:pPr>
        <w:pStyle w:val="21"/>
        <w:spacing w:line="590" w:lineRule="exact"/>
        <w:rPr>
          <w:rFonts w:ascii="Times New Roman" w:hAnsi="Times New Roman"/>
          <w:color w:val="000000"/>
        </w:rPr>
      </w:pPr>
    </w:p>
    <w:p w14:paraId="1A4BCE9A" w14:textId="77777777" w:rsidR="003A01DB" w:rsidRPr="00C223F9" w:rsidRDefault="003A01DB" w:rsidP="00C223F9">
      <w:bookmarkStart w:id="2" w:name="_Toc59176601"/>
      <w:bookmarkStart w:id="3" w:name="_Toc31299"/>
    </w:p>
    <w:p w14:paraId="6941A403" w14:textId="77777777" w:rsidR="003A01DB" w:rsidRPr="00C223F9" w:rsidRDefault="003A01DB" w:rsidP="00C223F9">
      <w:pPr>
        <w:pStyle w:val="1"/>
        <w:jc w:val="center"/>
        <w:rPr>
          <w:rFonts w:ascii="仿宋_GB2312" w:eastAsia="仿宋_GB2312" w:hint="eastAsia"/>
          <w:sz w:val="36"/>
          <w:szCs w:val="36"/>
        </w:rPr>
      </w:pPr>
      <w:r w:rsidRPr="00C223F9">
        <w:rPr>
          <w:rFonts w:ascii="仿宋_GB2312" w:eastAsia="仿宋_GB2312" w:hint="eastAsia"/>
          <w:sz w:val="32"/>
          <w:szCs w:val="32"/>
        </w:rPr>
        <w:br w:type="page"/>
      </w:r>
      <w:r w:rsidRPr="00C223F9">
        <w:rPr>
          <w:rFonts w:ascii="仿宋_GB2312" w:eastAsia="仿宋_GB2312" w:hint="eastAsia"/>
          <w:sz w:val="36"/>
          <w:szCs w:val="36"/>
        </w:rPr>
        <w:lastRenderedPageBreak/>
        <w:t>第三章  重点任务</w:t>
      </w:r>
      <w:bookmarkEnd w:id="2"/>
      <w:bookmarkEnd w:id="3"/>
    </w:p>
    <w:p w14:paraId="163DFE87" w14:textId="77777777" w:rsidR="003A01DB" w:rsidRDefault="003A01DB" w:rsidP="00CA5D03">
      <w:pPr>
        <w:pStyle w:val="af"/>
        <w:widowControl w:val="0"/>
        <w:spacing w:line="590" w:lineRule="exact"/>
        <w:ind w:firstLineChars="200" w:firstLine="640"/>
        <w:jc w:val="both"/>
        <w:rPr>
          <w:rFonts w:ascii="Times New Roman" w:eastAsia="黑体" w:hAnsi="Times New Roman"/>
          <w:bCs/>
          <w:sz w:val="32"/>
          <w:szCs w:val="32"/>
        </w:rPr>
      </w:pPr>
    </w:p>
    <w:p w14:paraId="635A490C"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围绕建设高品质和谐宜居生活社区总体战略，将城乡社区作为推动高质量发展、创造高品质生活、实现高效能治理的基本单元，在党建引领下，按照“一社一品”特色化差异化打造思路，结合不同社区资源禀赋、人口结构、文化基底和比较优势，因地制宜分类营造不同主题场景的品质社区，系统构建开放包容、百花齐放、可持续发展的高品质和谐宜居生活社区建设体系。</w:t>
      </w:r>
    </w:p>
    <w:p w14:paraId="19B1408E" w14:textId="77777777" w:rsidR="003A01DB" w:rsidRPr="009C21FD" w:rsidRDefault="003A01DB" w:rsidP="009C21FD">
      <w:pPr>
        <w:adjustRightInd w:val="0"/>
        <w:snapToGrid w:val="0"/>
        <w:spacing w:beforeLines="50" w:before="156" w:afterLines="50" w:after="156" w:line="590" w:lineRule="exact"/>
        <w:jc w:val="center"/>
        <w:rPr>
          <w:rFonts w:ascii="楷体_GB2312" w:eastAsia="楷体_GB2312" w:hAnsi="Times New Roman" w:hint="eastAsia"/>
          <w:b/>
          <w:color w:val="000000"/>
          <w:sz w:val="32"/>
          <w:szCs w:val="32"/>
        </w:rPr>
      </w:pPr>
      <w:r w:rsidRPr="009C21FD">
        <w:rPr>
          <w:rFonts w:ascii="楷体_GB2312" w:eastAsia="楷体_GB2312" w:hAnsi="Times New Roman" w:hint="eastAsia"/>
          <w:b/>
          <w:color w:val="000000"/>
          <w:sz w:val="32"/>
          <w:szCs w:val="32"/>
        </w:rPr>
        <w:t>第一节 推进基层治理党建全覆盖建设</w:t>
      </w:r>
    </w:p>
    <w:p w14:paraId="40065057" w14:textId="77777777" w:rsidR="003A01DB" w:rsidRPr="00456FCE" w:rsidRDefault="003A01DB" w:rsidP="009C21FD">
      <w:pPr>
        <w:adjustRightInd w:val="0"/>
        <w:snapToGrid w:val="0"/>
        <w:spacing w:line="590" w:lineRule="exact"/>
        <w:ind w:firstLineChars="200" w:firstLine="640"/>
        <w:rPr>
          <w:rFonts w:ascii="Times New Roman" w:eastAsia="仿宋_GB2312" w:hAnsi="Times New Roman"/>
          <w:color w:val="000000"/>
          <w:sz w:val="32"/>
          <w:szCs w:val="32"/>
        </w:rPr>
      </w:pPr>
      <w:r w:rsidRPr="005B5F6D">
        <w:rPr>
          <w:rFonts w:ascii="Times New Roman" w:eastAsia="楷体_GB2312" w:hAnsi="Times New Roman"/>
          <w:b/>
          <w:color w:val="000000"/>
          <w:sz w:val="32"/>
          <w:szCs w:val="32"/>
        </w:rPr>
        <w:t>（一）健全党组织领导下的基层治理党建机制。</w:t>
      </w:r>
      <w:r w:rsidRPr="00456FCE">
        <w:rPr>
          <w:rFonts w:ascii="Times New Roman" w:eastAsia="仿宋_GB2312" w:hAnsi="Times New Roman"/>
          <w:color w:val="000000"/>
          <w:sz w:val="32"/>
          <w:szCs w:val="32"/>
        </w:rPr>
        <w:t>构建区域化党建组织体系，全面推进党建向各方延伸，进一步加强万达广场、文庙广场、希望城等商圈党建工作，构筑上下贯通、左右联动的党建工作格局；建立中小微企业和社会组织党建工作社区兜底管理制度。支持采用以使用权折算出资的方式发展社区经济，将社区综合服务设施建设纳入国民经济和社会发展规划、国土空间规划，推进达标建设；新建住宅小区配套公共服务设施与住宅主体工程同步规划、同步建设、同步验收、同步交付使用，老旧小区通过改造、购置、租赁、整合、联建共享</w:t>
      </w:r>
      <w:r w:rsidRPr="00456FCE">
        <w:rPr>
          <w:rFonts w:ascii="Times New Roman" w:eastAsia="仿宋_GB2312" w:hAnsi="Times New Roman"/>
          <w:color w:val="000000"/>
          <w:sz w:val="32"/>
          <w:szCs w:val="32"/>
        </w:rPr>
        <w:lastRenderedPageBreak/>
        <w:t>等方式逐步实现公共服务设施全覆盖；完善社区评价驻在单位参与社区党建工作制度，推动党的建设有关要求写入社会组织章程，推动党组织负责人通过法定程序成为社会组织负责人；逐步扩大政府购买社会组织服务的范围和规模，支持党组织健全、公益性质明确、管理规范有效的社会组织同等条件下优先承接公共服务项目。</w:t>
      </w:r>
    </w:p>
    <w:p w14:paraId="4D4501C1"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（二）健全党组织领导下的基层治理运行机制。</w:t>
      </w:r>
      <w:r w:rsidRPr="00456FCE">
        <w:rPr>
          <w:rFonts w:ascii="Times New Roman" w:eastAsia="仿宋_GB2312" w:hAnsi="Times New Roman"/>
          <w:color w:val="000000"/>
          <w:sz w:val="32"/>
          <w:szCs w:val="32"/>
        </w:rPr>
        <w:t>构建街道党组织、社区党组织、网格党组织、小区党组织四级架构，统筹指导小区党建和治理工作，加强社区和居民小区党组织对业委会、物业企业、社会组织、驻区单位等的指导监督，建立健全多方联席会议协调机制，推动</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双向进入、交叉任职</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，把党组织的领导全面植入小区业主管理规约、业主大会（业委会）议事规则，依托物业企业、社会组织、驻区单位等建立楼宇党组织，依托街道、市场监管部门、协会商会、专业市场等建立商圈市场党组织。</w:t>
      </w:r>
    </w:p>
    <w:p w14:paraId="6B613562"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（三）健全党组织领导下的基层治理联动机制。</w:t>
      </w:r>
      <w:r w:rsidRPr="00456FCE">
        <w:rPr>
          <w:rFonts w:ascii="Times New Roman" w:eastAsia="仿宋_GB2312" w:hAnsi="Times New Roman"/>
          <w:color w:val="000000"/>
          <w:sz w:val="32"/>
          <w:szCs w:val="32"/>
        </w:rPr>
        <w:t>在街道社区成立区域党建联盟，建立兼职委员制度，推行</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三张清单</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和双向认领机制。分领域制定机关企事业单位、</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两新</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组织及其下属单位融入属地社区区域化党建组织体系的工作制度，建立社区评价驻区单位参与社区党建工作制度，建立社区党组织要事决策机制，全面推行社区党组织书记、居民委员会主任</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一肩</w:t>
      </w:r>
      <w:r w:rsidRPr="00456FCE">
        <w:rPr>
          <w:rFonts w:ascii="Times New Roman" w:eastAsia="仿宋_GB2312" w:hAnsi="Times New Roman"/>
          <w:color w:val="000000"/>
          <w:sz w:val="32"/>
          <w:szCs w:val="32"/>
        </w:rPr>
        <w:lastRenderedPageBreak/>
        <w:t>挑</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，落实社区党组织书记区级备案制度。</w:t>
      </w:r>
    </w:p>
    <w:p w14:paraId="0B49DC80"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（四）健全党组织领导下的基层治理共享机制。</w:t>
      </w:r>
      <w:r w:rsidRPr="00456FCE">
        <w:rPr>
          <w:rFonts w:ascii="Times New Roman" w:eastAsia="仿宋_GB2312" w:hAnsi="Times New Roman"/>
          <w:color w:val="000000"/>
          <w:sz w:val="32"/>
          <w:szCs w:val="32"/>
        </w:rPr>
        <w:t>推动党组织和群团组织资源共享、阵地共建、活动共办，坚持党建带群建，分领域指导制定基层群团组织参与社区发展治理的措施办法，吸纳人大、政协、统一战线工作相关机构参与基层治理，增强联系服务群众合力。</w:t>
      </w:r>
    </w:p>
    <w:p w14:paraId="2B9CE38F"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（五）健全党组织领导下的“两新”组织促基层治理机制。</w:t>
      </w:r>
      <w:r w:rsidRPr="00456FCE">
        <w:rPr>
          <w:rFonts w:ascii="Times New Roman" w:eastAsia="仿宋_GB2312" w:hAnsi="Times New Roman"/>
          <w:color w:val="000000"/>
          <w:sz w:val="32"/>
          <w:szCs w:val="32"/>
        </w:rPr>
        <w:t>孵化培育一批居家服务、教育、养老、文化等不同类型的社会组织，强化政府投入撬动、社会组织创新方式发展符合居民需求的服务模式；培育孵化枢纽型社会组织，支持党组织健全的社会组织、社会企业同等条件下优先承接公共服务项目，加强社会企业和物业服务企业党建工作，引导社会组织、物业企业参与公共管理、开展民主协商、加强行业自律等基层治理活动。探索民营企业与基层治理有机联动，推进民营企业党组织融入区域化党建体系，拓宽规模和影响力较大的民营企业参与属地治理的渠道，促进民营企业与街道（社区）互联互动。</w:t>
      </w:r>
    </w:p>
    <w:p w14:paraId="3CD29C3F" w14:textId="77777777" w:rsidR="003A01DB" w:rsidRPr="009C21FD" w:rsidRDefault="003A01DB" w:rsidP="009C21FD">
      <w:pPr>
        <w:pStyle w:val="af"/>
        <w:widowControl w:val="0"/>
        <w:spacing w:beforeLines="50" w:before="156" w:afterLines="50" w:after="156" w:line="590" w:lineRule="exact"/>
        <w:rPr>
          <w:rFonts w:ascii="楷体_GB2312" w:eastAsia="楷体_GB2312" w:hAnsi="Times New Roman" w:hint="eastAsia"/>
          <w:b/>
          <w:bCs/>
          <w:sz w:val="32"/>
          <w:szCs w:val="32"/>
        </w:rPr>
      </w:pPr>
      <w:r w:rsidRPr="009C21FD">
        <w:rPr>
          <w:rFonts w:ascii="楷体_GB2312" w:eastAsia="楷体_GB2312" w:hAnsi="Times New Roman" w:hint="eastAsia"/>
          <w:b/>
          <w:bCs/>
          <w:sz w:val="32"/>
          <w:szCs w:val="32"/>
        </w:rPr>
        <w:t>第二节 分类建设高品质和谐宜居生活社区</w:t>
      </w:r>
    </w:p>
    <w:p w14:paraId="76C0F8AC"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（一）突出场景营造推动城市社区发展。</w:t>
      </w:r>
      <w:r w:rsidRPr="00456FCE">
        <w:rPr>
          <w:rFonts w:ascii="Times New Roman" w:eastAsia="仿宋_GB2312" w:hAnsi="Times New Roman"/>
          <w:color w:val="000000"/>
          <w:sz w:val="32"/>
          <w:szCs w:val="32"/>
        </w:rPr>
        <w:t>以功能复合、宜居宜业为导向，顺应现代</w:t>
      </w:r>
      <w:r w:rsidRPr="00456FCE">
        <w:rPr>
          <w:rFonts w:ascii="Times New Roman" w:eastAsia="仿宋_GB2312" w:hAnsi="Times New Roman" w:hint="eastAsia"/>
          <w:color w:val="000000"/>
          <w:sz w:val="32"/>
          <w:szCs w:val="32"/>
        </w:rPr>
        <w:t>社区</w:t>
      </w:r>
      <w:r w:rsidRPr="00456FCE">
        <w:rPr>
          <w:rFonts w:ascii="Times New Roman" w:eastAsia="仿宋_GB2312" w:hAnsi="Times New Roman"/>
          <w:color w:val="000000"/>
          <w:sz w:val="32"/>
          <w:szCs w:val="32"/>
        </w:rPr>
        <w:t>发展趋势，强化社区功能提升、空间形态塑造和场景特色营造的作用，探索开放式的街区形态和复合式的社区功能，促进土地资源集约高效利用，营造宜居</w:t>
      </w:r>
      <w:r w:rsidRPr="00456FCE">
        <w:rPr>
          <w:rFonts w:ascii="Times New Roman" w:eastAsia="仿宋_GB2312" w:hAnsi="Times New Roman"/>
          <w:color w:val="000000"/>
          <w:sz w:val="32"/>
          <w:szCs w:val="32"/>
        </w:rPr>
        <w:lastRenderedPageBreak/>
        <w:t>宜业的社区生活空间。立足人的全生命周期需求，提供公平可及的基本公共服务和精准精细的便民生活服务，以新零售、新业态、新模式为突破，推动社区传统商业改造升级，创新社区商业新业态新模式，打造个性化、体验化、品质化的社区生态、生活、生产、新经济、新消费等场景。</w:t>
      </w:r>
    </w:p>
    <w:p w14:paraId="6410CBE1"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（二）强化片区引领推动城镇社区发展。</w:t>
      </w:r>
      <w:r w:rsidRPr="00456FCE">
        <w:rPr>
          <w:rFonts w:ascii="Times New Roman" w:eastAsia="仿宋_GB2312" w:hAnsi="Times New Roman"/>
          <w:color w:val="000000"/>
          <w:sz w:val="32"/>
          <w:szCs w:val="32"/>
        </w:rPr>
        <w:t>以自然资源禀赋为导向，按照小规模聚居、组团式布局、微田园风光、生态化建设原则，充分利用资源要素，因地制宜规划布局聚居点，鼓励引进发展城市综合运用商和专业化服务企业，整合土地、资金、产业、人才等资源，推动片区开发核心资源全面导入、集成集聚，构建</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有机和谐、尺度适宜</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的空间聚落形态，实现片区建设和运用管理一体实施。基于生态资源本底，促进多元业态融合，持续发展壮大集体经济。</w:t>
      </w:r>
    </w:p>
    <w:p w14:paraId="736A5811"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（三）促进城乡结合部新型社区发展融合。</w:t>
      </w:r>
      <w:r w:rsidRPr="00456FCE">
        <w:rPr>
          <w:rFonts w:ascii="Times New Roman" w:eastAsia="仿宋_GB2312" w:hAnsi="Times New Roman"/>
          <w:color w:val="000000"/>
          <w:sz w:val="32"/>
          <w:szCs w:val="32"/>
        </w:rPr>
        <w:t>实施职业技能提升行动和重点人群专项培训计划，积极开发公益性岗位，加大对困难群众的就业保障和政策兜底，提升新型社区居民融入感归属感。发挥新时代文明实践中心（站、所）作用，开展新居民新风尚创建活动，积极推行周末大扫除、寻找最美家庭、文明小区（院落）评比，引导新型社区居民自觉抵制各种陈规陋习，摒弃人情攀比、铺张浪费、封建迷信等不良风气。紧扣地缘、趣缘、业缘关系，制定符合新型社区治理的自治章程、</w:t>
      </w:r>
      <w:r w:rsidRPr="00456FCE">
        <w:rPr>
          <w:rFonts w:ascii="Times New Roman" w:eastAsia="仿宋_GB2312" w:hAnsi="Times New Roman"/>
          <w:color w:val="000000"/>
          <w:sz w:val="32"/>
          <w:szCs w:val="32"/>
        </w:rPr>
        <w:lastRenderedPageBreak/>
        <w:t>居民公约、小区规约等，形成居民共同遵守的行为规范和价值理念。</w:t>
      </w:r>
    </w:p>
    <w:p w14:paraId="51C18281"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（四）推动城镇老旧小区品质提升。</w:t>
      </w:r>
      <w:r w:rsidRPr="00456FCE">
        <w:rPr>
          <w:rFonts w:ascii="Times New Roman" w:eastAsia="仿宋_GB2312" w:hAnsi="Times New Roman"/>
          <w:color w:val="000000"/>
          <w:sz w:val="32"/>
          <w:szCs w:val="32"/>
        </w:rPr>
        <w:t>坚持高起点规划、片区化布局、项目化实施，按照先自治后整治、</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一院一策</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差异化改造的原则，以改善居住环境为目标，推动老旧院落改造。对旧城区和老旧小区集中的社区鼓励通过改建扩建、购置租赁、置换调剂、合作共建等方式保障社区用房。建立完善社区居民参与老旧社区治理机制、居民出资自我管理机制。建立三无小区党建引领、群众自治协商议事的工作机制，切实提升社区居民自我管理能力，增强老旧社区吸引力和居民幸福感。</w:t>
      </w:r>
    </w:p>
    <w:p w14:paraId="07B8724C" w14:textId="77777777" w:rsidR="003A01DB" w:rsidRPr="009C21FD" w:rsidRDefault="003A01DB" w:rsidP="009C21FD">
      <w:pPr>
        <w:pStyle w:val="af"/>
        <w:widowControl w:val="0"/>
        <w:spacing w:beforeLines="50" w:before="156" w:afterLines="50" w:after="156" w:line="590" w:lineRule="exact"/>
        <w:rPr>
          <w:rFonts w:ascii="楷体_GB2312" w:eastAsia="楷体_GB2312" w:hAnsi="Times New Roman" w:hint="eastAsia"/>
          <w:b/>
          <w:bCs/>
          <w:sz w:val="32"/>
          <w:szCs w:val="32"/>
        </w:rPr>
      </w:pPr>
      <w:r w:rsidRPr="009C21FD">
        <w:rPr>
          <w:rFonts w:ascii="楷体_GB2312" w:eastAsia="楷体_GB2312" w:hAnsi="Times New Roman" w:hint="eastAsia"/>
          <w:b/>
          <w:bCs/>
          <w:sz w:val="32"/>
          <w:szCs w:val="32"/>
        </w:rPr>
        <w:t>第三节 分类打造各具特色主题社区</w:t>
      </w:r>
    </w:p>
    <w:p w14:paraId="4A058282"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（一）建设智慧科技型主题社区。</w:t>
      </w:r>
      <w:r w:rsidRPr="00456FCE">
        <w:rPr>
          <w:rFonts w:ascii="Times New Roman" w:eastAsia="仿宋_GB2312" w:hAnsi="Times New Roman"/>
          <w:color w:val="000000"/>
          <w:sz w:val="32"/>
          <w:szCs w:val="32"/>
        </w:rPr>
        <w:t>顺应</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智慧城市</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治理趋势，着眼构建面向未来的社区治理基本单元，以科技引领社区发展治理，将大数据、云计算、物联网、区块链、</w:t>
      </w:r>
      <w:r w:rsidRPr="00456FCE">
        <w:rPr>
          <w:rFonts w:ascii="Times New Roman" w:eastAsia="仿宋_GB2312" w:hAnsi="Times New Roman"/>
          <w:color w:val="000000"/>
          <w:sz w:val="32"/>
          <w:szCs w:val="32"/>
        </w:rPr>
        <w:t>5G</w:t>
      </w:r>
      <w:r w:rsidRPr="00456FCE">
        <w:rPr>
          <w:rFonts w:ascii="Times New Roman" w:eastAsia="仿宋_GB2312" w:hAnsi="Times New Roman"/>
          <w:color w:val="000000"/>
          <w:sz w:val="32"/>
          <w:szCs w:val="32"/>
        </w:rPr>
        <w:t>等前沿技术嵌入社区发展治理的各个领域和环节，构建跨界融合共创分享的智慧治理新模式，推动城市治理更智能、服务更高效、生活更便捷，夯实智慧城市底部支撑。</w:t>
      </w:r>
    </w:p>
    <w:p w14:paraId="506C9835"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（二）建设文化创意型主题社区。</w:t>
      </w:r>
      <w:r w:rsidRPr="00456FCE">
        <w:rPr>
          <w:rFonts w:ascii="Times New Roman" w:eastAsia="仿宋_GB2312" w:hAnsi="Times New Roman"/>
          <w:color w:val="000000"/>
          <w:sz w:val="32"/>
          <w:szCs w:val="32"/>
        </w:rPr>
        <w:t>大力弘扬中华优秀传统文化，推动旌城文化创造性转化、延续和继承，加强社区文化资源的挖掘和保护利用，构建体现历史底蕴、人文气质、生活情趣的社区文化识别体系和场景体系，鼓励知名文创企业、专</w:t>
      </w:r>
      <w:r w:rsidRPr="00456FCE">
        <w:rPr>
          <w:rFonts w:ascii="Times New Roman" w:eastAsia="仿宋_GB2312" w:hAnsi="Times New Roman"/>
          <w:color w:val="000000"/>
          <w:sz w:val="32"/>
          <w:szCs w:val="32"/>
        </w:rPr>
        <w:lastRenderedPageBreak/>
        <w:t>业机构开展公共艺术创作和视觉表达设计，让前沿的对话、艺术的表达、新潮的创作在社区生长演绎，使典籍中的旌城风貌、记忆中的市井生活穿越时空在社区活态呈现。</w:t>
      </w:r>
    </w:p>
    <w:p w14:paraId="71180111"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（三）建设绿色健康型主题社区。</w:t>
      </w:r>
      <w:r w:rsidRPr="00456FCE">
        <w:rPr>
          <w:rFonts w:ascii="Times New Roman" w:eastAsia="仿宋_GB2312" w:hAnsi="Times New Roman"/>
          <w:color w:val="000000"/>
          <w:sz w:val="32"/>
          <w:szCs w:val="32"/>
        </w:rPr>
        <w:t>依托社区自然资源，科学布局绿色开放空间和环境友好设施，探索社区生态价值转化范式，释放社区生态资源商业机会和消费潜力，营造自然生态与社区融合的社区新形态，使绿色成为城市宜居最动人的底色、低碳成为城市发展最持久的优势、简约成为居民生活最推崇的风尚。</w:t>
      </w:r>
    </w:p>
    <w:p w14:paraId="40EDE4E2" w14:textId="77777777" w:rsidR="003A01DB" w:rsidRPr="00456FCE" w:rsidRDefault="003A01DB" w:rsidP="00CA5D03">
      <w:pPr>
        <w:adjustRightInd w:val="0"/>
        <w:snapToGrid w:val="0"/>
        <w:spacing w:line="590" w:lineRule="exact"/>
        <w:ind w:firstLine="640"/>
        <w:rPr>
          <w:rFonts w:ascii="Times New Roman" w:eastAsia="仿宋_GB2312" w:hAnsi="Times New Roman"/>
          <w:color w:val="000000"/>
          <w:sz w:val="32"/>
          <w:szCs w:val="32"/>
        </w:rPr>
      </w:pPr>
      <w:r w:rsidRPr="005B5F6D">
        <w:rPr>
          <w:rFonts w:ascii="楷体_GB2312" w:eastAsia="楷体_GB2312" w:hAnsi="Times New Roman" w:hint="eastAsia"/>
          <w:b/>
          <w:color w:val="000000"/>
          <w:sz w:val="32"/>
          <w:szCs w:val="32"/>
        </w:rPr>
        <w:t>（四）建设优质服务型主题社区。</w:t>
      </w:r>
      <w:r w:rsidRPr="00456FCE">
        <w:rPr>
          <w:rFonts w:ascii="Times New Roman" w:eastAsia="仿宋_GB2312" w:hAnsi="Times New Roman"/>
          <w:color w:val="000000"/>
          <w:sz w:val="32"/>
          <w:szCs w:val="32"/>
        </w:rPr>
        <w:t>合理布局公共服务资源，整合社区各类资源，持续构建</w:t>
      </w:r>
      <w:r w:rsidRPr="00456FCE">
        <w:rPr>
          <w:rFonts w:ascii="Times New Roman" w:eastAsia="仿宋_GB2312" w:hAnsi="Times New Roman"/>
          <w:color w:val="000000"/>
          <w:sz w:val="32"/>
          <w:szCs w:val="32"/>
        </w:rPr>
        <w:t>“15</w:t>
      </w:r>
      <w:r w:rsidRPr="00456FCE">
        <w:rPr>
          <w:rFonts w:ascii="Times New Roman" w:eastAsia="仿宋_GB2312" w:hAnsi="Times New Roman"/>
          <w:color w:val="000000"/>
          <w:sz w:val="32"/>
          <w:szCs w:val="32"/>
        </w:rPr>
        <w:t>分钟</w:t>
      </w:r>
      <w:r w:rsidRPr="00456FCE">
        <w:rPr>
          <w:rFonts w:ascii="Times New Roman" w:eastAsia="仿宋_GB2312" w:hAnsi="Times New Roman" w:hint="eastAsia"/>
          <w:color w:val="000000"/>
          <w:sz w:val="32"/>
          <w:szCs w:val="32"/>
        </w:rPr>
        <w:t>－</w:t>
      </w:r>
      <w:r w:rsidRPr="00456FCE">
        <w:rPr>
          <w:rFonts w:ascii="Times New Roman" w:eastAsia="仿宋_GB2312" w:hAnsi="Times New Roman"/>
          <w:color w:val="000000"/>
          <w:sz w:val="32"/>
          <w:szCs w:val="32"/>
        </w:rPr>
        <w:t>10</w:t>
      </w:r>
      <w:r w:rsidRPr="00456FCE">
        <w:rPr>
          <w:rFonts w:ascii="Times New Roman" w:eastAsia="仿宋_GB2312" w:hAnsi="Times New Roman"/>
          <w:color w:val="000000"/>
          <w:sz w:val="32"/>
          <w:szCs w:val="32"/>
        </w:rPr>
        <w:t>分钟</w:t>
      </w:r>
      <w:r w:rsidRPr="00456FCE">
        <w:rPr>
          <w:rFonts w:ascii="Times New Roman" w:eastAsia="仿宋_GB2312" w:hAnsi="Times New Roman" w:hint="eastAsia"/>
          <w:color w:val="000000"/>
          <w:sz w:val="32"/>
          <w:szCs w:val="32"/>
        </w:rPr>
        <w:t>－</w:t>
      </w:r>
      <w:r w:rsidRPr="00456FCE">
        <w:rPr>
          <w:rFonts w:ascii="Times New Roman" w:eastAsia="仿宋_GB2312" w:hAnsi="Times New Roman"/>
          <w:color w:val="000000"/>
          <w:sz w:val="32"/>
          <w:szCs w:val="32"/>
        </w:rPr>
        <w:t>5</w:t>
      </w:r>
      <w:r w:rsidRPr="00456FCE">
        <w:rPr>
          <w:rFonts w:ascii="Times New Roman" w:eastAsia="仿宋_GB2312" w:hAnsi="Times New Roman"/>
          <w:color w:val="000000"/>
          <w:sz w:val="32"/>
          <w:szCs w:val="32"/>
        </w:rPr>
        <w:t>分钟</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社区生活圈，开展</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新时代新社区新生活</w:t>
      </w:r>
      <w:r w:rsidRPr="00456FCE">
        <w:rPr>
          <w:rFonts w:ascii="Times New Roman" w:eastAsia="仿宋_GB2312" w:hAnsi="Times New Roman"/>
          <w:color w:val="000000"/>
          <w:sz w:val="32"/>
          <w:szCs w:val="32"/>
        </w:rPr>
        <w:t>”</w:t>
      </w:r>
      <w:r w:rsidRPr="00456FCE">
        <w:rPr>
          <w:rFonts w:ascii="Times New Roman" w:eastAsia="仿宋_GB2312" w:hAnsi="Times New Roman"/>
          <w:color w:val="000000"/>
          <w:sz w:val="32"/>
          <w:szCs w:val="32"/>
        </w:rPr>
        <w:t>提升服务质量，推进社区服务精准化标准化。以社区实际为导向，结合不同年龄层次的社区居民需求，提供尊老爱老的养老服务、时尚活力的青年服务、关爱贴心的幼儿服务、温暖共情的特色人群服务等，</w:t>
      </w:r>
      <w:r w:rsidRPr="00456FCE">
        <w:rPr>
          <w:rFonts w:ascii="Times New Roman" w:eastAsia="仿宋_GB2312" w:hAnsi="Times New Roman"/>
          <w:color w:val="000000"/>
          <w:sz w:val="32"/>
          <w:szCs w:val="32"/>
        </w:rPr>
        <w:t xml:space="preserve"> </w:t>
      </w:r>
      <w:r w:rsidRPr="00456FCE">
        <w:rPr>
          <w:rFonts w:ascii="Times New Roman" w:eastAsia="仿宋_GB2312" w:hAnsi="Times New Roman"/>
          <w:color w:val="000000"/>
          <w:sz w:val="32"/>
          <w:szCs w:val="32"/>
        </w:rPr>
        <w:t>建立社区服务品牌，实现幼有所育、学有所教、劳有所得、病有所医、老有所养、住有所居、弱有所扶的社区主题优质服务。</w:t>
      </w:r>
    </w:p>
    <w:p w14:paraId="017287C0"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五）建设经济发展型主题社区。积极发展社区社会企业，推动支持符合条件的公益性社区服务类、物业服务类等组织向市场化转型，探索社会企业托管政府和社区公共空间开发无偿和低偿收费的公益项目，探索通过股权投资、公益创投等方式</w:t>
      </w:r>
      <w:r w:rsidRPr="00C223F9">
        <w:rPr>
          <w:rFonts w:ascii="仿宋_GB2312" w:eastAsia="仿宋_GB2312" w:hint="eastAsia"/>
          <w:sz w:val="32"/>
          <w:szCs w:val="32"/>
        </w:rPr>
        <w:lastRenderedPageBreak/>
        <w:t>对市场潜力大、创新能力强的社会企业给予支持；推动社区基金发展，鼓励有条件的地方通过企业、个人和社会组织捐赠等方式设立社区发展治理基金，完善居民投入精神荣誉褒奖嘉许制度，增强社区“造血”功能；培育社区社会服务业，实现持续发展社区，将社区打造成党建引领多元参与的共建平台、贴近群众需求的社区消费平台，兼顾居民需求和市场逻辑，塑造社区商业业态，形成制度化和体系化的社区商业可持续发展模式。</w:t>
      </w:r>
    </w:p>
    <w:p w14:paraId="21CE7578" w14:textId="77777777" w:rsidR="003A01DB" w:rsidRPr="00C223F9" w:rsidRDefault="003A01DB" w:rsidP="00C223F9">
      <w:pPr>
        <w:pStyle w:val="1"/>
        <w:jc w:val="center"/>
        <w:rPr>
          <w:rFonts w:ascii="仿宋_GB2312" w:eastAsia="仿宋_GB2312" w:hint="eastAsia"/>
          <w:sz w:val="36"/>
          <w:szCs w:val="36"/>
        </w:rPr>
      </w:pPr>
      <w:bookmarkStart w:id="4" w:name="_Toc15002"/>
      <w:r w:rsidRPr="00C223F9">
        <w:rPr>
          <w:rFonts w:ascii="仿宋_GB2312" w:eastAsia="仿宋_GB2312" w:hint="eastAsia"/>
          <w:sz w:val="32"/>
          <w:szCs w:val="32"/>
        </w:rPr>
        <w:br w:type="page"/>
      </w:r>
      <w:r w:rsidRPr="00C223F9">
        <w:rPr>
          <w:rFonts w:ascii="仿宋_GB2312" w:eastAsia="仿宋_GB2312" w:hint="eastAsia"/>
          <w:sz w:val="36"/>
          <w:szCs w:val="36"/>
        </w:rPr>
        <w:lastRenderedPageBreak/>
        <w:t xml:space="preserve">第四章  </w:t>
      </w:r>
      <w:bookmarkEnd w:id="4"/>
      <w:r w:rsidRPr="00C223F9">
        <w:rPr>
          <w:rFonts w:ascii="仿宋_GB2312" w:eastAsia="仿宋_GB2312" w:hint="eastAsia"/>
          <w:sz w:val="36"/>
          <w:szCs w:val="36"/>
        </w:rPr>
        <w:t>实现路径</w:t>
      </w:r>
    </w:p>
    <w:p w14:paraId="087D3039" w14:textId="77777777" w:rsidR="003A01DB" w:rsidRDefault="003A01DB" w:rsidP="00CA5D03">
      <w:pPr>
        <w:pStyle w:val="af"/>
        <w:widowControl w:val="0"/>
        <w:spacing w:line="590" w:lineRule="exact"/>
        <w:ind w:firstLineChars="200" w:firstLine="640"/>
        <w:jc w:val="both"/>
        <w:rPr>
          <w:rFonts w:ascii="Times New Roman" w:eastAsia="黑体" w:hAnsi="Times New Roman"/>
          <w:sz w:val="32"/>
          <w:szCs w:val="32"/>
        </w:rPr>
      </w:pPr>
    </w:p>
    <w:p w14:paraId="45AFBF74"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深入贯彻落实中央、省委和市委关于加强基层治理体系和治理能力现代化建设的决策部署，将基层治理共同体的重大要求落实到社区层面，着力构建社区五大共同体，加快形成高品质和谐宜居生活社区，在更高水平更深层次实现高质量发展、高品质生活、高效能治理协同共进，全面提升基层治理体系和治理能力现代化水平。</w:t>
      </w:r>
    </w:p>
    <w:p w14:paraId="0250A4F1" w14:textId="77777777" w:rsidR="003A01DB" w:rsidRPr="009C21FD" w:rsidRDefault="003A01DB" w:rsidP="009C21FD">
      <w:pPr>
        <w:pStyle w:val="af"/>
        <w:widowControl w:val="0"/>
        <w:spacing w:beforeLines="50" w:before="156" w:afterLines="50" w:after="156" w:line="590" w:lineRule="exact"/>
        <w:rPr>
          <w:rFonts w:ascii="楷体_GB2312" w:eastAsia="楷体_GB2312" w:hAnsi="Times New Roman" w:hint="eastAsia"/>
          <w:b/>
          <w:bCs/>
          <w:sz w:val="32"/>
          <w:szCs w:val="32"/>
        </w:rPr>
      </w:pPr>
      <w:r w:rsidRPr="009C21FD">
        <w:rPr>
          <w:rFonts w:ascii="楷体_GB2312" w:eastAsia="楷体_GB2312" w:hAnsi="Times New Roman" w:hint="eastAsia"/>
          <w:b/>
          <w:bCs/>
          <w:sz w:val="32"/>
          <w:szCs w:val="32"/>
        </w:rPr>
        <w:t>第一节 提升能力，构建社区行动共同体</w:t>
      </w:r>
    </w:p>
    <w:p w14:paraId="6AD45A9C" w14:textId="77777777" w:rsidR="003A01DB" w:rsidRPr="005B5F6D" w:rsidRDefault="003A01DB" w:rsidP="00CA5D03">
      <w:pPr>
        <w:pStyle w:val="af"/>
        <w:widowControl w:val="0"/>
        <w:spacing w:line="590" w:lineRule="exact"/>
        <w:ind w:firstLineChars="200" w:firstLine="640"/>
        <w:jc w:val="both"/>
        <w:rPr>
          <w:rFonts w:ascii="Times New Roman" w:eastAsia="楷体_GB2312" w:hAnsi="Times New Roman"/>
          <w:b/>
          <w:sz w:val="32"/>
          <w:szCs w:val="32"/>
        </w:rPr>
      </w:pPr>
      <w:r w:rsidRPr="005B5F6D">
        <w:rPr>
          <w:rFonts w:ascii="Times New Roman" w:eastAsia="楷体_GB2312" w:hAnsi="Times New Roman"/>
          <w:b/>
          <w:sz w:val="32"/>
          <w:szCs w:val="32"/>
        </w:rPr>
        <w:t>（一）提升党建引领能力</w:t>
      </w:r>
    </w:p>
    <w:p w14:paraId="6FA50131"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1．完善党建引领机制。健全区、镇（街道）两级“党建引领、双线融合”领导体制，完善综合治理工作联动、问题联解、绩效联评工作机制。加强镇（街道）、村（社区）党组织对基层各类组织和各项工作的统一领导，依法把党的领导和党的建设有关要求写入各类组织章程，涉及城乡社区发展治理的重要事项、重大问题都要由党组织研究讨论后按程序决定。</w:t>
      </w:r>
    </w:p>
    <w:p w14:paraId="282BA293"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2．健全专职联动机制。健全区、镇（街道）、村（社区）、网格、小区党组织五级联动体系，全覆盖建立上级党组织班子成员联系下级党组织制度，健全定期调度、动态管理、督促检</w:t>
      </w:r>
      <w:r w:rsidRPr="00C223F9">
        <w:rPr>
          <w:rFonts w:ascii="仿宋_GB2312" w:eastAsia="仿宋_GB2312" w:hint="eastAsia"/>
          <w:sz w:val="32"/>
          <w:szCs w:val="32"/>
        </w:rPr>
        <w:lastRenderedPageBreak/>
        <w:t>查和跟踪问效制度，完善权力清单管理制度和责任追究制度，形成权责明晰、分工负责、齐抓共管的城乡社区发展治理“五级”联动制度体系。</w:t>
      </w:r>
    </w:p>
    <w:p w14:paraId="2D0898ED"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3．建强基层党组织。优化基层党组织设置，加强楼宇商圈等新兴领域党组织建设，不断扩大党的组织覆盖和工作覆盖，持续整顿软弱涣散基层党组织。探索社区兼职委员制度，支持镇（街道）社区党组织成员和驻区单位党组织成员“双向进入、交叉任职”，注重把党组织推荐的优秀人选通过一定程序明确为各类组织负责人。</w:t>
      </w:r>
    </w:p>
    <w:p w14:paraId="3DDF866D" w14:textId="77777777" w:rsidR="003A01DB" w:rsidRPr="009332C0" w:rsidRDefault="003A01DB" w:rsidP="00CA5D03">
      <w:pPr>
        <w:pStyle w:val="af"/>
        <w:widowControl w:val="0"/>
        <w:spacing w:line="590" w:lineRule="exact"/>
        <w:ind w:firstLineChars="200" w:firstLine="640"/>
        <w:jc w:val="both"/>
        <w:rPr>
          <w:rFonts w:ascii="楷体_GB2312" w:eastAsia="楷体_GB2312" w:hAnsi="Times New Roman" w:hint="eastAsia"/>
          <w:b/>
          <w:sz w:val="32"/>
          <w:szCs w:val="32"/>
        </w:rPr>
      </w:pPr>
      <w:r w:rsidRPr="009332C0">
        <w:rPr>
          <w:rFonts w:ascii="楷体_GB2312" w:eastAsia="楷体_GB2312" w:hAnsi="Times New Roman" w:hint="eastAsia"/>
          <w:b/>
          <w:sz w:val="32"/>
          <w:szCs w:val="32"/>
        </w:rPr>
        <w:t>（二）提升法治保障能力</w:t>
      </w:r>
    </w:p>
    <w:p w14:paraId="4334E4A1"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4．健全基层法规体系。贯彻落实《</w:t>
      </w:r>
      <w:hyperlink r:id="rId12" w:tgtFrame="https://baike.baidu.com/item/%E6%88%90%E9%83%BD%E5%B8%82%E7%A4%BE%E5%8C%BA%E5%8F%91%E5%B1%95%E6%B2%BB%E7%90%86%E4%BF%83%E8%BF%9B%E6%9D%A1%E4%BE%8B/_blank" w:history="1">
        <w:r w:rsidRPr="00C223F9">
          <w:rPr>
            <w:rStyle w:val="a9"/>
            <w:rFonts w:ascii="仿宋_GB2312" w:eastAsia="仿宋_GB2312" w:hint="eastAsia"/>
            <w:sz w:val="32"/>
            <w:szCs w:val="32"/>
          </w:rPr>
          <w:t>中华人民共和国城市居民委员会组织法</w:t>
        </w:r>
      </w:hyperlink>
      <w:r w:rsidRPr="00C223F9">
        <w:rPr>
          <w:rFonts w:ascii="仿宋_GB2312" w:eastAsia="仿宋_GB2312" w:hint="eastAsia"/>
          <w:sz w:val="32"/>
          <w:szCs w:val="32"/>
        </w:rPr>
        <w:t>》《中华人民共和国村民委员会组织法》《物业管理条例》《社会团体登记管理条例》《民办非企业单位登记管理暂行条例》《基金会管理条例》，推动社区各项资源保护利用、社区公共空间开放共享、小区物业管理、社会资源参与等领域法规体系建设，完善城乡社区自治章程、居民公约，推动形成多层次多样化的基层治理规则体系。</w:t>
      </w:r>
    </w:p>
    <w:p w14:paraId="5F33D6F1"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5．深化社区法治建设。进一步深化“社区法律顾问”制度，建立健全社区发展治理重要政策、重大项目实施前法律顾问咨询机制。推进镇（街道）公共法律服务工作站、社区法务中心</w:t>
      </w:r>
      <w:r w:rsidRPr="00C223F9">
        <w:rPr>
          <w:rFonts w:ascii="仿宋_GB2312" w:eastAsia="仿宋_GB2312" w:hint="eastAsia"/>
          <w:sz w:val="32"/>
          <w:szCs w:val="32"/>
        </w:rPr>
        <w:lastRenderedPageBreak/>
        <w:t>等实体平台建设，探索远程法律服务。规范基层干部集中学法制度，提升基层党员、干部法治素养，引导群众积极参与、依法支持和配合城乡社区发展治理。</w:t>
      </w:r>
    </w:p>
    <w:p w14:paraId="62C9CF50" w14:textId="77777777" w:rsidR="003A01DB" w:rsidRPr="009332C0" w:rsidRDefault="003A01DB" w:rsidP="00CA5D03">
      <w:pPr>
        <w:pStyle w:val="af"/>
        <w:widowControl w:val="0"/>
        <w:spacing w:line="590" w:lineRule="exact"/>
        <w:ind w:firstLineChars="200" w:firstLine="640"/>
        <w:jc w:val="both"/>
        <w:rPr>
          <w:rFonts w:ascii="楷体_GB2312" w:eastAsia="楷体_GB2312" w:hAnsi="Times New Roman" w:hint="eastAsia"/>
          <w:b/>
          <w:sz w:val="32"/>
          <w:szCs w:val="32"/>
        </w:rPr>
      </w:pPr>
      <w:r w:rsidRPr="009332C0">
        <w:rPr>
          <w:rFonts w:ascii="楷体_GB2312" w:eastAsia="楷体_GB2312" w:hAnsi="Times New Roman" w:hint="eastAsia"/>
          <w:b/>
          <w:sz w:val="32"/>
          <w:szCs w:val="32"/>
        </w:rPr>
        <w:t>（三）提升市场运筹能力</w:t>
      </w:r>
    </w:p>
    <w:p w14:paraId="73232240"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6．创新社区机会共享机制。系统分析社区人口结构、行为轨迹、消费需求以及公共空间、规划配套等资源要素，通过同类项目纵向整合、区域项目整体包装等方式编制社区发展治理项目库，建立社区发展治理机会清单和发布机制，畅通市场主体参与社区资源开发利用、项目投资运营管理制度化渠道。</w:t>
      </w:r>
    </w:p>
    <w:p w14:paraId="25E5EA90"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7．完善社区资源运营模式。发挥镇（街道）、村（社区）贴近居民、链接资源优势，搭建市场主体与社区合作平台，招引“城市运营商”、发展“社区合伙人”，鼓励其在公共区域治理、生态环境保护、老旧院落管理等领域开展专业化、市场化服务，畅通区域市场主体资源链接、信息交互、业态协同的社区微循环，构筑社区高质量发展生态圈。</w:t>
      </w:r>
    </w:p>
    <w:p w14:paraId="00644CCA" w14:textId="77777777" w:rsidR="003A01DB" w:rsidRPr="009332C0" w:rsidRDefault="003A01DB" w:rsidP="00CA5D03">
      <w:pPr>
        <w:pStyle w:val="af"/>
        <w:widowControl w:val="0"/>
        <w:spacing w:line="590" w:lineRule="exact"/>
        <w:ind w:firstLineChars="200" w:firstLine="640"/>
        <w:jc w:val="both"/>
        <w:rPr>
          <w:rFonts w:ascii="楷体_GB2312" w:eastAsia="楷体_GB2312" w:hAnsi="Times New Roman" w:hint="eastAsia"/>
          <w:b/>
          <w:sz w:val="32"/>
          <w:szCs w:val="32"/>
        </w:rPr>
      </w:pPr>
      <w:r w:rsidRPr="009332C0">
        <w:rPr>
          <w:rFonts w:ascii="楷体_GB2312" w:eastAsia="楷体_GB2312" w:hAnsi="Times New Roman" w:hint="eastAsia"/>
          <w:b/>
          <w:sz w:val="32"/>
          <w:szCs w:val="32"/>
        </w:rPr>
        <w:t>（四）提升社会协同能力</w:t>
      </w:r>
    </w:p>
    <w:p w14:paraId="22E296E2"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8．健全社会参与机制。完善社会主体承接政府转移职能和委托具体事务机制，通过授权委托、购买服务、公益创投等方式，吸引社会组织、社会企业、行业协会和志愿队伍等社会治理主体承接政府部分公共事务职能。探索建立国有资产管理权</w:t>
      </w:r>
      <w:r w:rsidRPr="00C223F9">
        <w:rPr>
          <w:rFonts w:ascii="仿宋_GB2312" w:eastAsia="仿宋_GB2312" w:hint="eastAsia"/>
          <w:sz w:val="32"/>
          <w:szCs w:val="32"/>
        </w:rPr>
        <w:lastRenderedPageBreak/>
        <w:t>移交社区、经营权委托专业机构的管理运营机制，推动社会组织、社会企业等主体共同开发利用社区资源、服务社区居民。</w:t>
      </w:r>
    </w:p>
    <w:p w14:paraId="69C32A1A"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9．搭建社会参与平台。大力推进“五社联动”，加快构建区、镇（街道）、村（社区）三级社工服务体系，加快本土社会组织和社会企业孵化培育，发展壮大社工专业人才队伍建设，打造集孵化培育、资质审查、要素对接等功能于一体的综合服务平台，推动社会组织、社会工作者、社区志愿者、社会慈善资源与社区高效联动。建立社区微基金，推动解决社区问题、促进社区融合、社区共治。</w:t>
      </w:r>
    </w:p>
    <w:p w14:paraId="7F33130A" w14:textId="77777777" w:rsidR="003A01DB" w:rsidRPr="009332C0" w:rsidRDefault="003A01DB" w:rsidP="00CA5D03">
      <w:pPr>
        <w:pStyle w:val="af"/>
        <w:widowControl w:val="0"/>
        <w:spacing w:line="590" w:lineRule="exact"/>
        <w:ind w:firstLineChars="200" w:firstLine="640"/>
        <w:jc w:val="both"/>
        <w:rPr>
          <w:rFonts w:ascii="楷体_GB2312" w:eastAsia="楷体_GB2312" w:hAnsi="Times New Roman" w:hint="eastAsia"/>
          <w:b/>
          <w:sz w:val="32"/>
          <w:szCs w:val="32"/>
        </w:rPr>
      </w:pPr>
      <w:r w:rsidRPr="009332C0">
        <w:rPr>
          <w:rFonts w:ascii="楷体_GB2312" w:eastAsia="楷体_GB2312" w:hAnsi="Times New Roman" w:hint="eastAsia"/>
          <w:b/>
          <w:sz w:val="32"/>
          <w:szCs w:val="32"/>
        </w:rPr>
        <w:t>（五）提升基层统筹能力</w:t>
      </w:r>
    </w:p>
    <w:p w14:paraId="656E608A"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10．完善基层职责分工体系。制定部门向镇（街道）下放权力事项清单，推进镇（街道）职责任务、公共服务、属地管理清单标准化规范化建设，强化镇（街道）公共服务、公共管理、公共安全职能，逐步向构建区级主责经济发展、部门主责综合保障和执法监管、镇（街道）主责公共服务和社会管理、社区开展组织动员和便民服务的职责分工体系推进。</w:t>
      </w:r>
    </w:p>
    <w:p w14:paraId="567A7C5A"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11．深化镇街管理体制改革。依法赋予镇（街道）综合管理权、统筹协调权和应急处置权，强化其对涉及本区域重大决策、重大规划、重大项目的参与权和建议权。加强镇（街道）议事协商能力建设和方式创新，纵深推进镇（街道）层面队伍、</w:t>
      </w:r>
      <w:r w:rsidRPr="00C223F9">
        <w:rPr>
          <w:rFonts w:ascii="仿宋_GB2312" w:eastAsia="仿宋_GB2312" w:hint="eastAsia"/>
          <w:sz w:val="32"/>
          <w:szCs w:val="32"/>
        </w:rPr>
        <w:lastRenderedPageBreak/>
        <w:t>网格、平台、机制优化整合，构建“一支队伍统管、一张网格统揽、一个平台调度、一套机制统筹”的基层工作机制。不断加强和规范镇（街道）纪检监察组织建设，规范机构设置、选优配强人员，厘清职责权限，构建边界清晰、优势互补、贯通协同的监督体系。稳步推进“乡镇级纪检监察片区协作”机制，加强区镇村纵向联动和横向协作，整合监督力量，形成监督合力。</w:t>
      </w:r>
    </w:p>
    <w:p w14:paraId="340169F4"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12．推进社区减负增效改革。健全城乡社区工作事项准入制度，动态调整城乡社区依法履职事项指导清单、城乡社区协助办理事项指导清单、城乡社区工作负面事项指导清单“三张清单”，建立健全社区新增事项审批备案、违规行为问责追责等工作机制，常态化开展“一表三审”、持续建设村（社区）证明事项等工作，完善社区考核评价体系和激励办法，避免社区减负变异反弹。</w:t>
      </w:r>
    </w:p>
    <w:p w14:paraId="354A86A4"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13．加强基层人才队伍建设。推动社会工作与社会专职工作互为补充、相互协同，建立社会工作者职业培育、职业评价、职业服务、职业发展、职业道德、职业激励等配套制度机制，完善社区专职工作者统筹管理机制和专业化培养、职业化发展体系。明确社会工作专业岗位职责，推动部门结合自身需求与特点购买社会工作服务。</w:t>
      </w:r>
    </w:p>
    <w:p w14:paraId="071C029F" w14:textId="77777777" w:rsidR="003A01DB" w:rsidRPr="009C21FD" w:rsidRDefault="003A01DB" w:rsidP="009C21FD">
      <w:pPr>
        <w:pStyle w:val="22"/>
        <w:tabs>
          <w:tab w:val="left" w:pos="960"/>
        </w:tabs>
        <w:spacing w:beforeLines="50" w:before="156" w:afterLines="50" w:after="156" w:line="590" w:lineRule="exact"/>
        <w:ind w:leftChars="0" w:left="0" w:firstLineChars="0" w:firstLine="0"/>
        <w:jc w:val="center"/>
        <w:rPr>
          <w:rFonts w:ascii="楷体_GB2312" w:eastAsia="楷体_GB2312" w:hAnsi="Times New Roman" w:hint="eastAsia"/>
          <w:b/>
          <w:color w:val="000000"/>
          <w:sz w:val="32"/>
          <w:szCs w:val="32"/>
        </w:rPr>
      </w:pPr>
      <w:r w:rsidRPr="009C21FD">
        <w:rPr>
          <w:rFonts w:ascii="楷体_GB2312" w:eastAsia="楷体_GB2312" w:hAnsi="Times New Roman" w:hint="eastAsia"/>
          <w:b/>
          <w:color w:val="000000"/>
          <w:sz w:val="32"/>
          <w:szCs w:val="32"/>
        </w:rPr>
        <w:lastRenderedPageBreak/>
        <w:t>第二节 多元参与，构建社区治理共同体</w:t>
      </w:r>
    </w:p>
    <w:p w14:paraId="589D3459"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（一）推进自治活力提升</w:t>
      </w:r>
    </w:p>
    <w:p w14:paraId="21EE2914"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14．健全社区自治机制。建立基层群众性自治组织法人备案制度，加强集体资产管理。在基层公共事务和公益事业中广泛实行群众自我管理、自我服务、自我教育、自我监督，拓宽群众反映意见和建议渠道。全域推进“清廉村居”建设，健全村级监督组织体系，落实村（社区）党组织副书记（委员）、纪检委员（纪委书记）、监委会主任、检查工作信息员“四职合一”部署，不断提升村级监督能力。有序拓展群众监督，完善清廉坝坝会制度，加强清廉观察员队伍建设，规范村级“小微权力”运行。</w:t>
      </w:r>
    </w:p>
    <w:p w14:paraId="48AAA993"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15．搭建社区协商平台。制定社区居民议事协商指导规范，完善民主听证会、民情恳谈会、社区评议会、清廉坝坝会等协商制度，推广社区提案制度。引导社区自治组织围绕空间利用、环境维护、项目征集、物业管理等关乎居民切身利益、涉及社区公共利益的重大事项开展民主协商，按照“征集需求、形成议题、讨论协商、确定项目”的方式主动设置公共议题、自主解决矛盾问题，推动利益相关方、社会组织、驻区单位等自觉参与社区公共事务。</w:t>
      </w:r>
    </w:p>
    <w:p w14:paraId="563846EA"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16．发展社区共治主体。引导居民依据兴趣爱好、特色专</w:t>
      </w:r>
      <w:r w:rsidRPr="00C223F9">
        <w:rPr>
          <w:rFonts w:ascii="仿宋_GB2312" w:eastAsia="仿宋_GB2312" w:hint="eastAsia"/>
          <w:sz w:val="32"/>
          <w:szCs w:val="32"/>
        </w:rPr>
        <w:lastRenderedPageBreak/>
        <w:t>长和服务需求成立各类自组织，通过活动项目化、项目组织化提升自组织的组织、协商、行动能力，积极引导有条件的自组织有序向社区社会组织转化。注重发掘有志愿精神的居民骨干，加强对项目管理、处理矛盾和建立规则等实务技能的培训，将其发展成为自组织的领头人。</w:t>
      </w:r>
    </w:p>
    <w:p w14:paraId="48056908"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（二）推进网格覆盖增效</w:t>
      </w:r>
    </w:p>
    <w:p w14:paraId="129B3293"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17．科学优化网格。根据街道、社区地理空间、交通区位、人口分布、小区布局、管理难度等情况，以“地域相邻、规模适度、大小平衡、方便管理”为标准，合理划分、优化调整现有综合网格，以社区为基础，以小区分布和人口分布为重点，整合区级部门现有业务网格，变条线管理为块状管理，形成“社区+网格+小区”的三级综合网格管理服务体系。</w:t>
      </w:r>
    </w:p>
    <w:p w14:paraId="66EFDCA2"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18．整合网格要素。以城乡社区划分的综合网格为社区治理工作的基本单元，不断整合综合网格内设施环境、生活服务、治理机制等治理服务要素，以满足居民生活需求、提高生活品质为目标，以公共服务、便民利民服务、志愿服务为主要内容的服务运行机制，围绕提升小区治理水平和治理能力，将治理要素全面延伸到小区，做到一网治理，实现管服融合、精准高效。</w:t>
      </w:r>
    </w:p>
    <w:p w14:paraId="1AF02BA3"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19．建强网格队伍。在社区党组织领导下，健全社区党组</w:t>
      </w:r>
      <w:r w:rsidRPr="00C223F9">
        <w:rPr>
          <w:rFonts w:ascii="仿宋_GB2312" w:eastAsia="仿宋_GB2312" w:hint="eastAsia"/>
          <w:sz w:val="32"/>
          <w:szCs w:val="32"/>
        </w:rPr>
        <w:lastRenderedPageBreak/>
        <w:t>织书记任网格长，社区“两委”干部任网格员，居民小组长、业委会、物业企业、社会组织等社会主体共同参与的 “1+1+N”全科式网格队伍。通过制定完善多元参与、协商共治的制度机制，充分激发网格长、网格员、居民小组长等多元主体参与治理的内生动力，提升治理水平。</w:t>
      </w:r>
    </w:p>
    <w:p w14:paraId="0AC6DE91"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（三）推进小区治理延伸</w:t>
      </w:r>
    </w:p>
    <w:p w14:paraId="0A5505B2"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20．做强党建引领小区治理。加快城市社区基层党的组织体系向居民小区延伸，推行城镇居民小区有党组织引领、有党员示范带头、有服务阵地保障、有工作经费支撑和党建引领小区治理制度化建设，健全镇（街道）党组织领导，社区党组织为引领，网格党组织为枢纽，小区党组织为核心，业委会、物业机构为基础，党员群众互联互动、共建共治共享的居民小区联动工作体系，实现居民小区党组织和党的建设全覆盖。</w:t>
      </w:r>
    </w:p>
    <w:p w14:paraId="7AC826CC"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21．健全小区自治机制。制定业委会规范运行若干措施，完善社区、网格和居民小区党组织对业委会和物业机构的监督、评议、管理制度体系。支持小区组建业委会或自管社，在规模较大的居民小区探索建立业主代表大会制度，引导小区居民通过成立业主大会、小区议事会等方式表达诉求、行使权力、维护利益。</w:t>
      </w:r>
    </w:p>
    <w:p w14:paraId="6B855598"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22．提升物业服务水平。探索制定物业行业信用信息管理</w:t>
      </w:r>
      <w:r w:rsidRPr="00C223F9">
        <w:rPr>
          <w:rFonts w:ascii="仿宋_GB2312" w:eastAsia="仿宋_GB2312" w:hint="eastAsia"/>
          <w:sz w:val="32"/>
          <w:szCs w:val="32"/>
        </w:rPr>
        <w:lastRenderedPageBreak/>
        <w:t>工作机制，健全行业评价、价格协商、良性退出等机制，推行“物业+社会组织”“物业+社工”模式，重构“公开透明、开放参与”的新型治理关系，提高小区治理和服务规范化水平。</w:t>
      </w:r>
    </w:p>
    <w:p w14:paraId="7531A13A"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（四）推进社会主体培育</w:t>
      </w:r>
    </w:p>
    <w:p w14:paraId="0C031566"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23．扶持社会组织专业发展。健全社会组织发展制度体系，大力发展专业化、枢纽型、品牌性社会组织，重点培育公益性、服务性、互助性社会组织。制定政府向社会组织购买服务年度计划，分层分级编制购买服务指导目录和事项清单，推动购买社会组织服务支出占政府购买服务比例稳步提升。</w:t>
      </w:r>
    </w:p>
    <w:p w14:paraId="6D58B01C"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24．创新发展社区社会企业。出台和完善培育发展社区社会企业的实施意见，建立区级层面本地社区社会企业库，完善入库标准、绩效评估、动态调整、运营监管、良性退出机制，重点培育空间运营、物业服务、社区商业、便民服务等领域社区社会企业，依托社区发展治理支持中心、社工总站搭建社区社会企业孵化平台，推动社区社会企业多元发展、转型成长。</w:t>
      </w:r>
    </w:p>
    <w:p w14:paraId="7E691C00"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25．规范培育社区基金。制定社区基金培育发展计划，加强社区基金全程督导及技术支持，规范资金募集、使用及扶持项目管理，鼓励社会主体和民间资本按程序发起成立社区基金，吸引社会资本持续稳定投入社区发展治理事业。</w:t>
      </w:r>
    </w:p>
    <w:p w14:paraId="216439B1"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（五）推进智慧社区建设</w:t>
      </w:r>
    </w:p>
    <w:p w14:paraId="1D06015C"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lastRenderedPageBreak/>
        <w:t>26．加快智慧信息技术运用。推动人工智能、大数据、5G、区块链等于社区发展治理及服务体系的深度融合，支持引导可穿戴设备、虚拟现实、智能感知等新型信息产品在社区的推广应用，丰富各类智能产品在社区的线下服务体验，为“互联网+社区”建设提供更多优质产品。</w:t>
      </w:r>
    </w:p>
    <w:p w14:paraId="0A6EF9E5"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27．建立智慧社区综合平台。依托“德阳市民通”平台打通数据采集和回流渠道，整合并统一事项报送和指令下发功能，完善智慧社区调度枢纽功能。发挥智慧治理功能，搭建区级、镇（街道）、社区三级基础信息模型平台、综合服务管理平台，推进信息平台集成融合、管理体系归口统一、用户终端集成应用。</w:t>
      </w:r>
    </w:p>
    <w:p w14:paraId="5E758701"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28．拓展智慧社区应用场景。建立城市运行基础感知系统，实施平安城市建设、公共卫生应急、人口管控排查等治理重点领域智慧化场景社区呈现。推动居家养老、医疗康养、社区教育、数字文娱、定制配送等智慧化个性生活服务进入小区院落，探索智慧技术成果在家庭安防、邻里互助、家政服务等领域入户应用。</w:t>
      </w:r>
    </w:p>
    <w:p w14:paraId="5DC90FC5" w14:textId="77777777" w:rsidR="003A01DB" w:rsidRPr="009C21FD" w:rsidRDefault="003A01DB" w:rsidP="009C21FD">
      <w:pPr>
        <w:pStyle w:val="22"/>
        <w:tabs>
          <w:tab w:val="left" w:pos="960"/>
        </w:tabs>
        <w:spacing w:beforeLines="50" w:before="156" w:afterLines="50" w:after="156" w:line="590" w:lineRule="exact"/>
        <w:ind w:leftChars="0" w:left="0" w:firstLineChars="0" w:firstLine="0"/>
        <w:jc w:val="center"/>
        <w:rPr>
          <w:rFonts w:ascii="楷体_GB2312" w:eastAsia="楷体_GB2312" w:hAnsi="Times New Roman" w:hint="eastAsia"/>
          <w:b/>
          <w:color w:val="000000"/>
          <w:sz w:val="32"/>
          <w:szCs w:val="32"/>
        </w:rPr>
      </w:pPr>
      <w:r w:rsidRPr="009C21FD">
        <w:rPr>
          <w:rFonts w:ascii="楷体_GB2312" w:eastAsia="楷体_GB2312" w:hAnsi="Times New Roman" w:hint="eastAsia"/>
          <w:b/>
          <w:color w:val="000000"/>
          <w:sz w:val="32"/>
          <w:szCs w:val="32"/>
        </w:rPr>
        <w:t>第三节 优化服务，构建社区生活共同体</w:t>
      </w:r>
    </w:p>
    <w:p w14:paraId="056EF3AD"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（一）优化社区公共服务配置机制</w:t>
      </w:r>
    </w:p>
    <w:p w14:paraId="0C86F809"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29．完善社区公共服务资源布局。合理布局公共服务资源，</w:t>
      </w:r>
      <w:r w:rsidRPr="00C223F9">
        <w:rPr>
          <w:rFonts w:ascii="仿宋_GB2312" w:eastAsia="仿宋_GB2312" w:hint="eastAsia"/>
          <w:sz w:val="32"/>
          <w:szCs w:val="32"/>
        </w:rPr>
        <w:lastRenderedPageBreak/>
        <w:t>适应人口分布和动态迁徙统筹推进教育、医疗、养老等基本公共服务资源规划布局，构建“15分钟－10分钟－5分钟”社区生活圈。综合运用购买服务、公建民营、价格和补贴动态调整等方式，鼓励市场资本参与社区公共服务设施投建管运，促进公共服务资源配置最优化、居民可及最大化。</w:t>
      </w:r>
    </w:p>
    <w:p w14:paraId="30E62FFC"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30．加强全龄人群公共服务供给。聚焦“一老一小”和特殊群体服务需求，构建居家机构相协调、医养康养相结合的社区养老服务体系，推动物业管理与养老服务相结合，创新高龄老人关心照护服务模式；推进儿童友好型社区建设，大力发展社区托育服务，加强未成年人社区关爱保护；推进老年友好型社区建设，实施无障碍场景社区营建行动。</w:t>
      </w:r>
    </w:p>
    <w:p w14:paraId="09CBB1AA"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（二）优化政务服务下沉社区机制</w:t>
      </w:r>
    </w:p>
    <w:p w14:paraId="666B7570"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31．推进镇街便民服务中心综窗化。以构建“标准化、规范化、便利化”便民服务体系为目标，持续深化镇（街道）便民服务中心“无差别综合窗口”建设和改革，统一审批服务事项、再造审批服务流程、规范审批服务标准，实现“前台一窗受理、后台分类审批”，因地制宜推进政务服务向各类社区服务载体延伸。</w:t>
      </w:r>
    </w:p>
    <w:p w14:paraId="438529BF"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32．推进政务服务信息平台集成化。推进政务服务“一网通办”，完善数据接口和共享方式，整合融通不同层级、不同</w:t>
      </w:r>
      <w:r w:rsidRPr="00C223F9">
        <w:rPr>
          <w:rFonts w:ascii="仿宋_GB2312" w:eastAsia="仿宋_GB2312" w:hint="eastAsia"/>
          <w:sz w:val="32"/>
          <w:szCs w:val="32"/>
        </w:rPr>
        <w:lastRenderedPageBreak/>
        <w:t>部门的信息数据、服务事项、业务流程，构建实体受理窗口、网上办事大厅、移动客户端、自助终端的多样化服务格局，实现居民高频次办理事项线上获取。</w:t>
      </w:r>
    </w:p>
    <w:p w14:paraId="669F58FB"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（三）优化便民生活服务供给机制</w:t>
      </w:r>
    </w:p>
    <w:p w14:paraId="0A2571CC"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33．建立供需对接机制。开展服务需求常态化调查，建立逐年配套、跟踪问效常态机制，保障居民服务需求的表达权、决策权和评价权。引入大数据、移动互联网等新技术和新理念，建设社区服务供需对接信息平台，提供服务信息发布、检索、推荐功能，提升服务供给精准度。</w:t>
      </w:r>
    </w:p>
    <w:p w14:paraId="598B6611"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34．健全服务供给链条。以提升便利度和改善服务体验为导向，推动社区便民生活服务向高品质和多样化升级。依托三级社区综合体，活化利用各类闲置空间资源，集成提供社区养老、社区医疗、社区教育等基本生活服务，大力发展快递配送、生活维修、个人护理等高频生活服务，构建覆盖全人群全周期全链条的社区便民生活服务圈。</w:t>
      </w:r>
    </w:p>
    <w:p w14:paraId="53D7748A"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35．拓展服务供给渠道。推动国有平台公司和社会专业性企业参与社区便民生活服务供给，大力发展社区家庭服务、健康服务、养老服务企业和机构。健全社区服务设施共享利用机制，鼓励驻区单位向居民有序开放文体场所、内部食堂、停车场等空间和设施资源。</w:t>
      </w:r>
    </w:p>
    <w:p w14:paraId="0B9EAE39"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lastRenderedPageBreak/>
        <w:t>（四）优化社区志愿服务参与机制</w:t>
      </w:r>
    </w:p>
    <w:p w14:paraId="618E7D3F"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36．健全社区志愿服务体系。推动党政机关、企业事业单位等成立志愿服务队到社区开展志愿服务，落实星级志愿者优惠激励措施，探索建立“爱心银行”“时间银行”等志愿服务回馈制度，推进社区志愿服务常态化。</w:t>
      </w:r>
    </w:p>
    <w:p w14:paraId="3267D119"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37．丰富社区志愿服务内容。鼓励以家政服务、文体活动、心理疏导、法律服务等为主要服务内容，以低保特困、空巢老人、留守儿童、残疾人等为主要服务对象，有针对性地开展社区志愿服务。</w:t>
      </w:r>
    </w:p>
    <w:p w14:paraId="53CD858C"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38．建设新时代文明实践站。建立对口指导帮扶机制、文明单位结对共建机制、社会资源引入机制、资金保障机制、绩效考评机制、骨干培训机制等六项机制，全力推进全区新时代文明实践中心建设工作，丰富新时代文明实践志愿服务活动，强化宣传引导，推动文明实践活动长效化、常态化开展。</w:t>
      </w:r>
    </w:p>
    <w:p w14:paraId="0E89210E"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（五）优化社区服务载体运营机制</w:t>
      </w:r>
    </w:p>
    <w:p w14:paraId="3DC5DDB8"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39．推动社区服务载体市场化运营。研究制定社区服务载体建设路径、资金来源、运营主体等全生命周期政策措施，鼓励利用社区办公用房、楼栋架空层和物业管理用房等公共空间开展社区服务，支持市场主体、社会力量、社区居民共同参与社区服务载体管理运行，健全委托专业机构运营与自主运营并</w:t>
      </w:r>
      <w:r w:rsidRPr="00C223F9">
        <w:rPr>
          <w:rFonts w:ascii="仿宋_GB2312" w:eastAsia="仿宋_GB2312" w:hint="eastAsia"/>
          <w:sz w:val="32"/>
          <w:szCs w:val="32"/>
        </w:rPr>
        <w:lastRenderedPageBreak/>
        <w:t>行、商业服务与公益服务结合、经济效益与社会效益兼顾的管理运营模式。</w:t>
      </w:r>
    </w:p>
    <w:p w14:paraId="6AD7A832"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40．加强社区综合服务集成化供给。优化片区级、社区级、驿站级三级综合体服务载体功能，整合区域党务、政务、社务、商务、人才、生活等全方位服务项目，鼓励相似服务功能在不同时段共享同一空间、互补服务功能在同一时段无边界融合，全面提升区域内镇（街道）、村（社区）、网格、小区服务能级，实现“一站式”服务供给。</w:t>
      </w:r>
    </w:p>
    <w:p w14:paraId="6E5C6386" w14:textId="77777777" w:rsidR="003A01DB" w:rsidRPr="009C21FD" w:rsidRDefault="003A01DB" w:rsidP="009C21FD">
      <w:pPr>
        <w:pStyle w:val="af"/>
        <w:widowControl w:val="0"/>
        <w:spacing w:beforeLines="50" w:before="156" w:afterLines="50" w:after="156" w:line="590" w:lineRule="exact"/>
        <w:rPr>
          <w:rFonts w:ascii="楷体_GB2312" w:eastAsia="楷体_GB2312" w:hAnsi="Times New Roman" w:hint="eastAsia"/>
          <w:b/>
          <w:bCs/>
          <w:sz w:val="32"/>
          <w:szCs w:val="32"/>
        </w:rPr>
      </w:pPr>
      <w:r w:rsidRPr="009C21FD">
        <w:rPr>
          <w:rFonts w:ascii="楷体_GB2312" w:eastAsia="楷体_GB2312" w:hAnsi="Times New Roman" w:hint="eastAsia"/>
          <w:b/>
          <w:sz w:val="32"/>
          <w:szCs w:val="32"/>
        </w:rPr>
        <w:t>第四节 提质增效，构建社区发展共同体</w:t>
      </w:r>
    </w:p>
    <w:p w14:paraId="6962F21B"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（一）推动社区空间配置提升</w:t>
      </w:r>
    </w:p>
    <w:p w14:paraId="13EEDB57"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41．提升城市新区社区品质。推动规划新建片区综合开发，以主题社区建设为导向，突出人文化、开放式、复合型、空间美、包容性、高智能、有韧性等内涵特征开展多维场景营造，鼓励市场主体参与社区开发运营，促进品质社区“规建管运治”一体化。</w:t>
      </w:r>
    </w:p>
    <w:p w14:paraId="4D6150CD"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42．推动老城区社区改造。按照“渐进式、小规模、适应性”原则分类实施城市更新改造。充分发动居民参与设计、改造的作用，整合利用低效用地、社区闲置空间，采取设施嵌入、功能置换、业态提升、场景营造等策略推进社区微更新、微改造，激活城市空间价值。</w:t>
      </w:r>
    </w:p>
    <w:p w14:paraId="2965AB28"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lastRenderedPageBreak/>
        <w:t>43．促进城乡社区资源活化。坚持城乡融合发展方向，挖掘山水、土地、文化、旅游等在地资源，推进城乡社区空间活化、要素活化、场景活化、产业活化，推动商文旅体融合发挥发展。</w:t>
      </w:r>
    </w:p>
    <w:p w14:paraId="3C63D979"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（二）推动社区场景造赋能</w:t>
      </w:r>
    </w:p>
    <w:p w14:paraId="5D9ADCC8"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44．以场景营造赋能美好生活。围绕人的生活体验，大力发展跨界融合复合型业态，打造丰富多元的消费场景。精准对接居民需求，加快发展覆盖养老、教育、健康、家政等民生领域的线上线下服务，打造高效便捷的便民服务场景。活化利用城市公园、街道广场等公共空间，精心设计配置体现人文价值、美学体验的休憩功能设施，打造温馨优雅的人际交往场景。</w:t>
      </w:r>
    </w:p>
    <w:p w14:paraId="1914DF17"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45．以场景营造激发内生动能。搭建社区创业服务平台，集成提供孵化培育、技能培训、法律咨询等全生命周期产业服务，推动高端人才、先进要素、创新企业和研发活动集群，营造公共服务、公益服务、商业服务、生活服务多维场景。</w:t>
      </w:r>
    </w:p>
    <w:p w14:paraId="50BF478D"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（三）推动社区商业发展繁荣</w:t>
      </w:r>
    </w:p>
    <w:p w14:paraId="5528D007"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46．完善规划引领与政策支撑体系。发挥政府引导作用，健全规划指引、政策支撑、市场准入、机会释放和有序竞争的社区商业培育发展体系，明确发展区域布局、重点方向和行业规范，建立社区商业项目准入、特许经营和退出机制，支持国</w:t>
      </w:r>
      <w:r w:rsidRPr="00C223F9">
        <w:rPr>
          <w:rFonts w:ascii="仿宋_GB2312" w:eastAsia="仿宋_GB2312" w:hint="eastAsia"/>
          <w:sz w:val="32"/>
          <w:szCs w:val="32"/>
        </w:rPr>
        <w:lastRenderedPageBreak/>
        <w:t>资平台公司、社会企业等多元主体参与社区商业项目建设运营。</w:t>
      </w:r>
    </w:p>
    <w:p w14:paraId="19C17449"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47．推动市民服务与消费场景叠加。发挥市场主体作用，围绕“全龄全时”多元消费需求，大力发展夜间经济、周末经济、首店经济，积极招引创新型、科创型龙头企业及各类首店入驻社区，依托社区综合体、特色街区等载体培育社区消费新业态，运用现代化信息技术发展“互联网+”社区消费新模式，形成5-15分钟便民服务圈，解决最后一公里消费问题。</w:t>
      </w:r>
    </w:p>
    <w:p w14:paraId="2D96E2E5"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48．推动市场供给与社会供给统一。发挥社会衍生作用，大力发展社区商业+旅游、社区商业+文化、社区商业+康养、社区商业+居家、社区商业+教育等新型业态，推动商业逻辑和公益属性相融互促。引导社会组织、社会企业、社区社会企业等社会主体围绕居民需求迫切、政府难以兜底、市场不愿介入的服务领域，以商业化逻辑完善针对性产品和服务供给，实现经济效益、社会效益和民生效益有机统一。</w:t>
      </w:r>
    </w:p>
    <w:p w14:paraId="108B44E2"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（四）推动社区生态价值转化</w:t>
      </w:r>
    </w:p>
    <w:p w14:paraId="49DE55D6"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49．推动社区生态体系经济价值转化。挖掘社区生态资源“吃住行游购娱”消费潜力，推动民宿康养、运动休闲、体验消费、旅游观光等业态有机融合，满足居民多样性、个性化、高品质户外消费需求。健全社区生态产品经营开发机制，构建“生态投入－环境改善－品质提升－价值反哺”良性循环，促</w:t>
      </w:r>
      <w:r w:rsidRPr="00C223F9">
        <w:rPr>
          <w:rFonts w:ascii="仿宋_GB2312" w:eastAsia="仿宋_GB2312" w:hint="eastAsia"/>
          <w:sz w:val="32"/>
          <w:szCs w:val="32"/>
        </w:rPr>
        <w:lastRenderedPageBreak/>
        <w:t>进社区生态产品价值增值。</w:t>
      </w:r>
    </w:p>
    <w:p w14:paraId="718FD45F"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50．推动社区生态体系社会价值转化。加强社区生态资源区域统筹规划和功能设计，符合叠加空间承载、服务供给和行为引领功能，缓解停车、应急、养老设施短缺等社会难题。加强社区生态空间文化、教育、体育等公共服务设施有机融入，策划实施绿色开放空间的群众性户外文体活动，引导居民在绿色开放空间享受健康生活。</w:t>
      </w:r>
    </w:p>
    <w:p w14:paraId="35D3345A"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51．推动社区生态体系人文价值转化。深度挖掘文庙、石刻等生态区域文化资源，大力推进文化生态街区建设，鼓励知名文创企业、艺术院校师生进入社区生态空间开展公共艺术创作和视觉表达设计，促进社区生态体系与文化、风俗等有机融合，丰富旌阳文化内涵。</w:t>
      </w:r>
    </w:p>
    <w:p w14:paraId="028C33A5"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（五）推动社区特色文化创生</w:t>
      </w:r>
    </w:p>
    <w:p w14:paraId="57A5F757"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52．推动社区文化浸润式培育。深化和谐邻里关系营造，精心策划频次高、受众广、可持续的社区群众性文化项目，培育居民社区共同体意识。依托各类社区服务阵地和小区架空层等空间，根据居民需求打造社区书屋、社区学堂等社区文化场所，常态组织邻里市集、小区论坛等邻里活动，塑造向善向美的社区精神。</w:t>
      </w:r>
    </w:p>
    <w:p w14:paraId="150E9981"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53．推动社区文化延续性传承。挖掘旌城文化内涵、提炼</w:t>
      </w:r>
      <w:r w:rsidRPr="00C223F9">
        <w:rPr>
          <w:rFonts w:ascii="仿宋_GB2312" w:eastAsia="仿宋_GB2312" w:hint="eastAsia"/>
          <w:sz w:val="32"/>
          <w:szCs w:val="32"/>
        </w:rPr>
        <w:lastRenderedPageBreak/>
        <w:t>社区文化符号，加强社区文化街区、历史遗存、特色建筑、红色资源保护利用，编制社区文化发展规划，打造非遗传承场所、红色教育基地等区域文化地标，设置文化陈列室、人物故事墙等小微文化场景，让社区成为居民情感联结、文化认同的重要载体。</w:t>
      </w:r>
    </w:p>
    <w:p w14:paraId="6C23AC9F"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54．推动社区文化创造性转化。分类打造以文化为内核的旌城人文、运动健康、城市美育等主题社区，创新建设社区运动角、社区美空间等社区文体场景，引入文创企业开办社区工作室、设计馆，促进文化开发利用与创意设计、旅游消费有机融合。</w:t>
      </w:r>
    </w:p>
    <w:p w14:paraId="2FA249E5" w14:textId="77777777" w:rsidR="003A01DB" w:rsidRPr="009C21FD" w:rsidRDefault="003A01DB" w:rsidP="009C21FD">
      <w:pPr>
        <w:pStyle w:val="af"/>
        <w:widowControl w:val="0"/>
        <w:spacing w:beforeLines="50" w:before="156" w:afterLines="50" w:after="156" w:line="590" w:lineRule="exact"/>
        <w:rPr>
          <w:rFonts w:ascii="楷体_GB2312" w:eastAsia="楷体_GB2312" w:hAnsi="Times New Roman" w:hint="eastAsia"/>
          <w:b/>
          <w:sz w:val="32"/>
          <w:szCs w:val="32"/>
        </w:rPr>
      </w:pPr>
      <w:r w:rsidRPr="009C21FD">
        <w:rPr>
          <w:rFonts w:ascii="楷体_GB2312" w:eastAsia="楷体_GB2312" w:hAnsi="Times New Roman" w:hint="eastAsia"/>
          <w:b/>
          <w:sz w:val="32"/>
          <w:szCs w:val="32"/>
        </w:rPr>
        <w:t>第五节 筑牢根基，构建社区平安共同体</w:t>
      </w:r>
    </w:p>
    <w:p w14:paraId="7FF9B306"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（一）强化重大灾害应急响应</w:t>
      </w:r>
    </w:p>
    <w:p w14:paraId="2955EF68"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55．加强防灾减灾基础建设。加快智慧应急系统建设，开展综合灾害风险普查，建立社区灾害和事故隐患动态清单，根据不同灾害类别和风险等级科学制定社区综合减灾规划。推动灾害风险早期预警设施进学校、进小区，依托国家、省级、市级、区级综合灾害监测大数据系统，加强对各类灾害风险的监测分析和快速预警。</w:t>
      </w:r>
    </w:p>
    <w:p w14:paraId="60CE36EE"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56．强化灾害风险联动响应。健全社区与应急、公安、消防等部门定期联系制度和联动协作机制，形成与城市指挥互联</w:t>
      </w:r>
      <w:r w:rsidRPr="00C223F9">
        <w:rPr>
          <w:rFonts w:ascii="仿宋_GB2312" w:eastAsia="仿宋_GB2312" w:hint="eastAsia"/>
          <w:sz w:val="32"/>
          <w:szCs w:val="32"/>
        </w:rPr>
        <w:lastRenderedPageBreak/>
        <w:t>互通的社区应急指挥终端。以流程化相应、模块化调度为导向推进社区应急预案体系建设，全覆盖组建涵盖基层力量、救援机构、社会组织的镇（街道）、村（社区）两级应急响应队伍。构建社区应急物资储调体系，建立与辖区内商家联盟、驻区单位等统调机制。</w:t>
      </w:r>
    </w:p>
    <w:p w14:paraId="621E339B"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57．提升居民自救互救能力。构建社会力量参与防灾教育、灾害处置、灾后救助的制度化渠道，鼓励通过政府购买委托专业社会组织和社会救援机构，面向基层应急响应队伍和居民群众开展防灾减灾救灾知识宣传、技能培训、应急演练。健全多元主体参与社区应急举报、响应、处置的激励制度，推动社会组织、社区居民和驻区单位、行业组织常态化参与社区应急联动。</w:t>
      </w:r>
    </w:p>
    <w:p w14:paraId="3BAEB7C5"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（二）强化公共卫生风险应对</w:t>
      </w:r>
    </w:p>
    <w:p w14:paraId="38CCE113"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58．加强公共卫生服务体系建设。加强公共卫生体系基层设施和学科人才队伍建设，全覆盖建立村（社区）公共卫生委员会，不断改善城乡公共卫生环境，完善应急管理体系，提升公共卫生服务能力、重大疫情防控预警预防能力和公共卫生突发事件应急处置能力。</w:t>
      </w:r>
    </w:p>
    <w:p w14:paraId="26E36DF2"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59．健全社区疾病防控工作机制。建立完善应急状态下镇（街道）、村（社区）、派出所、物业机构、基层医疗卫生机</w:t>
      </w:r>
      <w:r w:rsidRPr="00C223F9">
        <w:rPr>
          <w:rFonts w:ascii="仿宋_GB2312" w:eastAsia="仿宋_GB2312" w:hint="eastAsia"/>
          <w:sz w:val="32"/>
          <w:szCs w:val="32"/>
        </w:rPr>
        <w:lastRenderedPageBreak/>
        <w:t>构各方联动的工作机制。健全点面结合的基层医疗机构，完善分级分诊、转运机制。强化社会动员和网格化管理，培育公共卫生领域社会组织和专业社工、志愿者队伍。建立跨部门、跨层级、跨区域的整合机制，依托大数据、人工智能等技术优化疫情监测、排查、预警和防控工作。</w:t>
      </w:r>
    </w:p>
    <w:p w14:paraId="7DFDA0CC"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60．增强居民卫生风险应对能力。建立全社会参与健康促进与教育的工作机制，充分发挥医疗卫生机构、疾控部门、新闻媒体在健康科普中的重要作用，针对群众关切开展专业解读，提升重大疫情防范意识。健全社区公共卫生委员会制度、疫情防控卫生专员制度，促进基本公共卫生服务与家庭医生签约服务融合，完善预防、治疗、健康管理一体化健康服务，推动疾病预防工作向家庭延伸。</w:t>
      </w:r>
    </w:p>
    <w:p w14:paraId="060EA1AE"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（三）强化矛盾纠纷多元化解</w:t>
      </w:r>
    </w:p>
    <w:p w14:paraId="7A5D5584"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61．建强矛盾纠纷调处平台。充分发挥社区法务中心优势，推动矛盾纠纷调处力量下沉，以智慧社区区级、镇（街道）、村（社区）三级调度处置中心为工作载体，推动法检两院、司法、信访、公安、综治等部门专业解纷力量派驻中心，实现群众诉求一窗受理、信访矛盾联合调处、问题纠纷就地解决。</w:t>
      </w:r>
    </w:p>
    <w:p w14:paraId="69A6A9D4"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62．完善矛盾纠纷调处机制。围绕“一站式”解纷，依据智慧社区调度处置中心，畅通和规范群众诉求表达、利益协调、</w:t>
      </w:r>
      <w:r w:rsidRPr="00C223F9">
        <w:rPr>
          <w:rFonts w:ascii="仿宋_GB2312" w:eastAsia="仿宋_GB2312" w:hint="eastAsia"/>
          <w:sz w:val="32"/>
          <w:szCs w:val="32"/>
        </w:rPr>
        <w:lastRenderedPageBreak/>
        <w:t>权益保障渠道，推动矛盾纠纷信息收集、一体调度、分级调处、依法化解。坚持和发展新时代“枫桥经验”，加大关系群众切身利益的重点项目风险评估，健全事前排查预警、事中分层化解、事后定分止争全链条纠纷化解机制。</w:t>
      </w:r>
    </w:p>
    <w:p w14:paraId="39CE140A"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63．提升矛盾纠纷调处能力。加大调解资源整合力度，加强调解行业性组织和专业化队伍建设，壮大专职人民调解队伍，积极开展预约调解、网上调解、视频调解，建立多元调解协会，提高调解纠纷能力。</w:t>
      </w:r>
    </w:p>
    <w:p w14:paraId="31E39E4C"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（四）强化安全隐患系统治理</w:t>
      </w:r>
    </w:p>
    <w:p w14:paraId="043C9B36"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64．加强社区安全隐患排查。以社区网格为单位，整合网格员、综治队员、社区民警、专业社工等治理队伍，围绕社区安全生产、消防安全、设施安全、视频安全以及危化品管控、社会治安等方面存在的风险隐患，聚焦信访维稳重点领域、重点群体、重点人员，开展全覆盖拉网式排查，及时发现解决社区和群众身边的突出安全问题。</w:t>
      </w:r>
    </w:p>
    <w:p w14:paraId="241B12AD"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65．加强社会治安综合治理。完善立体化信息化社会治安防控体系，深化“天网工程”“雪亮工程”共享运用，持续推进智慧小区建设，加强智能门禁、安防系统在重点区域、重点场所投放配置。持续解决社会稳定突出问题，深化社会重大风险、历史遗留问题、突出信访问题攻坚化解，维护社会大局和</w:t>
      </w:r>
      <w:r w:rsidRPr="00C223F9">
        <w:rPr>
          <w:rFonts w:ascii="仿宋_GB2312" w:eastAsia="仿宋_GB2312" w:hint="eastAsia"/>
          <w:sz w:val="32"/>
          <w:szCs w:val="32"/>
        </w:rPr>
        <w:lastRenderedPageBreak/>
        <w:t>谐稳定。</w:t>
      </w:r>
    </w:p>
    <w:p w14:paraId="3DA84932"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66．加强薄弱区域风险整治。聚焦城郊结合部、“三无”院落、外来人员聚居区等管理薄弱区域，开展城乡结合部环境连片整治、农贸市场秩序整治、老旧小区违法建设整治、电动自行车安全整治等专项行动，消除重大安全风险，提升精细治理水平。围绕城中村、棚户区、安置小区、老旧院落等重点部位，开展老旧房屋安全隐患大排查大整治，通过修缮加固、更新改造等方式开展治理。</w:t>
      </w:r>
    </w:p>
    <w:p w14:paraId="7C0CCE8A" w14:textId="77777777" w:rsidR="003A01DB" w:rsidRPr="009332C0" w:rsidRDefault="003A01DB" w:rsidP="00CA5D03">
      <w:pPr>
        <w:pStyle w:val="22"/>
        <w:tabs>
          <w:tab w:val="left" w:pos="960"/>
        </w:tabs>
        <w:spacing w:after="0" w:line="590" w:lineRule="exact"/>
        <w:ind w:leftChars="0" w:left="0" w:firstLine="640"/>
        <w:rPr>
          <w:rFonts w:ascii="楷体_GB2312" w:eastAsia="楷体_GB2312" w:hAnsi="Times New Roman" w:hint="eastAsia"/>
          <w:b/>
          <w:color w:val="000000"/>
          <w:sz w:val="32"/>
          <w:szCs w:val="32"/>
        </w:rPr>
      </w:pPr>
      <w:r w:rsidRPr="009332C0">
        <w:rPr>
          <w:rFonts w:ascii="楷体_GB2312" w:eastAsia="楷体_GB2312" w:hAnsi="Times New Roman" w:hint="eastAsia"/>
          <w:b/>
          <w:color w:val="000000"/>
          <w:sz w:val="32"/>
          <w:szCs w:val="32"/>
        </w:rPr>
        <w:t>（五）强化社会心理危机干预</w:t>
      </w:r>
    </w:p>
    <w:p w14:paraId="125C7A00"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67．开展全人群心理干预。加强对公众心理危机干预常识的宣传教育，向公众普及心理健康知识、防范灾难常识与心理危机干预知识。强化对社区生活失意、心态失衡、行为反常的特殊人群提供心理疏导、资源链接、社会融入等专业服务，培育自尊自信、理性平和、积极向上的良好心态。建立未成年人心理问题早期发现和及时干预机制，做好未成年人心理治疗、心理危机干预以及精神障碍早期识别和准段治疗等工作。</w:t>
      </w:r>
    </w:p>
    <w:p w14:paraId="00C0FAD7"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68．加强专业化队伍建设。分层建立心理危机干预队伍储备库，引进心理咨询师按照不同层次、类别、任务组建专业队伍，鼓励掌握基本心理危机干预知识的救援人员和志愿者作为辅助力量，在为公众提供心理健康卫生服务同时，及时发现和</w:t>
      </w:r>
      <w:r w:rsidRPr="00C223F9">
        <w:rPr>
          <w:rFonts w:ascii="仿宋_GB2312" w:eastAsia="仿宋_GB2312" w:hint="eastAsia"/>
          <w:sz w:val="32"/>
          <w:szCs w:val="32"/>
        </w:rPr>
        <w:lastRenderedPageBreak/>
        <w:t>化解基层社会心理危机。加强社会心理危机干预工作队伍的分类培训和规范管理，明确各类人员的资格准入、递进培养、业务开合和管理办法。</w:t>
      </w:r>
    </w:p>
    <w:p w14:paraId="0663BD5C" w14:textId="77777777" w:rsidR="003A01DB" w:rsidRPr="00C223F9" w:rsidRDefault="003A01DB" w:rsidP="00C223F9">
      <w:pPr>
        <w:pStyle w:val="1"/>
        <w:jc w:val="center"/>
        <w:rPr>
          <w:rFonts w:ascii="仿宋_GB2312" w:eastAsia="仿宋_GB2312" w:hint="eastAsia"/>
          <w:sz w:val="36"/>
          <w:szCs w:val="36"/>
        </w:rPr>
      </w:pPr>
      <w:bookmarkStart w:id="5" w:name="_Toc22064"/>
      <w:r w:rsidRPr="00C223F9">
        <w:rPr>
          <w:rFonts w:ascii="仿宋_GB2312" w:eastAsia="仿宋_GB2312" w:hint="eastAsia"/>
          <w:sz w:val="32"/>
          <w:szCs w:val="32"/>
        </w:rPr>
        <w:br w:type="page"/>
      </w:r>
      <w:r w:rsidRPr="00C223F9">
        <w:rPr>
          <w:rFonts w:ascii="仿宋_GB2312" w:eastAsia="仿宋_GB2312" w:hint="eastAsia"/>
          <w:sz w:val="36"/>
          <w:szCs w:val="36"/>
        </w:rPr>
        <w:lastRenderedPageBreak/>
        <w:t>第五章  组织保障</w:t>
      </w:r>
      <w:bookmarkEnd w:id="5"/>
    </w:p>
    <w:p w14:paraId="3B642F31" w14:textId="77777777" w:rsidR="003A01DB" w:rsidRDefault="003A01DB" w:rsidP="00CA5D03">
      <w:pPr>
        <w:pStyle w:val="af"/>
        <w:widowControl w:val="0"/>
        <w:spacing w:line="590" w:lineRule="exact"/>
        <w:ind w:firstLineChars="200" w:firstLine="640"/>
        <w:jc w:val="left"/>
        <w:rPr>
          <w:rFonts w:ascii="Times New Roman" w:eastAsia="黑体" w:hAnsi="Times New Roman"/>
          <w:sz w:val="32"/>
          <w:szCs w:val="32"/>
        </w:rPr>
      </w:pPr>
    </w:p>
    <w:p w14:paraId="0D7335B1" w14:textId="77777777" w:rsidR="003A01DB" w:rsidRPr="009C21FD" w:rsidRDefault="003A01DB" w:rsidP="009C21FD">
      <w:pPr>
        <w:pStyle w:val="af"/>
        <w:widowControl w:val="0"/>
        <w:spacing w:afterLines="50" w:after="156" w:line="590" w:lineRule="exact"/>
        <w:rPr>
          <w:rFonts w:ascii="楷体_GB2312" w:eastAsia="楷体_GB2312" w:hAnsi="Times New Roman" w:hint="eastAsia"/>
          <w:b/>
          <w:sz w:val="32"/>
          <w:szCs w:val="32"/>
        </w:rPr>
      </w:pPr>
      <w:r w:rsidRPr="009C21FD">
        <w:rPr>
          <w:rFonts w:ascii="楷体_GB2312" w:eastAsia="楷体_GB2312" w:hAnsi="Times New Roman" w:hint="eastAsia"/>
          <w:b/>
          <w:sz w:val="32"/>
          <w:szCs w:val="32"/>
        </w:rPr>
        <w:t>第一节 加强组织领导</w:t>
      </w:r>
    </w:p>
    <w:p w14:paraId="17DF7516"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加强党委对城乡社区发展治理的统一领导，发挥区委社区发展治理委员会牵头抓总作用，强化区委社治办顶层设计、统筹协调、整合资源、重点突破、督导落实职能，更高层面更广范围更大力度加强基层治理领域的工作统筹。健全城乡社区发展治理领导责任制，建立区、镇（街道）、社区、网格、小区五级党组织书记抓城乡社区发展治理的责任体系，镇（街道）党（工）委书记履行第一责任，社区党组织书记履行主体责任，网格党组织书记、小区党组织书记履行直接责任，各级党组织书记履职情况作为抓基层党建述职评议重要内容。加强城乡社区发展治理成效评估，评估结果作为镇（街道）党政领导班子和领导干部考核重要依据。健全党建引领城乡社区发展治理分类分级示范建设体系，建立城乡社区发展治理重大贡献和创新突破项目评选、先进集体和先进个人表扬激励制度，强化鼓励创新、选树典型、激励先进的工作导向。</w:t>
      </w:r>
    </w:p>
    <w:p w14:paraId="729B7FCA" w14:textId="77777777" w:rsidR="003A01DB" w:rsidRPr="009C21FD" w:rsidRDefault="003A01DB" w:rsidP="009C21FD">
      <w:pPr>
        <w:pStyle w:val="af"/>
        <w:widowControl w:val="0"/>
        <w:spacing w:beforeLines="50" w:before="156" w:afterLines="50" w:after="156" w:line="590" w:lineRule="exact"/>
        <w:rPr>
          <w:rFonts w:ascii="楷体_GB2312" w:eastAsia="楷体_GB2312" w:hAnsi="Times New Roman" w:hint="eastAsia"/>
          <w:b/>
          <w:sz w:val="32"/>
          <w:szCs w:val="32"/>
        </w:rPr>
      </w:pPr>
      <w:r w:rsidRPr="009C21FD">
        <w:rPr>
          <w:rFonts w:ascii="楷体_GB2312" w:eastAsia="楷体_GB2312" w:hAnsi="Times New Roman" w:hint="eastAsia"/>
          <w:b/>
          <w:sz w:val="32"/>
          <w:szCs w:val="32"/>
        </w:rPr>
        <w:t>第二节 完善政策供给</w:t>
      </w:r>
    </w:p>
    <w:p w14:paraId="52826E6E"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lastRenderedPageBreak/>
        <w:t>完善社区服务政策体系。编制城乡社区服务体系建设规划，将社区综合服务设施建设纳入国土空间规划，制定社区服务载体建设移交运营和服务项目准入、实施、评估等周期政策措施，完善以社区商业为主要形态的社区服务业制度生态，推动各类核心资源要素科学配置。探索发展社区经济政策体系。出台鼓励发展社区经济的实施意见，探索以社区党组织为引领、社区居委会为主导、社区资源活化利用微路径、实现社区公共利益为导向、服务社区居民为目标的社区可持续发展道路。创新社区资源统筹政策体系。出台引导国有企业、市场主体、公益组织等多元主体投入社区发展治理事业的支持政策，建立部门投入社区非专项资金统筹使用机制，壮大城乡社区发展治理资金规模，推动力量配备、服务资源、财力物力向基层一线倾斜，夯实社区服务群众的能力水平。</w:t>
      </w:r>
    </w:p>
    <w:p w14:paraId="70D34A26" w14:textId="77777777" w:rsidR="003A01DB" w:rsidRPr="009C21FD" w:rsidRDefault="003A01DB" w:rsidP="009C21FD">
      <w:pPr>
        <w:pStyle w:val="af"/>
        <w:widowControl w:val="0"/>
        <w:spacing w:beforeLines="50" w:before="156" w:afterLines="50" w:after="156" w:line="590" w:lineRule="exact"/>
        <w:rPr>
          <w:rFonts w:ascii="楷体_GB2312" w:eastAsia="楷体_GB2312" w:hAnsi="Times New Roman" w:hint="eastAsia"/>
          <w:b/>
          <w:sz w:val="32"/>
          <w:szCs w:val="32"/>
        </w:rPr>
      </w:pPr>
      <w:r w:rsidRPr="009C21FD">
        <w:rPr>
          <w:rFonts w:ascii="楷体_GB2312" w:eastAsia="楷体_GB2312" w:hAnsi="Times New Roman" w:hint="eastAsia"/>
          <w:b/>
          <w:sz w:val="32"/>
          <w:szCs w:val="32"/>
        </w:rPr>
        <w:t>第三节 强化规划实施</w:t>
      </w:r>
    </w:p>
    <w:p w14:paraId="74D08BFD"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建立和完善规划落实责任制，对本规划确定的指标和重大政策、重大改革任务，按年度分解落实到具体部门，明确实施主体、进度要求和推进措施，确保规划目标和任务如期完成。坚持以规划为引领项目建设、以项目为支撑规划落地，依托社区发展治理和民生项目发布机制，围绕城乡基础建设、环境保护、创新创业、公共服务等重点领域和薄弱环节，包装策划并</w:t>
      </w:r>
      <w:r w:rsidRPr="00C223F9">
        <w:rPr>
          <w:rFonts w:ascii="仿宋_GB2312" w:eastAsia="仿宋_GB2312" w:hint="eastAsia"/>
          <w:sz w:val="32"/>
          <w:szCs w:val="32"/>
        </w:rPr>
        <w:lastRenderedPageBreak/>
        <w:t>组织实施好一批重点项目。加强规划评估考核，将本规划确定的指标纳入相关部门综合评价和考核体系，动态开展城乡社区发展治理“十四五”规划年度跟踪监测、中期评估和末期全面评估，建立目标考评、社区测评、群众议评相协调的评价体系。</w:t>
      </w:r>
    </w:p>
    <w:p w14:paraId="7F97503C" w14:textId="77777777" w:rsidR="003A01DB" w:rsidRPr="009C21FD" w:rsidRDefault="003A01DB" w:rsidP="009C21FD">
      <w:pPr>
        <w:pStyle w:val="af"/>
        <w:widowControl w:val="0"/>
        <w:spacing w:beforeLines="50" w:before="156" w:afterLines="50" w:after="156" w:line="590" w:lineRule="exact"/>
        <w:rPr>
          <w:rFonts w:ascii="楷体_GB2312" w:eastAsia="楷体_GB2312" w:hAnsi="Times New Roman" w:hint="eastAsia"/>
          <w:b/>
          <w:sz w:val="32"/>
          <w:szCs w:val="32"/>
        </w:rPr>
      </w:pPr>
      <w:r w:rsidRPr="009C21FD">
        <w:rPr>
          <w:rFonts w:ascii="楷体_GB2312" w:eastAsia="楷体_GB2312" w:hAnsi="Times New Roman" w:hint="eastAsia"/>
          <w:b/>
          <w:sz w:val="32"/>
          <w:szCs w:val="32"/>
        </w:rPr>
        <w:t>第四节 营造良好氛围</w:t>
      </w:r>
    </w:p>
    <w:p w14:paraId="6AEDFA37" w14:textId="77777777" w:rsidR="003A01DB" w:rsidRPr="00C223F9" w:rsidRDefault="003A01DB" w:rsidP="00C223F9">
      <w:pPr>
        <w:ind w:firstLineChars="200" w:firstLine="640"/>
        <w:rPr>
          <w:rFonts w:ascii="仿宋_GB2312" w:eastAsia="仿宋_GB2312" w:hint="eastAsia"/>
          <w:sz w:val="32"/>
          <w:szCs w:val="32"/>
        </w:rPr>
      </w:pPr>
      <w:r w:rsidRPr="00C223F9">
        <w:rPr>
          <w:rFonts w:ascii="仿宋_GB2312" w:eastAsia="仿宋_GB2312" w:hint="eastAsia"/>
          <w:sz w:val="32"/>
          <w:szCs w:val="32"/>
        </w:rPr>
        <w:t>深入宣传城乡社区发展治理“十四五”规划的总体思路及目标任务，引导各级各媒体聚焦打造高品质和谐宜居生活社区等重大部署开展宣传议题策划。全面对标中央、省委和市委推进基层治理现代化的部署要求，主动对标一线城市的经验做法，研究建立基层治理质量标准，主动争取经验交流推介机会，大力宣传旌阳城乡社区发展治理的成果。广泛调动全社会力量共同参与规划实施，不断凝聚社会各界对城乡社区发展治理的价值认同和情感认同。</w:t>
      </w:r>
    </w:p>
    <w:p w14:paraId="46A509E4" w14:textId="77777777" w:rsidR="003A01DB" w:rsidRPr="00C223F9" w:rsidRDefault="003A01DB" w:rsidP="00C223F9">
      <w:pPr>
        <w:ind w:firstLineChars="200" w:firstLine="640"/>
        <w:rPr>
          <w:rFonts w:ascii="仿宋_GB2312" w:eastAsia="仿宋_GB2312" w:hint="eastAsia"/>
          <w:sz w:val="32"/>
          <w:szCs w:val="32"/>
        </w:rPr>
      </w:pPr>
    </w:p>
    <w:p w14:paraId="447937AF" w14:textId="77777777" w:rsidR="003A01DB" w:rsidRDefault="003A01DB" w:rsidP="00CA5D03">
      <w:pPr>
        <w:pStyle w:val="af"/>
        <w:widowControl w:val="0"/>
        <w:spacing w:line="590" w:lineRule="exact"/>
        <w:rPr>
          <w:rFonts w:ascii="Times New Roman" w:hAnsi="Times New Roman"/>
        </w:rPr>
      </w:pPr>
    </w:p>
    <w:p w14:paraId="795A15D4" w14:textId="77777777" w:rsidR="003A01DB" w:rsidRDefault="003A01DB" w:rsidP="00CA5D03">
      <w:pPr>
        <w:spacing w:line="590" w:lineRule="exact"/>
        <w:rPr>
          <w:rFonts w:ascii="Times New Roman" w:hAnsi="Times New Roman"/>
        </w:rPr>
      </w:pPr>
    </w:p>
    <w:p w14:paraId="10045D61" w14:textId="77777777" w:rsidR="003A01DB" w:rsidRDefault="003A01DB" w:rsidP="00CA5D03">
      <w:pPr>
        <w:pStyle w:val="a0"/>
        <w:widowControl w:val="0"/>
        <w:spacing w:line="590" w:lineRule="exact"/>
        <w:rPr>
          <w:rFonts w:ascii="Times New Roman" w:hAnsi="Times New Roman"/>
        </w:rPr>
      </w:pPr>
    </w:p>
    <w:p w14:paraId="127F135B" w14:textId="77777777" w:rsidR="003A01DB" w:rsidRDefault="003A01DB" w:rsidP="00CA5D03">
      <w:pPr>
        <w:pStyle w:val="af"/>
        <w:widowControl w:val="0"/>
        <w:spacing w:line="590" w:lineRule="exact"/>
        <w:rPr>
          <w:rFonts w:ascii="Times New Roman" w:hAnsi="Times New Roman"/>
        </w:rPr>
      </w:pPr>
    </w:p>
    <w:p w14:paraId="3016379E" w14:textId="77777777" w:rsidR="003A01DB" w:rsidRDefault="003A01DB" w:rsidP="00CA5D03">
      <w:pPr>
        <w:spacing w:line="590" w:lineRule="exact"/>
        <w:rPr>
          <w:rFonts w:ascii="Times New Roman" w:hAnsi="Times New Roman"/>
        </w:rPr>
      </w:pPr>
    </w:p>
    <w:p w14:paraId="5F606CA8" w14:textId="77777777" w:rsidR="003A01DB" w:rsidRDefault="003A01DB" w:rsidP="00CA5D03">
      <w:pPr>
        <w:pStyle w:val="a0"/>
        <w:widowControl w:val="0"/>
        <w:spacing w:line="590" w:lineRule="exact"/>
        <w:rPr>
          <w:rFonts w:ascii="Times New Roman" w:hAnsi="Times New Roman"/>
        </w:rPr>
      </w:pPr>
    </w:p>
    <w:p w14:paraId="11355515" w14:textId="77777777" w:rsidR="003A01DB" w:rsidRDefault="003A01DB" w:rsidP="00CA5D03">
      <w:pPr>
        <w:pStyle w:val="af"/>
        <w:widowControl w:val="0"/>
        <w:spacing w:line="590" w:lineRule="exact"/>
        <w:jc w:val="both"/>
        <w:rPr>
          <w:rFonts w:ascii="Times New Roman" w:hAnsi="Times New Roman" w:hint="eastAsia"/>
        </w:rPr>
      </w:pPr>
    </w:p>
    <w:p w14:paraId="460DB742" w14:textId="77777777" w:rsidR="00F752B4" w:rsidRDefault="00F752B4" w:rsidP="00CA5D03">
      <w:pPr>
        <w:rPr>
          <w:rFonts w:hint="eastAsia"/>
        </w:rPr>
      </w:pPr>
    </w:p>
    <w:p w14:paraId="173C3466" w14:textId="77777777" w:rsidR="00F752B4" w:rsidRDefault="00F752B4" w:rsidP="00CA5D03">
      <w:pPr>
        <w:pStyle w:val="a0"/>
        <w:widowControl w:val="0"/>
        <w:rPr>
          <w:rFonts w:hint="eastAsia"/>
        </w:rPr>
      </w:pPr>
    </w:p>
    <w:p w14:paraId="7BB2E339" w14:textId="77777777" w:rsidR="00F752B4" w:rsidRDefault="00F752B4" w:rsidP="00CA5D03">
      <w:pPr>
        <w:pStyle w:val="af"/>
        <w:widowControl w:val="0"/>
        <w:rPr>
          <w:rFonts w:hint="eastAsia"/>
        </w:rPr>
      </w:pPr>
    </w:p>
    <w:p w14:paraId="18C40E6D" w14:textId="77777777" w:rsidR="00F752B4" w:rsidRDefault="00F752B4" w:rsidP="00CA5D03">
      <w:pPr>
        <w:rPr>
          <w:rFonts w:hint="eastAsia"/>
        </w:rPr>
      </w:pPr>
    </w:p>
    <w:p w14:paraId="346A23DF" w14:textId="77777777" w:rsidR="00F752B4" w:rsidRDefault="00F752B4" w:rsidP="00CA5D03">
      <w:pPr>
        <w:pStyle w:val="a0"/>
        <w:widowControl w:val="0"/>
        <w:rPr>
          <w:rFonts w:hint="eastAsia"/>
        </w:rPr>
      </w:pPr>
    </w:p>
    <w:p w14:paraId="66EEE54C" w14:textId="77777777" w:rsidR="00F752B4" w:rsidRDefault="00F752B4" w:rsidP="00CA5D03">
      <w:pPr>
        <w:pStyle w:val="af"/>
        <w:widowControl w:val="0"/>
        <w:rPr>
          <w:rFonts w:hint="eastAsia"/>
        </w:rPr>
      </w:pPr>
    </w:p>
    <w:p w14:paraId="75DF72CB" w14:textId="77777777" w:rsidR="00F752B4" w:rsidRDefault="00F752B4" w:rsidP="00CA5D03">
      <w:pPr>
        <w:rPr>
          <w:rFonts w:hint="eastAsia"/>
        </w:rPr>
      </w:pPr>
    </w:p>
    <w:p w14:paraId="1843BBF3" w14:textId="77777777" w:rsidR="00F752B4" w:rsidRDefault="00F752B4" w:rsidP="00CA5D03">
      <w:pPr>
        <w:pStyle w:val="a0"/>
        <w:widowControl w:val="0"/>
        <w:rPr>
          <w:rFonts w:hint="eastAsia"/>
        </w:rPr>
      </w:pPr>
    </w:p>
    <w:p w14:paraId="798E29D2" w14:textId="77777777" w:rsidR="00F752B4" w:rsidRDefault="00F752B4" w:rsidP="00CA5D03">
      <w:pPr>
        <w:pStyle w:val="af"/>
        <w:widowControl w:val="0"/>
        <w:rPr>
          <w:rFonts w:hint="eastAsia"/>
        </w:rPr>
      </w:pPr>
    </w:p>
    <w:p w14:paraId="5DE7679B" w14:textId="77777777" w:rsidR="00F752B4" w:rsidRDefault="00F752B4" w:rsidP="00CA5D03">
      <w:pPr>
        <w:rPr>
          <w:rFonts w:hint="eastAsia"/>
        </w:rPr>
      </w:pPr>
    </w:p>
    <w:p w14:paraId="117E8B24" w14:textId="77777777" w:rsidR="00F752B4" w:rsidRDefault="00F752B4" w:rsidP="00CA5D03">
      <w:pPr>
        <w:pStyle w:val="a0"/>
        <w:widowControl w:val="0"/>
        <w:rPr>
          <w:rFonts w:hint="eastAsia"/>
        </w:rPr>
      </w:pPr>
    </w:p>
    <w:p w14:paraId="3EAC91C9" w14:textId="77777777" w:rsidR="00F752B4" w:rsidRDefault="00F752B4" w:rsidP="00CA5D03">
      <w:pPr>
        <w:pStyle w:val="af"/>
        <w:widowControl w:val="0"/>
        <w:rPr>
          <w:rFonts w:hint="eastAsia"/>
        </w:rPr>
      </w:pPr>
    </w:p>
    <w:p w14:paraId="7D619E36" w14:textId="77777777" w:rsidR="00F752B4" w:rsidRDefault="00F752B4" w:rsidP="00CA5D03">
      <w:pPr>
        <w:rPr>
          <w:rFonts w:hint="eastAsia"/>
        </w:rPr>
      </w:pPr>
    </w:p>
    <w:p w14:paraId="24FF87C9" w14:textId="77777777" w:rsidR="00F752B4" w:rsidRDefault="00F752B4" w:rsidP="00CA5D03">
      <w:pPr>
        <w:pStyle w:val="a0"/>
        <w:widowControl w:val="0"/>
        <w:rPr>
          <w:rFonts w:hint="eastAsia"/>
        </w:rPr>
      </w:pPr>
    </w:p>
    <w:p w14:paraId="7A0901C2" w14:textId="77777777" w:rsidR="00F752B4" w:rsidRDefault="00F752B4" w:rsidP="00CA5D03">
      <w:pPr>
        <w:pStyle w:val="af"/>
        <w:widowControl w:val="0"/>
        <w:rPr>
          <w:rFonts w:hint="eastAsia"/>
        </w:rPr>
      </w:pPr>
    </w:p>
    <w:p w14:paraId="46956437" w14:textId="77777777" w:rsidR="00F752B4" w:rsidRDefault="00F752B4" w:rsidP="00CA5D03">
      <w:pPr>
        <w:rPr>
          <w:rFonts w:hint="eastAsia"/>
        </w:rPr>
      </w:pPr>
    </w:p>
    <w:p w14:paraId="6C326BD1" w14:textId="77777777" w:rsidR="00F752B4" w:rsidRDefault="00F752B4" w:rsidP="00CA5D03">
      <w:pPr>
        <w:pStyle w:val="a0"/>
        <w:widowControl w:val="0"/>
        <w:rPr>
          <w:rFonts w:hint="eastAsia"/>
        </w:rPr>
      </w:pPr>
    </w:p>
    <w:p w14:paraId="655F28F5" w14:textId="77777777" w:rsidR="00F752B4" w:rsidRDefault="00F752B4" w:rsidP="00CA5D03">
      <w:pPr>
        <w:pStyle w:val="af"/>
        <w:widowControl w:val="0"/>
        <w:rPr>
          <w:rFonts w:hint="eastAsia"/>
        </w:rPr>
      </w:pPr>
    </w:p>
    <w:p w14:paraId="0EB33EE9" w14:textId="77777777" w:rsidR="00F752B4" w:rsidRDefault="00F752B4" w:rsidP="00CA5D03">
      <w:pPr>
        <w:rPr>
          <w:rFonts w:hint="eastAsia"/>
        </w:rPr>
      </w:pPr>
    </w:p>
    <w:p w14:paraId="0D812672" w14:textId="77777777" w:rsidR="00F752B4" w:rsidRDefault="00F752B4" w:rsidP="00CA5D03">
      <w:pPr>
        <w:pStyle w:val="a0"/>
        <w:widowControl w:val="0"/>
        <w:rPr>
          <w:rFonts w:hint="eastAsia"/>
        </w:rPr>
      </w:pPr>
    </w:p>
    <w:p w14:paraId="2EACA6ED" w14:textId="77777777" w:rsidR="00F752B4" w:rsidRDefault="00F752B4" w:rsidP="00CA5D03">
      <w:pPr>
        <w:pStyle w:val="af"/>
        <w:widowControl w:val="0"/>
        <w:rPr>
          <w:rFonts w:hint="eastAsia"/>
        </w:rPr>
      </w:pPr>
    </w:p>
    <w:p w14:paraId="308C9ED3" w14:textId="77777777" w:rsidR="00F752B4" w:rsidRDefault="00F752B4" w:rsidP="00CA5D03">
      <w:pPr>
        <w:rPr>
          <w:rFonts w:hint="eastAsia"/>
        </w:rPr>
      </w:pPr>
    </w:p>
    <w:p w14:paraId="1DB5DE7E" w14:textId="77777777" w:rsidR="00F752B4" w:rsidRDefault="00F752B4" w:rsidP="00CA5D03">
      <w:pPr>
        <w:pStyle w:val="a0"/>
        <w:widowControl w:val="0"/>
        <w:rPr>
          <w:rFonts w:hint="eastAsia"/>
        </w:rPr>
      </w:pPr>
    </w:p>
    <w:p w14:paraId="65255971" w14:textId="77777777" w:rsidR="00F752B4" w:rsidRDefault="00F752B4" w:rsidP="00CA5D03">
      <w:pPr>
        <w:pStyle w:val="af"/>
        <w:widowControl w:val="0"/>
        <w:rPr>
          <w:rFonts w:hint="eastAsia"/>
        </w:rPr>
      </w:pPr>
    </w:p>
    <w:p w14:paraId="64E543CD" w14:textId="77777777" w:rsidR="00F752B4" w:rsidRDefault="00F752B4" w:rsidP="00CA5D03">
      <w:pPr>
        <w:spacing w:line="480" w:lineRule="exact"/>
        <w:rPr>
          <w:rFonts w:eastAsia="黑体" w:hint="eastAsia"/>
          <w:sz w:val="28"/>
          <w:szCs w:val="28"/>
        </w:rPr>
      </w:pPr>
    </w:p>
    <w:p w14:paraId="4A670410" w14:textId="77777777" w:rsidR="00F752B4" w:rsidRPr="00F752B4" w:rsidRDefault="00F752B4" w:rsidP="00CA5D03">
      <w:pPr>
        <w:pStyle w:val="a0"/>
        <w:widowControl w:val="0"/>
        <w:rPr>
          <w:rFonts w:hint="eastAsia"/>
        </w:rPr>
      </w:pPr>
    </w:p>
    <w:tbl>
      <w:tblPr>
        <w:tblpPr w:leftFromText="180" w:rightFromText="180" w:vertAnchor="text" w:horzAnchor="page" w:tblpX="1539" w:tblpY="493"/>
        <w:tblOverlap w:val="never"/>
        <w:tblW w:w="0" w:type="auto"/>
        <w:tblInd w:w="0" w:type="dxa"/>
        <w:tblLayout w:type="fixed"/>
        <w:tblLook w:val="00A0" w:firstRow="1" w:lastRow="0" w:firstColumn="1" w:lastColumn="0" w:noHBand="0" w:noVBand="0"/>
      </w:tblPr>
      <w:tblGrid>
        <w:gridCol w:w="9288"/>
      </w:tblGrid>
      <w:tr w:rsidR="00F752B4" w:rsidRPr="008528BD" w14:paraId="25C377A8" w14:textId="77777777" w:rsidTr="003A01DB">
        <w:trPr>
          <w:trHeight w:val="567"/>
        </w:trPr>
        <w:tc>
          <w:tcPr>
            <w:tcW w:w="9288" w:type="dxa"/>
            <w:tcBorders>
              <w:top w:val="single" w:sz="4" w:space="0" w:color="auto"/>
              <w:left w:val="nil"/>
              <w:bottom w:val="single" w:sz="4" w:space="0" w:color="auto"/>
              <w:right w:val="nil"/>
            </w:tcBorders>
            <w:vAlign w:val="center"/>
          </w:tcPr>
          <w:p w14:paraId="6D13A590" w14:textId="77777777" w:rsidR="00F752B4" w:rsidRDefault="00F752B4" w:rsidP="00CA5D03">
            <w:pPr>
              <w:snapToGrid w:val="0"/>
              <w:spacing w:line="480" w:lineRule="exact"/>
              <w:rPr>
                <w:rFonts w:eastAsia="仿宋_GB2312"/>
                <w:sz w:val="28"/>
                <w:szCs w:val="28"/>
              </w:rPr>
            </w:pPr>
            <w:r>
              <w:rPr>
                <w:rFonts w:eastAsia="仿宋_GB2312"/>
                <w:sz w:val="28"/>
                <w:szCs w:val="28"/>
              </w:rPr>
              <w:t xml:space="preserve">   </w:t>
            </w:r>
            <w:r>
              <w:rPr>
                <w:rFonts w:eastAsia="仿宋_GB2312" w:hint="eastAsia"/>
                <w:sz w:val="28"/>
                <w:szCs w:val="28"/>
              </w:rPr>
              <w:t>德阳市旌阳区人民政府办公室</w:t>
            </w:r>
            <w:r>
              <w:rPr>
                <w:rFonts w:eastAsia="仿宋_GB2312"/>
                <w:sz w:val="28"/>
                <w:szCs w:val="28"/>
              </w:rPr>
              <w:t xml:space="preserve">            </w:t>
            </w:r>
            <w:r>
              <w:rPr>
                <w:rFonts w:ascii="Times New Roman" w:eastAsia="仿宋_GB2312" w:hAnsi="Times New Roman"/>
                <w:sz w:val="28"/>
                <w:szCs w:val="28"/>
              </w:rPr>
              <w:t xml:space="preserve">   2022</w:t>
            </w:r>
            <w:r>
              <w:rPr>
                <w:rFonts w:ascii="Times New Roman" w:eastAsia="仿宋_GB2312" w:hAnsi="Times New Roman" w:hint="eastAsia"/>
                <w:sz w:val="28"/>
                <w:szCs w:val="28"/>
              </w:rPr>
              <w:t>年</w:t>
            </w:r>
            <w:r>
              <w:rPr>
                <w:rFonts w:ascii="Times New Roman" w:eastAsia="仿宋_GB2312" w:hAnsi="Times New Roman"/>
                <w:sz w:val="28"/>
                <w:szCs w:val="28"/>
              </w:rPr>
              <w:t>5</w:t>
            </w:r>
            <w:r>
              <w:rPr>
                <w:rFonts w:ascii="Times New Roman" w:eastAsia="仿宋_GB2312" w:hAnsi="Times New Roman" w:hint="eastAsia"/>
                <w:sz w:val="28"/>
                <w:szCs w:val="28"/>
              </w:rPr>
              <w:t>月</w:t>
            </w:r>
            <w:r w:rsidR="002220A3">
              <w:rPr>
                <w:rFonts w:ascii="Times New Roman" w:eastAsia="仿宋_GB2312" w:hAnsi="Times New Roman" w:hint="eastAsia"/>
                <w:sz w:val="28"/>
                <w:szCs w:val="28"/>
              </w:rPr>
              <w:t>10</w:t>
            </w:r>
            <w:r>
              <w:rPr>
                <w:rFonts w:ascii="Times New Roman" w:eastAsia="仿宋_GB2312" w:hAnsi="Times New Roman" w:hint="eastAsia"/>
                <w:sz w:val="28"/>
                <w:szCs w:val="28"/>
              </w:rPr>
              <w:t>日印发</w:t>
            </w:r>
          </w:p>
        </w:tc>
      </w:tr>
    </w:tbl>
    <w:p w14:paraId="56D222B3" w14:textId="77777777" w:rsidR="00F752B4" w:rsidRDefault="00F752B4" w:rsidP="00CA5D03">
      <w:pPr>
        <w:spacing w:line="480" w:lineRule="exact"/>
        <w:rPr>
          <w:rFonts w:ascii="黑体" w:eastAsia="黑体" w:hAnsi="黑体" w:cs="黑体"/>
          <w:sz w:val="28"/>
          <w:szCs w:val="28"/>
        </w:rPr>
      </w:pPr>
      <w:r>
        <w:rPr>
          <w:rFonts w:eastAsia="黑体" w:hint="eastAsia"/>
          <w:sz w:val="28"/>
          <w:szCs w:val="28"/>
        </w:rPr>
        <w:t>信息公开选项：</w:t>
      </w:r>
      <w:r w:rsidR="002220A3">
        <w:rPr>
          <w:rFonts w:ascii="方正小标宋简体" w:eastAsia="方正小标宋简体" w:hAnsi="宋体" w:hint="eastAsia"/>
          <w:sz w:val="28"/>
          <w:szCs w:val="28"/>
        </w:rPr>
        <w:t>主动公开</w:t>
      </w:r>
      <w:r w:rsidRPr="002220A3">
        <w:rPr>
          <w:rFonts w:ascii="方正小标宋简体" w:eastAsia="方正小标宋简体" w:hAnsi="黑体" w:cs="黑体" w:hint="eastAsia"/>
          <w:sz w:val="28"/>
          <w:szCs w:val="28"/>
        </w:rPr>
        <w:t xml:space="preserve"> </w:t>
      </w:r>
    </w:p>
    <w:sectPr w:rsidR="00F752B4">
      <w:footerReference w:type="even" r:id="rId13"/>
      <w:footerReference w:type="default" r:id="rId14"/>
      <w:pgSz w:w="11906" w:h="16838"/>
      <w:pgMar w:top="2098" w:right="1587" w:bottom="1587" w:left="1587" w:header="851" w:footer="147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C6262" w14:textId="77777777" w:rsidR="002B5C48" w:rsidRDefault="002B5C48">
      <w:r>
        <w:separator/>
      </w:r>
    </w:p>
  </w:endnote>
  <w:endnote w:type="continuationSeparator" w:id="0">
    <w:p w14:paraId="292BF83E" w14:textId="77777777" w:rsidR="002B5C48" w:rsidRDefault="002B5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仿宋简体">
    <w:altName w:val="微软雅黑"/>
    <w:charset w:val="86"/>
    <w:family w:val="auto"/>
    <w:pitch w:val="variable"/>
    <w:sig w:usb0="A00002BF" w:usb1="184F6CFA" w:usb2="00000012" w:usb3="00000000" w:csb0="00040001" w:csb1="00000000"/>
  </w:font>
  <w:font w:name="方正小标宋简体">
    <w:panose1 w:val="02000000000000000000"/>
    <w:charset w:val="86"/>
    <w:family w:val="auto"/>
    <w:pitch w:val="variable"/>
    <w:sig w:usb0="A00002BF" w:usb1="184F6CFA" w:usb2="00000012" w:usb3="00000000" w:csb0="00040001"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FABDB" w14:textId="77777777" w:rsidR="002F6D0D" w:rsidRDefault="002F6D0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43B7E" w14:textId="77777777" w:rsidR="003A01DB" w:rsidRDefault="003A01DB">
    <w:pPr>
      <w:pStyle w:val="a5"/>
      <w:framePr w:wrap="around" w:vAnchor="text" w:hAnchor="margin" w:xAlign="outside" w:y="1"/>
      <w:rPr>
        <w:rStyle w:val="aa"/>
        <w:rFonts w:ascii="Times New Roman" w:hAnsi="Times New Roman"/>
        <w:b/>
        <w:sz w:val="28"/>
        <w:szCs w:val="28"/>
      </w:rPr>
    </w:pPr>
    <w:r>
      <w:rPr>
        <w:rStyle w:val="aa"/>
        <w:rFonts w:ascii="Times New Roman" w:hAnsi="Times New Roman"/>
        <w:b/>
        <w:sz w:val="28"/>
        <w:szCs w:val="28"/>
      </w:rPr>
      <w:t>—</w:t>
    </w:r>
    <w:r w:rsidRPr="00456FCE">
      <w:rPr>
        <w:rStyle w:val="aa"/>
        <w:rFonts w:ascii="宋体" w:hAnsi="宋体"/>
        <w:sz w:val="28"/>
        <w:szCs w:val="28"/>
      </w:rPr>
      <w:t xml:space="preserve"> </w:t>
    </w:r>
    <w:r w:rsidRPr="00456FCE">
      <w:rPr>
        <w:rFonts w:ascii="宋体" w:hAnsi="宋体"/>
        <w:sz w:val="28"/>
        <w:szCs w:val="28"/>
      </w:rPr>
      <w:fldChar w:fldCharType="begin"/>
    </w:r>
    <w:r w:rsidRPr="00456FCE">
      <w:rPr>
        <w:rStyle w:val="aa"/>
        <w:rFonts w:ascii="宋体" w:hAnsi="宋体"/>
        <w:sz w:val="28"/>
        <w:szCs w:val="28"/>
      </w:rPr>
      <w:instrText xml:space="preserve">PAGE  </w:instrText>
    </w:r>
    <w:r w:rsidRPr="00456FCE">
      <w:rPr>
        <w:rFonts w:ascii="宋体" w:hAnsi="宋体"/>
        <w:sz w:val="28"/>
        <w:szCs w:val="28"/>
      </w:rPr>
      <w:fldChar w:fldCharType="separate"/>
    </w:r>
    <w:r w:rsidR="002F6D0D">
      <w:rPr>
        <w:rStyle w:val="aa"/>
        <w:rFonts w:ascii="宋体" w:hAnsi="宋体"/>
        <w:noProof/>
        <w:sz w:val="28"/>
        <w:szCs w:val="28"/>
      </w:rPr>
      <w:t>2</w:t>
    </w:r>
    <w:r w:rsidRPr="00456FCE">
      <w:rPr>
        <w:rFonts w:ascii="宋体" w:hAnsi="宋体"/>
        <w:sz w:val="28"/>
        <w:szCs w:val="28"/>
      </w:rPr>
      <w:fldChar w:fldCharType="end"/>
    </w:r>
    <w:r w:rsidRPr="00456FCE">
      <w:rPr>
        <w:rStyle w:val="aa"/>
        <w:rFonts w:ascii="宋体" w:hAnsi="宋体"/>
        <w:sz w:val="28"/>
        <w:szCs w:val="28"/>
      </w:rPr>
      <w:t xml:space="preserve"> </w:t>
    </w:r>
    <w:r>
      <w:rPr>
        <w:rStyle w:val="aa"/>
        <w:rFonts w:ascii="Times New Roman" w:hAnsi="Times New Roman"/>
        <w:b/>
        <w:sz w:val="28"/>
        <w:szCs w:val="28"/>
      </w:rPr>
      <w:t>—</w:t>
    </w:r>
  </w:p>
  <w:p w14:paraId="4B5B12EF" w14:textId="77777777" w:rsidR="003A01DB" w:rsidRDefault="003A01D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04B23" w14:textId="77777777" w:rsidR="002F6D0D" w:rsidRDefault="002F6D0D">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84F4E" w14:textId="679DB38A" w:rsidR="003A01DB" w:rsidRDefault="007D5C2E">
    <w:pPr>
      <w:pStyle w:val="a5"/>
      <w:rPr>
        <w:rFonts w:ascii="宋体" w:hAnsi="宋体"/>
        <w:sz w:val="28"/>
        <w:szCs w:val="28"/>
      </w:rPr>
    </w:pPr>
    <w:r>
      <w:rPr>
        <w:noProof/>
        <w:sz w:val="28"/>
      </w:rPr>
      <mc:AlternateContent>
        <mc:Choice Requires="wps">
          <w:drawing>
            <wp:anchor distT="0" distB="0" distL="114300" distR="114300" simplePos="0" relativeHeight="251657728" behindDoc="0" locked="0" layoutInCell="1" allowOverlap="1" wp14:anchorId="6EA30562" wp14:editId="374EDDBF">
              <wp:simplePos x="0" y="0"/>
              <wp:positionH relativeFrom="margin">
                <wp:align>outside</wp:align>
              </wp:positionH>
              <wp:positionV relativeFrom="paragraph">
                <wp:posOffset>0</wp:posOffset>
              </wp:positionV>
              <wp:extent cx="1828800" cy="1828800"/>
              <wp:effectExtent l="0" t="0" r="0" b="0"/>
              <wp:wrapNone/>
              <wp:docPr id="1"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EE9A9" w14:textId="77777777" w:rsidR="003A01DB" w:rsidRDefault="003A01DB">
                          <w:pPr>
                            <w:pStyle w:val="a5"/>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sz w:val="28"/>
                              <w:szCs w:val="28"/>
                            </w:rPr>
                            <w:t>4</w:t>
                          </w:r>
                          <w:r>
                            <w:rPr>
                              <w:rFonts w:ascii="Times New Roman" w:hAnsi="Times New Roman"/>
                              <w:sz w:val="28"/>
                              <w:szCs w:val="28"/>
                            </w:rPr>
                            <w:fldChar w:fldCharType="end"/>
                          </w:r>
                          <w:r>
                            <w:rPr>
                              <w:rFonts w:ascii="Times New Roman" w:hAnsi="Times New Roman"/>
                              <w:sz w:val="28"/>
                              <w:szCs w:val="28"/>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EA30562" id="_x0000_t202" coordsize="21600,21600" o:spt="202" path="m,l,21600r21600,l21600,xe">
              <v:stroke joinstyle="miter"/>
              <v:path gradientshapeok="t" o:connecttype="rect"/>
            </v:shapetype>
            <v:shape id="文本框 4" o:spid="_x0000_s1026" type="#_x0000_t202" style="position:absolute;margin-left:92.8pt;margin-top:0;width:2in;height:2in;z-index:25165772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5A8EE9A9" w14:textId="77777777" w:rsidR="003A01DB" w:rsidRDefault="003A01DB">
                    <w:pPr>
                      <w:pStyle w:val="a5"/>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sz w:val="28"/>
                        <w:szCs w:val="28"/>
                      </w:rPr>
                      <w:t>4</w:t>
                    </w:r>
                    <w:r>
                      <w:rPr>
                        <w:rFonts w:ascii="Times New Roman" w:hAnsi="Times New Roman"/>
                        <w:sz w:val="28"/>
                        <w:szCs w:val="28"/>
                      </w:rPr>
                      <w:fldChar w:fldCharType="end"/>
                    </w:r>
                    <w:r>
                      <w:rPr>
                        <w:rFonts w:ascii="Times New Roman" w:hAnsi="Times New Roman"/>
                        <w:sz w:val="28"/>
                        <w:szCs w:val="28"/>
                      </w:rPr>
                      <w:t xml:space="preserve"> —</w:t>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92CF3" w14:textId="77777777" w:rsidR="003A01DB" w:rsidRDefault="003A01DB">
    <w:pPr>
      <w:pStyle w:val="a5"/>
      <w:framePr w:wrap="around" w:vAnchor="text" w:hAnchor="margin" w:xAlign="outside" w:y="1"/>
      <w:rPr>
        <w:rStyle w:val="aa"/>
        <w:rFonts w:ascii="Times New Roman" w:hAnsi="Times New Roman"/>
        <w:b/>
        <w:sz w:val="28"/>
        <w:szCs w:val="28"/>
      </w:rPr>
    </w:pPr>
    <w:r>
      <w:rPr>
        <w:rStyle w:val="aa"/>
        <w:rFonts w:ascii="Times New Roman" w:hAnsi="Times New Roman"/>
        <w:b/>
        <w:sz w:val="28"/>
        <w:szCs w:val="28"/>
      </w:rPr>
      <w:t xml:space="preserve">— </w:t>
    </w:r>
    <w:r w:rsidRPr="00456FCE">
      <w:rPr>
        <w:rFonts w:ascii="宋体" w:hAnsi="宋体"/>
        <w:sz w:val="28"/>
        <w:szCs w:val="28"/>
      </w:rPr>
      <w:fldChar w:fldCharType="begin"/>
    </w:r>
    <w:r w:rsidRPr="00456FCE">
      <w:rPr>
        <w:rStyle w:val="aa"/>
        <w:rFonts w:ascii="宋体" w:hAnsi="宋体"/>
        <w:sz w:val="28"/>
        <w:szCs w:val="28"/>
      </w:rPr>
      <w:instrText xml:space="preserve">PAGE  </w:instrText>
    </w:r>
    <w:r w:rsidRPr="00456FCE">
      <w:rPr>
        <w:rFonts w:ascii="宋体" w:hAnsi="宋体"/>
        <w:sz w:val="28"/>
        <w:szCs w:val="28"/>
      </w:rPr>
      <w:fldChar w:fldCharType="separate"/>
    </w:r>
    <w:r w:rsidR="002F6D0D">
      <w:rPr>
        <w:rStyle w:val="aa"/>
        <w:rFonts w:ascii="宋体" w:hAnsi="宋体"/>
        <w:noProof/>
        <w:sz w:val="28"/>
        <w:szCs w:val="28"/>
      </w:rPr>
      <w:t>32</w:t>
    </w:r>
    <w:r w:rsidRPr="00456FCE">
      <w:rPr>
        <w:rFonts w:ascii="宋体" w:hAnsi="宋体"/>
        <w:sz w:val="28"/>
        <w:szCs w:val="28"/>
      </w:rPr>
      <w:fldChar w:fldCharType="end"/>
    </w:r>
    <w:r w:rsidR="007E35D3">
      <w:rPr>
        <w:rStyle w:val="aa"/>
        <w:rFonts w:ascii="Times New Roman" w:hAnsi="Times New Roman" w:hint="eastAsia"/>
        <w:b/>
        <w:sz w:val="28"/>
        <w:szCs w:val="28"/>
      </w:rPr>
      <w:t xml:space="preserve"> </w:t>
    </w:r>
    <w:r>
      <w:rPr>
        <w:rStyle w:val="aa"/>
        <w:rFonts w:ascii="Times New Roman" w:hAnsi="Times New Roman"/>
        <w:b/>
        <w:sz w:val="28"/>
        <w:szCs w:val="28"/>
      </w:rPr>
      <w:t>—</w:t>
    </w:r>
  </w:p>
  <w:p w14:paraId="4FCE5B2A" w14:textId="77777777" w:rsidR="003A01DB" w:rsidRDefault="003A01DB" w:rsidP="007E35D3">
    <w:pPr>
      <w:pStyle w:val="a5"/>
      <w:ind w:right="560"/>
      <w:jc w:val="right"/>
      <w:rPr>
        <w:rFonts w:ascii="宋体" w:hAnsi="宋体" w:hint="eastAsia"/>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65D0C" w14:textId="77777777" w:rsidR="002B5C48" w:rsidRDefault="002B5C48">
      <w:r>
        <w:separator/>
      </w:r>
    </w:p>
  </w:footnote>
  <w:footnote w:type="continuationSeparator" w:id="0">
    <w:p w14:paraId="600D1843" w14:textId="77777777" w:rsidR="002B5C48" w:rsidRDefault="002B5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E59BF" w14:textId="77777777" w:rsidR="002F6D0D" w:rsidRDefault="002F6D0D">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6B2ED" w14:textId="77777777" w:rsidR="00456FCE" w:rsidRDefault="00456FCE" w:rsidP="002F6D0D">
    <w:pPr>
      <w:pStyle w:val="a8"/>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735B3" w14:textId="77777777" w:rsidR="002F6D0D" w:rsidRDefault="002F6D0D">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674"/>
    <w:rsid w:val="000178CB"/>
    <w:rsid w:val="00080F5B"/>
    <w:rsid w:val="000A130F"/>
    <w:rsid w:val="000F2DEE"/>
    <w:rsid w:val="00177DA8"/>
    <w:rsid w:val="001A7F07"/>
    <w:rsid w:val="002220A3"/>
    <w:rsid w:val="00252E75"/>
    <w:rsid w:val="002B5C48"/>
    <w:rsid w:val="002E45A0"/>
    <w:rsid w:val="002F6D0D"/>
    <w:rsid w:val="00383722"/>
    <w:rsid w:val="003A01DB"/>
    <w:rsid w:val="00456FCE"/>
    <w:rsid w:val="0049702D"/>
    <w:rsid w:val="004C73A5"/>
    <w:rsid w:val="004D0179"/>
    <w:rsid w:val="005B5F6D"/>
    <w:rsid w:val="005F4797"/>
    <w:rsid w:val="00616E98"/>
    <w:rsid w:val="006A44F5"/>
    <w:rsid w:val="0070006A"/>
    <w:rsid w:val="00741A19"/>
    <w:rsid w:val="007D5C2E"/>
    <w:rsid w:val="007E35D3"/>
    <w:rsid w:val="007E671F"/>
    <w:rsid w:val="007F6096"/>
    <w:rsid w:val="008760BF"/>
    <w:rsid w:val="008D4A61"/>
    <w:rsid w:val="00927A2A"/>
    <w:rsid w:val="009332C0"/>
    <w:rsid w:val="009C21FD"/>
    <w:rsid w:val="00A13E01"/>
    <w:rsid w:val="00A8598F"/>
    <w:rsid w:val="00A97C1D"/>
    <w:rsid w:val="00BD17DD"/>
    <w:rsid w:val="00BD612B"/>
    <w:rsid w:val="00C223F9"/>
    <w:rsid w:val="00C50B6F"/>
    <w:rsid w:val="00CA5D03"/>
    <w:rsid w:val="00D01674"/>
    <w:rsid w:val="00D058B4"/>
    <w:rsid w:val="00DE521A"/>
    <w:rsid w:val="00DE7C5F"/>
    <w:rsid w:val="00DF33EB"/>
    <w:rsid w:val="00EE5316"/>
    <w:rsid w:val="00EE6610"/>
    <w:rsid w:val="00F2348E"/>
    <w:rsid w:val="00F752B4"/>
    <w:rsid w:val="01FA1E47"/>
    <w:rsid w:val="03C17329"/>
    <w:rsid w:val="052D7411"/>
    <w:rsid w:val="08DC60E8"/>
    <w:rsid w:val="09532182"/>
    <w:rsid w:val="09BA060C"/>
    <w:rsid w:val="0B0F6482"/>
    <w:rsid w:val="0C1C34B2"/>
    <w:rsid w:val="0C80362A"/>
    <w:rsid w:val="0E19600D"/>
    <w:rsid w:val="0F180DF4"/>
    <w:rsid w:val="0FB33786"/>
    <w:rsid w:val="10A80174"/>
    <w:rsid w:val="114225AF"/>
    <w:rsid w:val="129705F3"/>
    <w:rsid w:val="131B32BB"/>
    <w:rsid w:val="13DF51DE"/>
    <w:rsid w:val="14246F63"/>
    <w:rsid w:val="146B7E1D"/>
    <w:rsid w:val="149606AD"/>
    <w:rsid w:val="14A30248"/>
    <w:rsid w:val="158C17BA"/>
    <w:rsid w:val="164B047C"/>
    <w:rsid w:val="17551F3A"/>
    <w:rsid w:val="1A1D7DEB"/>
    <w:rsid w:val="1BD367BD"/>
    <w:rsid w:val="1DB47B00"/>
    <w:rsid w:val="1E4F248D"/>
    <w:rsid w:val="1F737547"/>
    <w:rsid w:val="20B05EC3"/>
    <w:rsid w:val="20BD316F"/>
    <w:rsid w:val="22A46395"/>
    <w:rsid w:val="22D80C7C"/>
    <w:rsid w:val="247D4A1E"/>
    <w:rsid w:val="24AC2BEE"/>
    <w:rsid w:val="258C59D8"/>
    <w:rsid w:val="25C805EC"/>
    <w:rsid w:val="28137B19"/>
    <w:rsid w:val="28F3672E"/>
    <w:rsid w:val="29982084"/>
    <w:rsid w:val="2D160BD0"/>
    <w:rsid w:val="2FDB53C0"/>
    <w:rsid w:val="329D4BAF"/>
    <w:rsid w:val="32EC2352"/>
    <w:rsid w:val="337601C2"/>
    <w:rsid w:val="33ED64FB"/>
    <w:rsid w:val="34BA37F6"/>
    <w:rsid w:val="37536BF2"/>
    <w:rsid w:val="383237EA"/>
    <w:rsid w:val="38CD4B80"/>
    <w:rsid w:val="3A490D14"/>
    <w:rsid w:val="3B292D1E"/>
    <w:rsid w:val="3C7926C2"/>
    <w:rsid w:val="3DF51CD3"/>
    <w:rsid w:val="3E0A2A96"/>
    <w:rsid w:val="3FAE3F57"/>
    <w:rsid w:val="3FD05801"/>
    <w:rsid w:val="40135DE1"/>
    <w:rsid w:val="405E758E"/>
    <w:rsid w:val="41510997"/>
    <w:rsid w:val="41F06AA9"/>
    <w:rsid w:val="43B0138D"/>
    <w:rsid w:val="45396998"/>
    <w:rsid w:val="46AF3DFD"/>
    <w:rsid w:val="481D7ECC"/>
    <w:rsid w:val="4955275C"/>
    <w:rsid w:val="4A1D1A11"/>
    <w:rsid w:val="4D2413C5"/>
    <w:rsid w:val="4E720846"/>
    <w:rsid w:val="4F4E4EE9"/>
    <w:rsid w:val="4F79537B"/>
    <w:rsid w:val="5098017A"/>
    <w:rsid w:val="52FE296D"/>
    <w:rsid w:val="53710ACC"/>
    <w:rsid w:val="555D4341"/>
    <w:rsid w:val="56FE5FC3"/>
    <w:rsid w:val="58150BC0"/>
    <w:rsid w:val="595B25A2"/>
    <w:rsid w:val="5BCA3BCF"/>
    <w:rsid w:val="5C5C57D9"/>
    <w:rsid w:val="5CFF4783"/>
    <w:rsid w:val="60B9350C"/>
    <w:rsid w:val="60D4742B"/>
    <w:rsid w:val="61486149"/>
    <w:rsid w:val="61636859"/>
    <w:rsid w:val="616C5544"/>
    <w:rsid w:val="63085901"/>
    <w:rsid w:val="65072DDE"/>
    <w:rsid w:val="66CA0555"/>
    <w:rsid w:val="66F302AD"/>
    <w:rsid w:val="67860BCE"/>
    <w:rsid w:val="68BE261D"/>
    <w:rsid w:val="69292367"/>
    <w:rsid w:val="69496020"/>
    <w:rsid w:val="697A3CB0"/>
    <w:rsid w:val="6A523298"/>
    <w:rsid w:val="6A837C0B"/>
    <w:rsid w:val="6B0746EE"/>
    <w:rsid w:val="6CF7087F"/>
    <w:rsid w:val="6D8819DC"/>
    <w:rsid w:val="6E261A75"/>
    <w:rsid w:val="6E605EB8"/>
    <w:rsid w:val="71C94E53"/>
    <w:rsid w:val="71D64AC4"/>
    <w:rsid w:val="72CD2890"/>
    <w:rsid w:val="747C7190"/>
    <w:rsid w:val="74CA6632"/>
    <w:rsid w:val="766127D0"/>
    <w:rsid w:val="76BA4DBD"/>
    <w:rsid w:val="770917C2"/>
    <w:rsid w:val="775E4E0B"/>
    <w:rsid w:val="79F64899"/>
    <w:rsid w:val="7AA97F0C"/>
    <w:rsid w:val="7B735A7A"/>
    <w:rsid w:val="7C14676F"/>
    <w:rsid w:val="7D5C3523"/>
    <w:rsid w:val="7D6514FE"/>
    <w:rsid w:val="7D8D0136"/>
    <w:rsid w:val="7DC54145"/>
    <w:rsid w:val="7E1D3F2F"/>
    <w:rsid w:val="7E810920"/>
    <w:rsid w:val="7EB557FB"/>
    <w:rsid w:val="7F3005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28FF3"/>
  <w15:chartTrackingRefBased/>
  <w15:docId w15:val="{73FB29B9-C851-4146-8801-76B682B1D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semiHidden="1"/>
    <w:lsdException w:name="footer" w:uiPriority="99" w:qFormat="1"/>
    <w:lsdException w:name="caption" w:semiHidden="1" w:unhideWhenUsed="1" w:qFormat="1"/>
    <w:lsdException w:name="page number" w:uiPriority="99" w:qFormat="1"/>
    <w:lsdException w:name="Title" w:uiPriority="99" w:qFormat="1"/>
    <w:lsdException w:name="Default Paragraph Font" w:semiHidden="1"/>
    <w:lsdException w:name="Body Text Indent" w:uiPriority="99" w:unhideWhenUsed="1" w:qFormat="1"/>
    <w:lsdException w:name="Subtitle" w:qFormat="1"/>
    <w:lsdException w:name="Body Text First Indent 2"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semiHidden/>
  </w:style>
  <w:style w:type="character" w:customStyle="1" w:styleId="10">
    <w:name w:val="标题 1 字符"/>
    <w:basedOn w:val="a1"/>
    <w:link w:val="1"/>
    <w:locked/>
    <w:rPr>
      <w:rFonts w:ascii="Calibri" w:eastAsia="宋体" w:hAnsi="Calibri"/>
      <w:b/>
      <w:bCs/>
      <w:kern w:val="44"/>
      <w:sz w:val="44"/>
      <w:szCs w:val="44"/>
      <w:lang w:val="en-US" w:eastAsia="zh-CN" w:bidi="ar-SA"/>
    </w:rPr>
  </w:style>
  <w:style w:type="character" w:customStyle="1" w:styleId="a4">
    <w:name w:val="页脚 字符"/>
    <w:basedOn w:val="a1"/>
    <w:link w:val="a5"/>
    <w:uiPriority w:val="99"/>
    <w:locked/>
    <w:rPr>
      <w:rFonts w:ascii="Calibri" w:eastAsia="宋体" w:hAnsi="Calibri"/>
      <w:kern w:val="2"/>
      <w:sz w:val="18"/>
      <w:szCs w:val="18"/>
      <w:lang w:val="en-US" w:eastAsia="zh-CN" w:bidi="ar-SA"/>
    </w:rPr>
  </w:style>
  <w:style w:type="character" w:styleId="a6">
    <w:name w:val="FollowedHyperlink"/>
    <w:basedOn w:val="a1"/>
    <w:rPr>
      <w:rFonts w:cs="Times New Roman"/>
      <w:color w:val="800080"/>
      <w:u w:val="single"/>
    </w:rPr>
  </w:style>
  <w:style w:type="character" w:customStyle="1" w:styleId="a7">
    <w:name w:val="页眉 字符"/>
    <w:basedOn w:val="a1"/>
    <w:link w:val="a8"/>
    <w:semiHidden/>
    <w:locked/>
    <w:rPr>
      <w:rFonts w:ascii="Calibri" w:eastAsia="宋体" w:hAnsi="Calibri"/>
      <w:kern w:val="2"/>
      <w:sz w:val="18"/>
      <w:szCs w:val="18"/>
      <w:lang w:val="en-US" w:eastAsia="zh-CN" w:bidi="ar-SA"/>
    </w:rPr>
  </w:style>
  <w:style w:type="character" w:styleId="a9">
    <w:name w:val="Hyperlink"/>
    <w:basedOn w:val="a1"/>
    <w:rPr>
      <w:rFonts w:cs="Times New Roman"/>
      <w:color w:val="0000FF"/>
      <w:u w:val="single"/>
    </w:rPr>
  </w:style>
  <w:style w:type="character" w:styleId="aa">
    <w:name w:val="page number"/>
    <w:basedOn w:val="a1"/>
    <w:uiPriority w:val="99"/>
    <w:qFormat/>
    <w:rPr>
      <w:rFonts w:cs="Times New Roman"/>
    </w:rPr>
  </w:style>
  <w:style w:type="character" w:customStyle="1" w:styleId="2">
    <w:name w:val="正文文本缩进 2 字符"/>
    <w:basedOn w:val="a1"/>
    <w:link w:val="20"/>
    <w:locked/>
    <w:rPr>
      <w:rFonts w:ascii="Calibri" w:eastAsia="宋体" w:hAnsi="Calibri"/>
      <w:kern w:val="2"/>
      <w:sz w:val="21"/>
      <w:szCs w:val="24"/>
      <w:lang w:val="en-US" w:eastAsia="zh-CN" w:bidi="ar-SA"/>
    </w:rPr>
  </w:style>
  <w:style w:type="character" w:customStyle="1" w:styleId="nth-child1">
    <w:name w:val="nth-child(1)"/>
    <w:basedOn w:val="a1"/>
  </w:style>
  <w:style w:type="character" w:customStyle="1" w:styleId="ab">
    <w:name w:val="批注框文本 字符"/>
    <w:basedOn w:val="a1"/>
    <w:link w:val="ac"/>
    <w:semiHidden/>
    <w:locked/>
    <w:rPr>
      <w:rFonts w:ascii="Calibri" w:eastAsia="宋体" w:hAnsi="Calibri"/>
      <w:kern w:val="2"/>
      <w:sz w:val="18"/>
      <w:szCs w:val="18"/>
      <w:lang w:val="en-US" w:eastAsia="zh-CN" w:bidi="ar-SA"/>
    </w:rPr>
  </w:style>
  <w:style w:type="paragraph" w:styleId="ad">
    <w:name w:val="Normal (Web)"/>
    <w:basedOn w:val="a"/>
    <w:pPr>
      <w:spacing w:beforeAutospacing="1" w:afterAutospacing="1"/>
      <w:jc w:val="left"/>
    </w:pPr>
    <w:rPr>
      <w:kern w:val="0"/>
      <w:sz w:val="24"/>
      <w:szCs w:val="22"/>
    </w:rPr>
  </w:style>
  <w:style w:type="paragraph" w:styleId="a8">
    <w:name w:val="header"/>
    <w:basedOn w:val="a"/>
    <w:link w:val="a7"/>
    <w:semiHidden/>
    <w:pPr>
      <w:pBdr>
        <w:bottom w:val="single" w:sz="6" w:space="1" w:color="auto"/>
      </w:pBdr>
      <w:tabs>
        <w:tab w:val="center" w:pos="4153"/>
        <w:tab w:val="right" w:pos="8306"/>
      </w:tabs>
      <w:snapToGrid w:val="0"/>
      <w:jc w:val="center"/>
    </w:pPr>
    <w:rPr>
      <w:sz w:val="18"/>
      <w:szCs w:val="18"/>
    </w:rPr>
  </w:style>
  <w:style w:type="paragraph" w:customStyle="1" w:styleId="21">
    <w:name w:val="正文2"/>
    <w:basedOn w:val="a"/>
    <w:next w:val="a"/>
    <w:rPr>
      <w:szCs w:val="22"/>
    </w:rPr>
  </w:style>
  <w:style w:type="paragraph" w:customStyle="1" w:styleId="font5">
    <w:name w:val="font5"/>
    <w:basedOn w:val="a"/>
    <w:pPr>
      <w:widowControl/>
      <w:spacing w:before="100" w:beforeAutospacing="1" w:after="100" w:afterAutospacing="1"/>
      <w:jc w:val="left"/>
    </w:pPr>
    <w:rPr>
      <w:rFonts w:ascii="宋体" w:hAnsi="宋体" w:cs="宋体"/>
      <w:kern w:val="0"/>
      <w:sz w:val="18"/>
      <w:szCs w:val="18"/>
    </w:rPr>
  </w:style>
  <w:style w:type="paragraph" w:customStyle="1" w:styleId="xl72">
    <w:name w:val="xl72"/>
    <w:basedOn w:val="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宋体" w:hAnsi="宋体" w:cs="宋体"/>
      <w:color w:val="000000"/>
      <w:kern w:val="0"/>
      <w:sz w:val="18"/>
      <w:szCs w:val="18"/>
    </w:rPr>
  </w:style>
  <w:style w:type="paragraph" w:styleId="22">
    <w:name w:val="Body Text First Indent 2"/>
    <w:basedOn w:val="ae"/>
    <w:next w:val="a"/>
    <w:unhideWhenUsed/>
    <w:qFormat/>
    <w:pPr>
      <w:ind w:firstLineChars="200" w:firstLine="420"/>
    </w:pPr>
  </w:style>
  <w:style w:type="paragraph" w:customStyle="1" w:styleId="a0">
    <w:name w:val="章标题"/>
    <w:basedOn w:val="a"/>
    <w:next w:val="af"/>
    <w:qFormat/>
    <w:pPr>
      <w:widowControl/>
      <w:spacing w:before="158" w:after="153" w:line="323" w:lineRule="atLeast"/>
      <w:ind w:right="-120"/>
      <w:jc w:val="center"/>
      <w:textAlignment w:val="baseline"/>
    </w:pPr>
    <w:rPr>
      <w:color w:val="FF0000"/>
      <w:sz w:val="18"/>
    </w:rPr>
  </w:style>
  <w:style w:type="paragraph" w:customStyle="1" w:styleId="af">
    <w:name w:val="节标题"/>
    <w:basedOn w:val="a"/>
    <w:next w:val="a"/>
    <w:qFormat/>
    <w:pPr>
      <w:widowControl/>
      <w:spacing w:line="289" w:lineRule="atLeast"/>
      <w:jc w:val="center"/>
      <w:textAlignment w:val="baseline"/>
    </w:pPr>
    <w:rPr>
      <w:color w:val="000000"/>
      <w:sz w:val="28"/>
    </w:rPr>
  </w:style>
  <w:style w:type="paragraph" w:styleId="ae">
    <w:name w:val="Body Text Indent"/>
    <w:basedOn w:val="a"/>
    <w:uiPriority w:val="99"/>
    <w:unhideWhenUsed/>
    <w:qFormat/>
    <w:pPr>
      <w:spacing w:after="120"/>
      <w:ind w:leftChars="200" w:left="420"/>
    </w:pPr>
  </w:style>
  <w:style w:type="paragraph" w:styleId="a5">
    <w:name w:val="footer"/>
    <w:basedOn w:val="a"/>
    <w:link w:val="a4"/>
    <w:uiPriority w:val="99"/>
    <w:qFormat/>
    <w:pPr>
      <w:tabs>
        <w:tab w:val="center" w:pos="4153"/>
        <w:tab w:val="right" w:pos="8306"/>
      </w:tabs>
      <w:snapToGrid w:val="0"/>
      <w:jc w:val="left"/>
    </w:pPr>
    <w:rPr>
      <w:sz w:val="18"/>
      <w:szCs w:val="18"/>
    </w:rPr>
  </w:style>
  <w:style w:type="paragraph" w:customStyle="1" w:styleId="xl77">
    <w:name w:val="xl77"/>
    <w:basedOn w:val="a"/>
    <w:pPr>
      <w:widowControl/>
      <w:spacing w:before="100" w:beforeAutospacing="1" w:after="100" w:afterAutospacing="1"/>
      <w:jc w:val="center"/>
    </w:pPr>
    <w:rPr>
      <w:rFonts w:ascii="宋体" w:hAnsi="宋体" w:cs="宋体"/>
      <w:b/>
      <w:bCs/>
      <w:kern w:val="0"/>
      <w:sz w:val="44"/>
      <w:szCs w:val="44"/>
    </w:rPr>
  </w:style>
  <w:style w:type="paragraph" w:customStyle="1" w:styleId="xl76">
    <w:name w:val="xl76"/>
    <w:basedOn w:val="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rFonts w:ascii="宋体" w:hAnsi="宋体" w:cs="宋体"/>
      <w:kern w:val="0"/>
      <w:sz w:val="18"/>
      <w:szCs w:val="18"/>
    </w:rPr>
  </w:style>
  <w:style w:type="paragraph" w:customStyle="1" w:styleId="xl75">
    <w:name w:val="xl7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18"/>
      <w:szCs w:val="18"/>
    </w:rPr>
  </w:style>
  <w:style w:type="paragraph" w:styleId="af0">
    <w:name w:val="Title"/>
    <w:basedOn w:val="a"/>
    <w:next w:val="a"/>
    <w:uiPriority w:val="99"/>
    <w:qFormat/>
    <w:rsid w:val="00C223F9"/>
    <w:pPr>
      <w:spacing w:before="240" w:after="60"/>
      <w:jc w:val="center"/>
      <w:outlineLvl w:val="0"/>
    </w:pPr>
    <w:rPr>
      <w:rFonts w:ascii="Arial" w:eastAsia="仿宋_GB2312" w:hAnsi="Arial" w:cs="Arial"/>
      <w:b/>
      <w:bCs/>
      <w:sz w:val="32"/>
      <w:szCs w:val="32"/>
    </w:rPr>
  </w:style>
  <w:style w:type="paragraph" w:styleId="ac">
    <w:name w:val="Balloon Text"/>
    <w:basedOn w:val="a"/>
    <w:link w:val="ab"/>
    <w:semiHidden/>
    <w:rPr>
      <w:sz w:val="18"/>
      <w:szCs w:val="18"/>
    </w:rPr>
  </w:style>
  <w:style w:type="paragraph" w:customStyle="1" w:styleId="xl69">
    <w:name w:val="xl69"/>
    <w:basedOn w:val="a"/>
    <w:pPr>
      <w:widowControl/>
      <w:spacing w:before="100" w:beforeAutospacing="1" w:after="100" w:afterAutospacing="1"/>
      <w:jc w:val="center"/>
    </w:pPr>
    <w:rPr>
      <w:rFonts w:ascii="黑体" w:eastAsia="黑体" w:hAnsi="黑体" w:cs="宋体"/>
      <w:kern w:val="0"/>
      <w:sz w:val="28"/>
      <w:szCs w:val="28"/>
    </w:rPr>
  </w:style>
  <w:style w:type="paragraph" w:styleId="20">
    <w:name w:val="Body Text Indent 2"/>
    <w:basedOn w:val="a"/>
    <w:link w:val="2"/>
    <w:pPr>
      <w:spacing w:after="120" w:line="480" w:lineRule="auto"/>
      <w:ind w:leftChars="200" w:left="420"/>
    </w:pPr>
  </w:style>
  <w:style w:type="paragraph" w:customStyle="1" w:styleId="xl70">
    <w:name w:val="xl70"/>
    <w:basedOn w:val="a"/>
    <w:pPr>
      <w:widowControl/>
      <w:spacing w:before="100" w:beforeAutospacing="1" w:after="100" w:afterAutospacing="1"/>
      <w:jc w:val="center"/>
    </w:pPr>
    <w:rPr>
      <w:rFonts w:ascii="宋体" w:hAnsi="宋体" w:cs="宋体"/>
      <w:b/>
      <w:bCs/>
      <w:color w:val="000000"/>
      <w:kern w:val="0"/>
      <w:sz w:val="20"/>
      <w:szCs w:val="20"/>
    </w:rPr>
  </w:style>
  <w:style w:type="paragraph" w:customStyle="1" w:styleId="xl71">
    <w:name w:val="xl7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18"/>
      <w:szCs w:val="18"/>
    </w:rPr>
  </w:style>
  <w:style w:type="paragraph" w:customStyle="1" w:styleId="xl78">
    <w:name w:val="xl78"/>
    <w:basedOn w:val="a"/>
    <w:pPr>
      <w:widowControl/>
      <w:spacing w:before="100" w:beforeAutospacing="1" w:after="100" w:afterAutospacing="1"/>
      <w:jc w:val="center"/>
    </w:pPr>
    <w:rPr>
      <w:rFonts w:ascii="Times New Roman" w:hAnsi="Times New Roman"/>
      <w:b/>
      <w:bCs/>
      <w:color w:val="000000"/>
      <w:kern w:val="0"/>
      <w:sz w:val="20"/>
      <w:szCs w:val="20"/>
    </w:rPr>
  </w:style>
  <w:style w:type="paragraph" w:customStyle="1" w:styleId="af1">
    <w:name w:val="常用样式（方正仿宋简）"/>
    <w:basedOn w:val="a"/>
    <w:qFormat/>
    <w:pPr>
      <w:spacing w:line="560" w:lineRule="exact"/>
      <w:ind w:firstLineChars="200" w:firstLine="640"/>
    </w:pPr>
    <w:rPr>
      <w:rFonts w:eastAsia="方正仿宋简体"/>
      <w:sz w:val="32"/>
    </w:rPr>
  </w:style>
  <w:style w:type="paragraph" w:customStyle="1" w:styleId="xl74">
    <w:name w:val="xl74"/>
    <w:basedOn w:val="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宋体" w:hAnsi="宋体" w:cs="宋体"/>
      <w:kern w:val="0"/>
      <w:sz w:val="18"/>
      <w:szCs w:val="18"/>
    </w:rPr>
  </w:style>
  <w:style w:type="paragraph" w:customStyle="1" w:styleId="xl68">
    <w:name w:val="xl68"/>
    <w:basedOn w:val="a"/>
    <w:pPr>
      <w:widowControl/>
      <w:spacing w:before="100" w:beforeAutospacing="1" w:after="100" w:afterAutospacing="1"/>
      <w:jc w:val="center"/>
    </w:pPr>
    <w:rPr>
      <w:rFonts w:ascii="宋体" w:hAnsi="宋体" w:cs="宋体"/>
      <w:kern w:val="0"/>
      <w:sz w:val="24"/>
    </w:rPr>
  </w:style>
  <w:style w:type="paragraph" w:customStyle="1" w:styleId="xl73">
    <w:name w:val="xl73"/>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color w:val="000000"/>
      <w:kern w:val="0"/>
      <w:sz w:val="18"/>
      <w:szCs w:val="18"/>
    </w:rPr>
  </w:style>
  <w:style w:type="paragraph" w:customStyle="1" w:styleId="xl67">
    <w:name w:val="xl67"/>
    <w:basedOn w:val="a"/>
    <w:pPr>
      <w:widowControl/>
      <w:spacing w:before="100" w:beforeAutospacing="1" w:after="100" w:afterAutospacing="1"/>
      <w:jc w:val="center"/>
    </w:pPr>
    <w:rPr>
      <w:rFonts w:ascii="宋体" w:hAnsi="宋体" w:cs="宋体"/>
      <w:kern w:val="0"/>
      <w:sz w:val="24"/>
    </w:rPr>
  </w:style>
  <w:style w:type="table" w:styleId="af2">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yperlink" Target="https://baike.baidu.com/item/%E4%B8%AD%E5%8D%8E%E4%BA%BA%E6%B0%91%E5%85%B1%E5%92%8C%E5%9B%BD%E5%9F%8E%E5%B8%82%E5%B1%85%E6%B0%91%E5%A7%94%E5%91%98%E4%BC%9A%E7%BB%84%E7%BB%87%E6%B3%95/7986131"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3203</Words>
  <Characters>18261</Characters>
  <Application>Microsoft Office Word</Application>
  <DocSecurity>0</DocSecurity>
  <Lines>152</Lines>
  <Paragraphs>42</Paragraphs>
  <ScaleCrop>false</ScaleCrop>
  <Company>Microsoft</Company>
  <LinksUpToDate>false</LinksUpToDate>
  <CharactersWithSpaces>21422</CharactersWithSpaces>
  <SharedDoc>false</SharedDoc>
  <HLinks>
    <vt:vector size="6" baseType="variant">
      <vt:variant>
        <vt:i4>2818094</vt:i4>
      </vt:variant>
      <vt:variant>
        <vt:i4>0</vt:i4>
      </vt:variant>
      <vt:variant>
        <vt:i4>0</vt:i4>
      </vt:variant>
      <vt:variant>
        <vt:i4>5</vt:i4>
      </vt:variant>
      <vt:variant>
        <vt:lpwstr>https://baike.baidu.com/item/%E4%B8%AD%E5%8D%8E%E4%BA%BA%E6%B0%91%E5%85%B1%E5%92%8C%E5%9B%BD%E5%9F%8E%E5%B8%82%E5%B1%85%E6%B0%91%E5%A7%94%E5%91%98%E4%BC%9A%E7%BB%84%E7%BB%87%E6%B3%95/7986131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德市旌商〔2021〕2号                  签发人：王 丽</dc:title>
  <dc:subject/>
  <dc:creator>DELL</dc:creator>
  <cp:keywords/>
  <dc:description/>
  <cp:lastModifiedBy>liang yinlan</cp:lastModifiedBy>
  <cp:revision>2</cp:revision>
  <cp:lastPrinted>2022-06-07T03:15:00Z</cp:lastPrinted>
  <dcterms:created xsi:type="dcterms:W3CDTF">2023-01-14T10:09:00Z</dcterms:created>
  <dcterms:modified xsi:type="dcterms:W3CDTF">2023-01-14T10:09:00Z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A610F83314574CCF860DCA1F60F8053F</vt:lpwstr>
  </property>
  <property fmtid="{D5CDD505-2E9C-101B-9397-08002B2CF9AE}" pid="4" name="KSOSaveFontToCloudKey">
    <vt:lpwstr>234439225_btnclosed</vt:lpwstr>
  </property>
</Properties>
</file>