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jc w:val="center"/>
        <w:rPr>
          <w:rFonts w:hint="default" w:ascii="Times New Roman" w:hAnsi="Times New Roman" w:eastAsia="方正小标宋简体" w:cs="Times New Roman"/>
          <w:b/>
          <w:bCs w:val="0"/>
          <w:color w:val="auto"/>
          <w:kern w:val="2"/>
          <w:sz w:val="44"/>
          <w:szCs w:val="44"/>
        </w:rPr>
      </w:pPr>
      <w:bookmarkStart w:id="88" w:name="_GoBack"/>
      <w:bookmarkEnd w:id="88"/>
      <w:bookmarkStart w:id="0" w:name="_Toc98767257"/>
      <w:bookmarkStart w:id="1" w:name="_Toc43028380"/>
      <w:bookmarkStart w:id="2" w:name="_Toc469128951"/>
      <w:bookmarkStart w:id="3" w:name="_Toc38744352"/>
      <w:bookmarkStart w:id="4" w:name="_Toc463867457"/>
      <w:bookmarkStart w:id="5" w:name="_Toc7529"/>
      <w:bookmarkStart w:id="6" w:name="_Toc9308"/>
      <w:bookmarkStart w:id="7" w:name="_Toc78203607"/>
      <w:bookmarkStart w:id="8" w:name="_Toc38744353"/>
      <w:bookmarkStart w:id="9" w:name="_Toc75424954"/>
      <w:r>
        <w:rPr>
          <w:rFonts w:hint="default" w:ascii="Times New Roman" w:hAnsi="Times New Roman" w:eastAsia="方正小标宋简体" w:cs="Times New Roman"/>
          <w:b/>
          <w:bCs w:val="0"/>
          <w:color w:val="auto"/>
          <w:kern w:val="2"/>
          <w:sz w:val="44"/>
          <w:szCs w:val="44"/>
        </w:rPr>
        <w:t>信阳市“十四五”现代综合交通运输体系和枢纽经济发展规划</w:t>
      </w:r>
    </w:p>
    <w:p>
      <w:pPr>
        <w:overflowPunct w:val="0"/>
        <w:snapToGrid w:val="0"/>
        <w:spacing w:beforeLines="100" w:afterLines="100" w:line="580" w:lineRule="exact"/>
        <w:jc w:val="center"/>
        <w:outlineLvl w:val="0"/>
        <w:rPr>
          <w:rFonts w:hint="default" w:ascii="Times New Roman" w:hAnsi="Times New Roman" w:eastAsia="黑体" w:cs="Times New Roman"/>
          <w:color w:val="auto"/>
          <w:sz w:val="32"/>
          <w:szCs w:val="32"/>
          <w:shd w:val="clear" w:color="auto" w:fill="FFFFFF"/>
          <w:lang w:val="zh-CN"/>
        </w:rPr>
      </w:pPr>
      <w:r>
        <w:rPr>
          <w:rFonts w:hint="default" w:ascii="Times New Roman" w:hAnsi="Times New Roman" w:eastAsia="黑体" w:cs="Times New Roman"/>
          <w:color w:val="auto"/>
          <w:spacing w:val="180"/>
          <w:sz w:val="32"/>
          <w:szCs w:val="32"/>
          <w:shd w:val="clear" w:color="auto" w:fill="FFFFFF"/>
          <w:lang w:val="zh-CN"/>
        </w:rPr>
        <w:t>前</w:t>
      </w:r>
      <w:r>
        <w:rPr>
          <w:rFonts w:hint="default" w:ascii="Times New Roman" w:hAnsi="Times New Roman" w:eastAsia="黑体" w:cs="Times New Roman"/>
          <w:color w:val="auto"/>
          <w:sz w:val="32"/>
          <w:szCs w:val="32"/>
          <w:shd w:val="clear" w:color="auto" w:fill="FFFFFF"/>
          <w:lang w:val="zh-CN"/>
        </w:rPr>
        <w:t>言</w:t>
      </w:r>
      <w:bookmarkEnd w:id="0"/>
      <w:bookmarkEnd w:id="1"/>
      <w:bookmarkEnd w:id="2"/>
      <w:bookmarkEnd w:id="3"/>
      <w:bookmarkEnd w:id="4"/>
      <w:bookmarkEnd w:id="5"/>
      <w:bookmarkEnd w:id="6"/>
      <w:bookmarkEnd w:id="7"/>
    </w:p>
    <w:p>
      <w:pPr>
        <w:overflowPunct w:val="0"/>
        <w:spacing w:line="360" w:lineRule="auto"/>
        <w:ind w:firstLine="640" w:firstLineChars="200"/>
        <w:rPr>
          <w:rFonts w:hint="default" w:ascii="Times New Roman" w:hAnsi="Times New Roman" w:eastAsia="仿宋" w:cs="Times New Roman"/>
          <w:color w:val="auto"/>
          <w:kern w:val="2"/>
          <w:sz w:val="32"/>
          <w:szCs w:val="32"/>
        </w:rPr>
      </w:pPr>
    </w:p>
    <w:p>
      <w:pPr>
        <w:overflowPunct w:val="0"/>
        <w:spacing w:line="360" w:lineRule="auto"/>
        <w:ind w:firstLine="640" w:firstLineChars="200"/>
        <w:rPr>
          <w:rFonts w:hint="default" w:ascii="Times New Roman" w:hAnsi="Times New Roman" w:eastAsia="仿宋" w:cs="Times New Roman"/>
          <w:color w:val="auto"/>
          <w:kern w:val="2"/>
          <w:sz w:val="32"/>
          <w:szCs w:val="32"/>
        </w:rPr>
      </w:pPr>
      <w:r>
        <w:rPr>
          <w:rFonts w:hint="default" w:ascii="Times New Roman" w:hAnsi="Times New Roman" w:eastAsia="仿宋" w:cs="Times New Roman"/>
          <w:color w:val="auto"/>
          <w:kern w:val="2"/>
          <w:sz w:val="32"/>
          <w:szCs w:val="32"/>
        </w:rPr>
        <w:t>我国已转向高质量发展阶段，交通运输与经济社会呈现融合互动、互促共进态势，现代综合交通运输体系服务经济要素高效流动和产业组织方式创新的作用更加明显。伴随着综合交通枢纽的建设与发展，枢纽经济正在成为我国经济转型升级中的新动能和增长极。</w:t>
      </w:r>
    </w:p>
    <w:p>
      <w:pPr>
        <w:overflowPunct w:val="0"/>
        <w:spacing w:line="360" w:lineRule="auto"/>
        <w:ind w:firstLine="640" w:firstLineChars="200"/>
        <w:rPr>
          <w:rFonts w:hint="default" w:ascii="Times New Roman" w:hAnsi="Times New Roman" w:eastAsia="仿宋" w:cs="Times New Roman"/>
          <w:color w:val="auto"/>
          <w:kern w:val="2"/>
          <w:sz w:val="32"/>
          <w:szCs w:val="32"/>
        </w:rPr>
      </w:pPr>
      <w:r>
        <w:rPr>
          <w:rFonts w:hint="default" w:ascii="Times New Roman" w:hAnsi="Times New Roman" w:eastAsia="仿宋" w:cs="Times New Roman"/>
          <w:color w:val="auto"/>
          <w:kern w:val="2"/>
          <w:sz w:val="32"/>
          <w:szCs w:val="32"/>
        </w:rPr>
        <w:t>“十四五”时期是我国开启全面建设社会主义现代化国家新征程的关键时期，为加快信阳现代化经济体系建设，融入以国内大循环为主体、国内国际双循环相互促进的新发展格局，推动现代综合交通运输体系和枢纽经济高质量发展，依据《关于贯彻落实习近平总书记视察河南重要讲话精神支持河南大别山革命老区加快振兴发展的若干意见》《河南省“十四五”现代综合交通运输体系和枢纽经济发展规划》《信阳市国民经济和社会发展第十四个五年规划纲要》等文件要求，制定此规划。</w:t>
      </w:r>
      <w:r>
        <w:rPr>
          <w:rFonts w:hint="default" w:ascii="Times New Roman" w:hAnsi="Times New Roman" w:eastAsia="仿宋" w:cs="Times New Roman"/>
          <w:color w:val="auto"/>
          <w:kern w:val="2"/>
          <w:sz w:val="32"/>
          <w:szCs w:val="32"/>
        </w:rPr>
        <w:br w:type="page"/>
      </w:r>
    </w:p>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bookmarkStart w:id="10" w:name="_Toc98767258"/>
      <w:r>
        <w:rPr>
          <w:rFonts w:hint="default" w:ascii="Times New Roman" w:hAnsi="Times New Roman" w:eastAsia="黑体" w:cs="Times New Roman"/>
          <w:color w:val="auto"/>
          <w:sz w:val="32"/>
          <w:szCs w:val="32"/>
        </w:rPr>
        <w:t>第一章  发展环境</w:t>
      </w:r>
      <w:bookmarkEnd w:id="8"/>
      <w:bookmarkEnd w:id="9"/>
      <w:bookmarkEnd w:id="10"/>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11" w:name="_Toc38744354"/>
      <w:bookmarkStart w:id="12" w:name="_Toc75424955"/>
      <w:bookmarkStart w:id="13" w:name="_Toc98767259"/>
      <w:r>
        <w:rPr>
          <w:rFonts w:hint="default" w:ascii="Times New Roman" w:hAnsi="Times New Roman" w:eastAsia="楷体" w:cs="Times New Roman"/>
          <w:b/>
          <w:color w:val="auto"/>
          <w:kern w:val="2"/>
          <w:sz w:val="32"/>
          <w:szCs w:val="32"/>
        </w:rPr>
        <w:t xml:space="preserve">第一节  </w:t>
      </w:r>
      <w:bookmarkEnd w:id="11"/>
      <w:bookmarkEnd w:id="12"/>
      <w:r>
        <w:rPr>
          <w:rFonts w:hint="default" w:ascii="Times New Roman" w:hAnsi="Times New Roman" w:eastAsia="楷体" w:cs="Times New Roman"/>
          <w:b/>
          <w:color w:val="auto"/>
          <w:kern w:val="2"/>
          <w:sz w:val="32"/>
          <w:szCs w:val="32"/>
        </w:rPr>
        <w:t>发展基础</w:t>
      </w:r>
      <w:bookmarkEnd w:id="13"/>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cs="Times New Roman"/>
          <w:color w:val="auto"/>
        </w:rPr>
        <w:t>“十三五”时期，信阳市紧紧围绕“一市一区三枢纽”战略定位和“五个信阳”建设总体目标，坚持“城市建设、经济发展、交通先行”理念，以打造综合交通枢纽、提升运输服务水平、强化物流节点支撑、促进产业结构优化、加快智慧绿色城市建设为重点，基本建成水陆空一体的综合交通运输体系，区域枢纽功能更加凸显，产业结构持续优化，经济社会发展稳步提升，辐射带动作用不断增强，如期全面建成小康社会，全力以赴打好新冠肺炎疫情防控阻击战。</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eastAsia="楷体" w:cs="Times New Roman"/>
          <w:color w:val="auto"/>
          <w:szCs w:val="36"/>
        </w:rPr>
        <w:t>交通网络逐步完善。</w:t>
      </w:r>
      <w:r>
        <w:rPr>
          <w:rFonts w:hint="default" w:ascii="Times New Roman" w:hAnsi="Times New Roman" w:cs="Times New Roman"/>
          <w:color w:val="auto"/>
        </w:rPr>
        <w:t>以淮河淮滨港为主的内河航运通江达海，四级航道里程达124公里，明港机场建成通航，潢川机场纳入“十四五”规划，“五纵三横一环”的高速公路网布局日趋完善，新改建普通干线公路620.9公里，G106、G107、G312三条国道以双十字架贯穿全市，基本形成以铁路、高速公路为骨架，普通干线公路、民航为支撑，农村公路、内河航运为补充的综合交通运输网络。</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eastAsia="楷体" w:cs="Times New Roman"/>
          <w:color w:val="auto"/>
          <w:szCs w:val="36"/>
        </w:rPr>
        <w:t>枢纽能级持续增强。</w:t>
      </w:r>
      <w:r>
        <w:rPr>
          <w:rFonts w:hint="default" w:ascii="Times New Roman" w:hAnsi="Times New Roman" w:cs="Times New Roman"/>
          <w:color w:val="auto"/>
        </w:rPr>
        <w:t>新建二级及以上客运站9个，改扩建老旧汽车站9个，建成投用城市公交场站2个，开工建设公交场站5个，交通运输服务保障能力大幅提升。金牛山物流中心建成投用，信阳高新技术产业开发区物流中心、潢川经济开发区大别山铁路货运综合物流园开工建设，现代化、集约化的货运场站布局不断完善。</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bookmarkStart w:id="14" w:name="_Toc75424960"/>
      <w:r>
        <w:rPr>
          <w:rFonts w:hint="default" w:ascii="Times New Roman" w:hAnsi="Times New Roman" w:eastAsia="楷体" w:cs="Times New Roman"/>
          <w:color w:val="auto"/>
          <w:szCs w:val="36"/>
        </w:rPr>
        <w:t>物流服务保障有力。</w:t>
      </w:r>
      <w:bookmarkEnd w:id="14"/>
      <w:r>
        <w:rPr>
          <w:rFonts w:hint="default" w:ascii="Times New Roman" w:hAnsi="Times New Roman" w:cs="Times New Roman"/>
          <w:color w:val="auto"/>
        </w:rPr>
        <w:t>省定信阳市金牛物流产业集聚区的物流综合能力日益提升，潢川铁路货运综合物流园区规模逐步壮大，光山县电商物流蓬勃发展，以500公里为半径6小时货运范围可以辐射3.1亿人口，1000公里为半径12小时货运范围可以辐射7.2亿人口，逐步形成以信阳中心城区为主中心、潢川为次中心、各类综合物流园区和物流配送中心为支撑的现代物流网络，区域物流组织和运作中心地位初步显现。</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eastAsia="楷体" w:cs="Times New Roman"/>
          <w:color w:val="auto"/>
          <w:szCs w:val="36"/>
        </w:rPr>
        <w:t>产业结构持续优化。</w:t>
      </w:r>
      <w:r>
        <w:rPr>
          <w:rFonts w:hint="default" w:ascii="Times New Roman" w:hAnsi="Times New Roman" w:cs="Times New Roman"/>
          <w:color w:val="auto"/>
        </w:rPr>
        <w:t>特色农业、商贸物流业发展势头良好，绿色食品、纺织服装、建材家居产业加快跃向千亿级，电子信息、装备制造、生物医药、非金属矿产功能材料蓬勃发展。国家级科技企业孵化器和农业科技园区、星创天地、众创空间实现零突破，高新技术企业突破百家。全市经济结构调整稳步推进，产业结构实现由“二三一” 到“三二一”的历史性转变，规模以上工业增加值年均增长6.7%，第三产业增加值的比重提升9.2个百分点，第一产业占比降至20%以下。</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eastAsia="楷体" w:cs="Times New Roman"/>
          <w:color w:val="auto"/>
          <w:szCs w:val="36"/>
        </w:rPr>
        <w:t>经济发展成效显著。</w:t>
      </w:r>
      <w:r>
        <w:rPr>
          <w:rFonts w:hint="default" w:ascii="Times New Roman" w:hAnsi="Times New Roman" w:cs="Times New Roman"/>
          <w:color w:val="auto"/>
        </w:rPr>
        <w:t>通过高速公路5小时内抵达河南省所有重要城市，至天津、青岛、连云港港口铁路运输最多10小时，目前已形成信阳为中心，直达武汉、西安、南京、上海的5小时经济圈。生产总值稳居全省第9位，粮食产量连续10年保持在110亿斤以上，城乡居民人均可支配收入年均增长8.3%，县城及以上城区实现5G网络全覆盖，综合实力迈上新台阶。</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cs="Times New Roman"/>
          <w:color w:val="auto"/>
        </w:rPr>
        <w:t>尽管信阳市综合交通运输和产业布局不断完善，基本适应经济社会发展需要，但距离“两个更好”发展要求还存在较大差距。</w:t>
      </w:r>
      <w:r>
        <w:rPr>
          <w:rFonts w:hint="default" w:ascii="Times New Roman" w:hAnsi="Times New Roman" w:cs="Times New Roman"/>
          <w:b/>
          <w:bCs/>
          <w:color w:val="auto"/>
        </w:rPr>
        <w:t>一是</w:t>
      </w:r>
      <w:r>
        <w:rPr>
          <w:rFonts w:hint="default" w:ascii="Times New Roman" w:hAnsi="Times New Roman" w:cs="Times New Roman"/>
          <w:color w:val="auto"/>
        </w:rPr>
        <w:t>综合交通运输体系质量有待优化。对外运输通道能级较低，综合交通网络布局不够完善，制约要素便利高效流动，支撑引领大别山革命老区振兴发展的能力不足。</w:t>
      </w:r>
      <w:r>
        <w:rPr>
          <w:rFonts w:hint="default" w:ascii="Times New Roman" w:hAnsi="Times New Roman" w:cs="Times New Roman"/>
          <w:b/>
          <w:bCs/>
          <w:color w:val="auto"/>
        </w:rPr>
        <w:t>二是</w:t>
      </w:r>
      <w:r>
        <w:rPr>
          <w:rFonts w:hint="default" w:ascii="Times New Roman" w:hAnsi="Times New Roman" w:cs="Times New Roman"/>
          <w:color w:val="auto"/>
        </w:rPr>
        <w:t>枢纽经济承载平台建设滞后。缺少便捷换乘的综合客运枢纽和高效换装的货运枢纽（物流园区），旅客联程联运、货物多式联运、城乡交通一体化发展水平偏低，影响要素聚集和价值创造。</w:t>
      </w:r>
      <w:r>
        <w:rPr>
          <w:rFonts w:hint="default" w:ascii="Times New Roman" w:hAnsi="Times New Roman" w:cs="Times New Roman"/>
          <w:b/>
          <w:bCs/>
          <w:color w:val="auto"/>
        </w:rPr>
        <w:t>三是</w:t>
      </w:r>
      <w:r>
        <w:rPr>
          <w:rFonts w:hint="default" w:ascii="Times New Roman" w:hAnsi="Times New Roman" w:cs="Times New Roman"/>
          <w:color w:val="auto"/>
        </w:rPr>
        <w:t>产业融合创新发展水平有待提高。生产性服务业与制造业、农业的融合程度较低，本土成长的新兴服务平台欠缺，电商购物、在线教育、分享经济等新兴服务消费大量外流。</w:t>
      </w:r>
      <w:r>
        <w:rPr>
          <w:rFonts w:hint="default" w:ascii="Times New Roman" w:hAnsi="Times New Roman" w:cs="Times New Roman"/>
          <w:b/>
          <w:bCs/>
          <w:color w:val="auto"/>
        </w:rPr>
        <w:t>四是</w:t>
      </w:r>
      <w:r>
        <w:rPr>
          <w:rFonts w:hint="default" w:ascii="Times New Roman" w:hAnsi="Times New Roman" w:cs="Times New Roman"/>
          <w:color w:val="auto"/>
        </w:rPr>
        <w:t>现代信息技术应用有待深化。跨部门、跨行业间的数据信息尚未互联互通，尚未建立覆盖全市、功能齐全的公共信息服务平台。</w:t>
      </w:r>
      <w:r>
        <w:rPr>
          <w:rFonts w:hint="default" w:ascii="Times New Roman" w:hAnsi="Times New Roman" w:cs="Times New Roman"/>
          <w:b/>
          <w:bCs/>
          <w:color w:val="auto"/>
        </w:rPr>
        <w:t>五是</w:t>
      </w:r>
      <w:r>
        <w:rPr>
          <w:rFonts w:hint="default" w:ascii="Times New Roman" w:hAnsi="Times New Roman" w:cs="Times New Roman"/>
          <w:color w:val="auto"/>
        </w:rPr>
        <w:t>枢纽经济发展体制机制有待完善。交通运输与产业、城镇、贸易、经济发展等融合联动发展不足，枢纽产业结构单一、规模较小，枢纽经济发展缺乏系统谋划。</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15" w:name="_Toc98767260"/>
      <w:r>
        <w:rPr>
          <w:rFonts w:hint="default" w:ascii="Times New Roman" w:hAnsi="Times New Roman" w:eastAsia="楷体" w:cs="Times New Roman"/>
          <w:b/>
          <w:color w:val="auto"/>
          <w:kern w:val="2"/>
          <w:sz w:val="32"/>
          <w:szCs w:val="32"/>
        </w:rPr>
        <w:t>第二节  形势要求</w:t>
      </w:r>
      <w:bookmarkEnd w:id="15"/>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当今世界面临百年未有之大变局，国际力量对比深刻调整，和平与发展仍然是时代主题，全球治理体系和国际秩序变革加速推进，新一轮科技革命和产业变革蓄势待发，新技术新产业加速发展，为现代综合交通运输体系和枢纽经济在新一轮经济增长中提供重要驱动力。同时，国际环境日趋复杂，</w:t>
      </w:r>
      <w:r>
        <w:rPr>
          <w:rFonts w:hint="default" w:ascii="Times New Roman" w:hAnsi="Times New Roman" w:cs="Times New Roman"/>
          <w:color w:val="auto"/>
        </w:rPr>
        <w:t>新冠肺炎疫情形势仍然严峻，</w:t>
      </w:r>
      <w:r>
        <w:rPr>
          <w:rFonts w:hint="default" w:ascii="Times New Roman" w:hAnsi="Times New Roman" w:cs="Times New Roman"/>
          <w:color w:val="auto"/>
          <w:kern w:val="0"/>
        </w:rPr>
        <w:t>国际经济、科技、文化、安全、政治等格局都在发生深刻调整，世界进入动荡变革期，现代综合交通运输体系和枢纽经济发展面临更加复杂多变的国际环境。</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我国开启全面建设社会主义现代化国家新征程，经济已由高速增长阶段转向高质量发展阶段，正处于实现中华民族伟大复兴战略全局的关键时期，国内超大规模市场优势日益凸显，以国内大循环为主体、国内国际双循环相互促进的新发展格局加快构建，为现代综合交通运输体系和枢纽经济更高水平参与国际合作和竞争拓展了新空间。</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我省“十四五”时期处于确保高质量建设现代化河南、确保高水平实现现代化河南的起步阶段，要围绕建设“四个强省、一个高地、一个家园”，落实“十大战略”，着力补齐交通运输的结构性短板和破解枢纽经济发展中的结构性问题，发挥地区比较优势，加强融合联动发展，促进各类要素合理流动和高效集聚，形成优势互补、高质量发展的区域经济布局，提升枢纽经济规模和质量，实现交通区位优势再造。</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信阳作为连接长江经济带、黄河流域生态保护和高质量发展的联动协同区，淮河生态经济带内陆高质量发展先行区，应坚持新发展理念，以供给侧结构性改革为主线，不断深化扩展规划联动、政策联动、项目联动、产业联动、平台联动，变区划边缘为区域核心，形成连接长江经济带、黄河流域生态保护和高质量发展的战略通道，打造区域联动、有机融合、有力支撑的新增长极。</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十四五”时期，我市既处于补短板强衔接优网络提效能、加快构建现代综合交通运输体系、建设重要区域性综合交通枢纽的关键期，又处于发挥“枢纽+通道+网络”优势、推动现代综合交通运输体系与枢纽经济深度融合发展的机遇期。要按照国省战略要求，把握新形势、抢抓新机遇、应对新挑战，立足实际，科学应变、主动求变，扎实推动现代综合交通运输体系和枢纽经济融合互促发展，为塑造“美好生活看信阳”品牌提供持续发展动力。</w:t>
      </w:r>
    </w:p>
    <w:p>
      <w:pPr>
        <w:overflowPunct w:val="0"/>
        <w:spacing w:line="360" w:lineRule="auto"/>
        <w:jc w:val="center"/>
        <w:outlineLvl w:val="0"/>
        <w:rPr>
          <w:rFonts w:hint="default" w:ascii="Times New Roman" w:hAnsi="Times New Roman" w:eastAsia="黑体" w:cs="Times New Roman"/>
          <w:color w:val="auto"/>
          <w:sz w:val="32"/>
          <w:szCs w:val="32"/>
        </w:rPr>
      </w:pPr>
      <w:bookmarkStart w:id="16" w:name="_Toc38744362"/>
      <w:bookmarkStart w:id="17" w:name="_Toc75424963"/>
      <w:r>
        <w:rPr>
          <w:rFonts w:hint="default" w:ascii="Times New Roman" w:hAnsi="Times New Roman" w:eastAsia="黑体" w:cs="Times New Roman"/>
          <w:color w:val="auto"/>
          <w:sz w:val="32"/>
          <w:szCs w:val="32"/>
        </w:rPr>
        <w:br w:type="page"/>
      </w:r>
    </w:p>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bookmarkStart w:id="18" w:name="_Toc98767261"/>
      <w:r>
        <w:rPr>
          <w:rFonts w:hint="default" w:ascii="Times New Roman" w:hAnsi="Times New Roman" w:eastAsia="黑体" w:cs="Times New Roman"/>
          <w:color w:val="auto"/>
          <w:sz w:val="32"/>
          <w:szCs w:val="32"/>
        </w:rPr>
        <w:t>第二章  总体要求</w:t>
      </w:r>
      <w:bookmarkEnd w:id="16"/>
      <w:bookmarkEnd w:id="17"/>
      <w:bookmarkEnd w:id="18"/>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19" w:name="_Toc409446940"/>
      <w:bookmarkEnd w:id="19"/>
      <w:bookmarkStart w:id="20" w:name="_Toc409686825"/>
      <w:bookmarkEnd w:id="20"/>
      <w:bookmarkStart w:id="21" w:name="_Toc98767262"/>
      <w:bookmarkStart w:id="22" w:name="_Toc38744363"/>
      <w:bookmarkStart w:id="23" w:name="_Toc75424964"/>
      <w:r>
        <w:rPr>
          <w:rFonts w:hint="default" w:ascii="Times New Roman" w:hAnsi="Times New Roman" w:eastAsia="楷体" w:cs="Times New Roman"/>
          <w:b/>
          <w:color w:val="auto"/>
          <w:kern w:val="2"/>
          <w:sz w:val="32"/>
          <w:szCs w:val="32"/>
        </w:rPr>
        <w:t>第一节  指导思想</w:t>
      </w:r>
      <w:bookmarkEnd w:id="21"/>
      <w:bookmarkEnd w:id="22"/>
      <w:bookmarkEnd w:id="23"/>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仿宋" w:cs="Times New Roman"/>
          <w:color w:val="auto"/>
          <w:kern w:val="2"/>
          <w:sz w:val="32"/>
          <w:szCs w:val="32"/>
        </w:rPr>
        <w:t>以习近平新时代中国特色社会主义思想为指导，深入贯彻党的十九大和十九届历次全会精神，落实总书记视察信阳作出的重要指示，深刻把握新发展阶段，完整准确全面贯彻新发展理念，主动融入新发展格局，以高质量发展为主题，以深化供给侧结构性改革为主线，以“两个更好”为统领，锚定“两个确保”，紧扣“十大战略”，围绕“四区一屏障一枢纽”战略定位，聚焦“一中心四强市一家园”远景目标，以交通枢纽建设为切入点，以完善的现代综合交通运输体系为依托，以高效优质的枢纽经济服务平台建设为推手，以交通枢纽偏好型产业集聚为动能，着力提升产业集聚辐射能级，优化锚固城镇空间格局，促进交通、产业和城市融合发展，推动产业基础优势向产业链供应链优势转变，建设内陆枢纽经济示范区，为打造“美好生活看信阳”品牌注入新力量，为书写奋勇争先、更加出彩、“两个确保”信阳答卷提供新动能。</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24" w:name="_Toc75424965"/>
      <w:bookmarkStart w:id="25" w:name="_Toc38744364"/>
      <w:bookmarkStart w:id="26" w:name="_Toc98767263"/>
      <w:bookmarkStart w:id="27" w:name="_Toc409686826"/>
      <w:bookmarkStart w:id="28" w:name="_Toc409446941"/>
      <w:r>
        <w:rPr>
          <w:rFonts w:hint="default" w:ascii="Times New Roman" w:hAnsi="Times New Roman" w:eastAsia="楷体" w:cs="Times New Roman"/>
          <w:b/>
          <w:color w:val="auto"/>
          <w:kern w:val="2"/>
          <w:sz w:val="32"/>
          <w:szCs w:val="32"/>
        </w:rPr>
        <w:t>第二节  基本原则</w:t>
      </w:r>
      <w:bookmarkEnd w:id="24"/>
      <w:bookmarkEnd w:id="25"/>
      <w:bookmarkEnd w:id="26"/>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楷体" w:cs="Times New Roman"/>
          <w:bCs/>
          <w:color w:val="auto"/>
          <w:kern w:val="2"/>
          <w:sz w:val="32"/>
          <w:szCs w:val="32"/>
        </w:rPr>
        <w:t>优势再造、支撑引领。</w:t>
      </w:r>
      <w:r>
        <w:rPr>
          <w:rFonts w:hint="default" w:ascii="Times New Roman" w:hAnsi="Times New Roman" w:eastAsia="仿宋" w:cs="Times New Roman"/>
          <w:color w:val="auto"/>
          <w:kern w:val="2"/>
          <w:sz w:val="32"/>
          <w:szCs w:val="32"/>
        </w:rPr>
        <w:t>发挥交通开路先锋作用，适度超前规划建设，巩固提升交通发展优势，围绕变“流量”为“留量”，加快推进平台建设，发挥枢纽、通道、市场集聚效应，</w:t>
      </w:r>
      <w:bookmarkStart w:id="29" w:name="_Hlk98339400"/>
      <w:r>
        <w:rPr>
          <w:rFonts w:hint="default" w:ascii="Times New Roman" w:hAnsi="Times New Roman" w:eastAsia="仿宋" w:cs="Times New Roman"/>
          <w:color w:val="auto"/>
          <w:kern w:val="2"/>
          <w:sz w:val="32"/>
          <w:szCs w:val="32"/>
        </w:rPr>
        <w:t>推动交通区位优势向枢纽经济优势转变</w:t>
      </w:r>
      <w:bookmarkEnd w:id="29"/>
      <w:r>
        <w:rPr>
          <w:rFonts w:hint="default" w:ascii="Times New Roman" w:hAnsi="Times New Roman" w:eastAsia="仿宋" w:cs="Times New Roman"/>
          <w:color w:val="auto"/>
          <w:kern w:val="2"/>
          <w:sz w:val="32"/>
          <w:szCs w:val="32"/>
        </w:rPr>
        <w:t>，</w:t>
      </w:r>
      <w:bookmarkStart w:id="30" w:name="_Hlk98339414"/>
      <w:r>
        <w:rPr>
          <w:rFonts w:hint="default" w:ascii="Times New Roman" w:hAnsi="Times New Roman" w:eastAsia="仿宋" w:cs="Times New Roman"/>
          <w:color w:val="auto"/>
          <w:kern w:val="2"/>
          <w:sz w:val="32"/>
          <w:szCs w:val="32"/>
        </w:rPr>
        <w:t>增强服务大别山革命老区振兴发展能力</w:t>
      </w:r>
      <w:bookmarkEnd w:id="30"/>
      <w:r>
        <w:rPr>
          <w:rFonts w:hint="default" w:ascii="Times New Roman" w:hAnsi="Times New Roman" w:eastAsia="仿宋" w:cs="Times New Roman"/>
          <w:color w:val="auto"/>
          <w:kern w:val="2"/>
          <w:sz w:val="32"/>
          <w:szCs w:val="32"/>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16" w:firstLineChars="200"/>
        <w:textAlignment w:val="auto"/>
        <w:rPr>
          <w:rFonts w:hint="default" w:ascii="Times New Roman" w:hAnsi="Times New Roman" w:eastAsia="仿宋" w:cs="Times New Roman"/>
          <w:color w:val="auto"/>
          <w:spacing w:val="-6"/>
          <w:kern w:val="2"/>
          <w:sz w:val="32"/>
          <w:szCs w:val="32"/>
        </w:rPr>
      </w:pPr>
      <w:r>
        <w:rPr>
          <w:rFonts w:hint="default" w:ascii="Times New Roman" w:hAnsi="Times New Roman" w:eastAsia="楷体" w:cs="Times New Roman"/>
          <w:bCs/>
          <w:color w:val="auto"/>
          <w:spacing w:val="-6"/>
          <w:kern w:val="2"/>
          <w:sz w:val="32"/>
          <w:szCs w:val="32"/>
        </w:rPr>
        <w:t>统筹协调、融合联动。</w:t>
      </w:r>
      <w:r>
        <w:rPr>
          <w:rFonts w:hint="default" w:ascii="Times New Roman" w:hAnsi="Times New Roman" w:eastAsia="仿宋" w:cs="Times New Roman"/>
          <w:color w:val="auto"/>
          <w:spacing w:val="-6"/>
          <w:kern w:val="2"/>
          <w:sz w:val="32"/>
          <w:szCs w:val="32"/>
        </w:rPr>
        <w:t>推动交通发展向更加注重质量效益、更加注重一体化融合发展、更加注重创新驱动转变，强化各种交通方式协调有效衔接，围绕交通枢纽、物流枢纽等，强化要素组织平台载体建设，推动交通、产业和城市融合联动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楷体" w:cs="Times New Roman"/>
          <w:bCs/>
          <w:color w:val="auto"/>
          <w:kern w:val="2"/>
          <w:sz w:val="32"/>
          <w:szCs w:val="32"/>
        </w:rPr>
        <w:t>创新驱动，智慧发展。</w:t>
      </w:r>
      <w:r>
        <w:rPr>
          <w:rFonts w:hint="default" w:ascii="Times New Roman" w:hAnsi="Times New Roman" w:eastAsia="仿宋" w:cs="Times New Roman"/>
          <w:color w:val="auto"/>
          <w:kern w:val="2"/>
          <w:sz w:val="32"/>
          <w:szCs w:val="32"/>
        </w:rPr>
        <w:t>围绕国家创新驱动发展战略，推动5G、大数据、互联网等新技术发展，推广应用先进适用的技术装备，促进现代交通运输体系数字化、信息化、智能化。按照产业链、供应链链式发展要求，加快运输组织、物流组织和要素组织创新，形成区域经济发展模式创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楷体" w:cs="Times New Roman"/>
          <w:bCs/>
          <w:color w:val="auto"/>
          <w:kern w:val="2"/>
          <w:sz w:val="32"/>
          <w:szCs w:val="32"/>
        </w:rPr>
        <w:t>安全集约、绿色崛起。</w:t>
      </w:r>
      <w:r>
        <w:rPr>
          <w:rFonts w:hint="default" w:ascii="Times New Roman" w:hAnsi="Times New Roman" w:eastAsia="仿宋" w:cs="Times New Roman"/>
          <w:color w:val="auto"/>
          <w:kern w:val="2"/>
          <w:sz w:val="32"/>
          <w:szCs w:val="32"/>
        </w:rPr>
        <w:t>落实碳中和碳达峰目标，注重资源集约节约利用，积极推行“源头减量、过程控制、智能防控、末端再生”的绿色开发建设模式，强化红线控制和底线思维，提升绿色安全韧性能力，推动清洁产业链和绿色供应链发展，加强安全保障和应急体系建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楷体" w:cs="Times New Roman"/>
          <w:bCs/>
          <w:color w:val="auto"/>
          <w:kern w:val="2"/>
          <w:sz w:val="32"/>
          <w:szCs w:val="32"/>
        </w:rPr>
        <w:t>系统谋划、整体推进。</w:t>
      </w:r>
      <w:r>
        <w:rPr>
          <w:rFonts w:hint="default" w:ascii="Times New Roman" w:hAnsi="Times New Roman" w:eastAsia="仿宋" w:cs="Times New Roman"/>
          <w:color w:val="auto"/>
          <w:kern w:val="2"/>
          <w:sz w:val="32"/>
          <w:szCs w:val="32"/>
        </w:rPr>
        <w:t>主动对接中部地区崛起、大别山革命老区振兴发展、淮河生态经济带等重大战略，与周边城市开展合作联动，促进区域更高质量一体化发展。统筹存量和增量、传统和新型、国内和国际，推进交通设施、服务体系与产业链供应链布局统筹谋划、协同建设、一体运行，促进要素高效流动和产业分工协作。</w:t>
      </w:r>
    </w:p>
    <w:bookmarkEnd w:id="27"/>
    <w:bookmarkEnd w:id="28"/>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31" w:name="_Toc98767264"/>
      <w:bookmarkStart w:id="32" w:name="_Toc75424966"/>
      <w:bookmarkStart w:id="33" w:name="_Toc38744365"/>
      <w:r>
        <w:rPr>
          <w:rFonts w:hint="default" w:ascii="Times New Roman" w:hAnsi="Times New Roman" w:eastAsia="楷体" w:cs="Times New Roman"/>
          <w:b/>
          <w:color w:val="auto"/>
          <w:kern w:val="2"/>
          <w:sz w:val="32"/>
          <w:szCs w:val="32"/>
        </w:rPr>
        <w:t>第三节  发展目标</w:t>
      </w:r>
      <w:bookmarkEnd w:id="31"/>
      <w:bookmarkEnd w:id="32"/>
      <w:bookmarkEnd w:id="33"/>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到2025年，联通南北、辐射东西的运输通道全面贯通，空港、水港、陆港枢纽经济区实现高效联动，物流、商流、信息流融通汇聚，交通区位优势向经济发展优势转化成效显著，交通运输与经济社会实现融合发展，具有信阳特色发展路径的枢纽经济体系初步构建，服务国内国际双循环能力显著提升。</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kern w:val="2"/>
          <w:sz w:val="32"/>
          <w:szCs w:val="32"/>
        </w:rPr>
        <w:t>综合交通网络实现新发展。</w:t>
      </w:r>
      <w:r>
        <w:rPr>
          <w:rFonts w:hint="default" w:ascii="Times New Roman" w:hAnsi="Times New Roman" w:eastAsia="仿宋" w:cs="Times New Roman"/>
          <w:color w:val="auto"/>
          <w:sz w:val="32"/>
          <w:szCs w:val="32"/>
        </w:rPr>
        <w:t>综合交通线网规模达到31000公里以上，“一枢纽、三张网、五通道”综合交通运输体系基本建成。高速铁路网形成“两纵一横”布局，所有县（区）实现“1小时上高铁”；高速公路通车里程达到1000公里以上，实现“市区有环线、县县双高速、乡镇广覆盖”；普通干线公路里程达到3000公里以上，二级及以上占比达到59%；农村公路里程达到26500公里，基本实现村村通等级路；四级以上航道里程达到162公里，通江达海能力显著增强。</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bookmarkStart w:id="34" w:name="_Hlk94170655"/>
      <w:r>
        <w:rPr>
          <w:rFonts w:hint="default" w:ascii="Times New Roman" w:hAnsi="Times New Roman" w:eastAsia="楷体" w:cs="Times New Roman"/>
          <w:bCs/>
          <w:color w:val="auto"/>
          <w:kern w:val="2"/>
          <w:sz w:val="32"/>
          <w:szCs w:val="32"/>
        </w:rPr>
        <w:t>枢纽设施能级实现新提升。</w:t>
      </w:r>
      <w:r>
        <w:rPr>
          <w:rFonts w:hint="default" w:ascii="Times New Roman" w:hAnsi="Times New Roman" w:eastAsia="仿宋" w:cs="Times New Roman"/>
          <w:color w:val="auto"/>
          <w:sz w:val="32"/>
          <w:szCs w:val="32"/>
        </w:rPr>
        <w:t>明港机场旅客吞吐量超过150万人次，货邮吞吐量达到0.85万吨以上，通航城市数达25个，潢川机场开工建设。淮滨中心港区货物吞吐量达到2080万吨，建成河南省内集散货、件杂货、集装箱泊位于一体的最大综合性单体港口和综合性物流园区。规划信阳、豫东南高新技术产业开发区2个高铁经济区。</w:t>
      </w:r>
    </w:p>
    <w:bookmarkEnd w:id="3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kern w:val="2"/>
          <w:sz w:val="32"/>
          <w:szCs w:val="32"/>
        </w:rPr>
        <w:t>现代流通体系实现新优化。</w:t>
      </w:r>
      <w:r>
        <w:rPr>
          <w:rFonts w:hint="default" w:ascii="Times New Roman" w:hAnsi="Times New Roman" w:eastAsia="仿宋" w:cs="Times New Roman"/>
          <w:color w:val="auto"/>
          <w:sz w:val="32"/>
          <w:szCs w:val="32"/>
        </w:rPr>
        <w:t>多样化普惠化客运服务和高效化专业化货运服务加快发展，“</w:t>
      </w:r>
      <w:r>
        <w:rPr>
          <w:rFonts w:hint="default" w:ascii="Times New Roman" w:hAnsi="Times New Roman" w:eastAsia="仿宋" w:cs="Times New Roman"/>
          <w:color w:val="auto"/>
          <w:kern w:val="2"/>
          <w:sz w:val="32"/>
          <w:szCs w:val="32"/>
        </w:rPr>
        <w:t>客运一票制、货运一单制”实现新突破，冷链、电子商务、快递等专业化服务加快发展，</w:t>
      </w:r>
      <w:r>
        <w:rPr>
          <w:rFonts w:hint="default" w:ascii="Times New Roman" w:hAnsi="Times New Roman" w:eastAsia="仿宋" w:cs="Times New Roman"/>
          <w:color w:val="auto"/>
          <w:sz w:val="32"/>
          <w:szCs w:val="32"/>
        </w:rPr>
        <w:t>全市快递业务量达到3800万件，年均增长15%以上；业务收入达到4.5亿元，年均增长15%以上。全市省级示范物流园区达到2个。</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kern w:val="2"/>
          <w:sz w:val="32"/>
          <w:szCs w:val="32"/>
        </w:rPr>
      </w:pPr>
      <w:r>
        <w:rPr>
          <w:rFonts w:hint="default" w:ascii="Times New Roman" w:hAnsi="Times New Roman" w:eastAsia="楷体" w:cs="Times New Roman"/>
          <w:bCs/>
          <w:color w:val="auto"/>
          <w:kern w:val="2"/>
          <w:sz w:val="32"/>
          <w:szCs w:val="32"/>
        </w:rPr>
        <w:t>枢纽产业体系实现新发展。</w:t>
      </w:r>
      <w:r>
        <w:rPr>
          <w:rFonts w:hint="default" w:ascii="Times New Roman" w:hAnsi="Times New Roman" w:eastAsia="仿宋" w:cs="Times New Roman"/>
          <w:color w:val="auto"/>
          <w:sz w:val="32"/>
          <w:szCs w:val="32"/>
        </w:rPr>
        <w:t>枢纽经济承载平台对制造业高质量发展、现代服务扩容升级和现代产业转型发展支撑保障能力显著增强，成功打造绿色食品、绿色建造、时尚家纺、智能制造、电子信息5大产业集群，加快发展生物医药产业集群，</w:t>
      </w:r>
      <w:r>
        <w:rPr>
          <w:rFonts w:hint="default" w:ascii="Times New Roman" w:hAnsi="Times New Roman" w:eastAsia="仿宋" w:cs="Times New Roman"/>
          <w:color w:val="auto"/>
          <w:kern w:val="2"/>
          <w:sz w:val="32"/>
          <w:szCs w:val="32"/>
        </w:rPr>
        <w:t>实体经济和科技创新、现代金融、人力资源协同发展，基本形成枢纽偏好型高端制造业产业链和生产性服务业产业链。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kern w:val="2"/>
          <w:sz w:val="32"/>
          <w:szCs w:val="32"/>
        </w:rPr>
        <w:t>枢纽经济实力迈上新台阶。</w:t>
      </w:r>
      <w:r>
        <w:rPr>
          <w:rFonts w:hint="default" w:ascii="Times New Roman" w:hAnsi="Times New Roman" w:eastAsia="仿宋" w:cs="Times New Roman"/>
          <w:color w:val="auto"/>
          <w:sz w:val="32"/>
          <w:szCs w:val="32"/>
        </w:rPr>
        <w:t>跨域通道经济带加快建设，枢纽经济承载平台快速发展，基本建成经济强市、长三角产业转移的战略腹地和新承载地、河南省对接长三角地区的桥头堡，创建国家级承接产业转移示范区。全市生产总值年均增速高于全省平均水平1个百分点以上，经济社会发展主要人均指标与全国平均水平差距明显缩小。</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16" w:firstLineChars="200"/>
        <w:textAlignment w:val="auto"/>
        <w:rPr>
          <w:rFonts w:hint="default" w:ascii="Times New Roman" w:hAnsi="Times New Roman" w:eastAsia="仿宋" w:cs="Times New Roman"/>
          <w:color w:val="auto"/>
          <w:spacing w:val="-6"/>
          <w:sz w:val="32"/>
          <w:szCs w:val="32"/>
        </w:rPr>
      </w:pPr>
      <w:r>
        <w:rPr>
          <w:rFonts w:hint="default" w:ascii="Times New Roman" w:hAnsi="Times New Roman" w:eastAsia="楷体" w:cs="Times New Roman"/>
          <w:bCs/>
          <w:color w:val="auto"/>
          <w:spacing w:val="-6"/>
          <w:kern w:val="2"/>
          <w:sz w:val="32"/>
          <w:szCs w:val="32"/>
        </w:rPr>
        <w:t>枢纽城市建设呈现新风貌。</w:t>
      </w:r>
      <w:r>
        <w:rPr>
          <w:rFonts w:hint="default" w:ascii="Times New Roman" w:hAnsi="Times New Roman" w:eastAsia="仿宋" w:cs="Times New Roman"/>
          <w:color w:val="auto"/>
          <w:spacing w:val="-6"/>
          <w:kern w:val="2"/>
          <w:sz w:val="32"/>
          <w:szCs w:val="32"/>
        </w:rPr>
        <w:t>枢纽经济为信阳城市经济发展注入新动能，空港经济、高铁经济、港口经济、陆港经济发展取得新突破，枢纽经济区建设成效显著，“港产城”融合和“站城一体”开发加快形成，商贸服务型国家物流枢纽建设取得积极成效。</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bCs/>
          <w:color w:val="auto"/>
          <w:sz w:val="32"/>
          <w:szCs w:val="32"/>
        </w:rPr>
        <w:t>远景展望至2035年，产业价值链条式的传递和转移全面拓展至区域空间，枢纽交通物流互联互通、功能平台互补延伸、经济产业协调联动，交通运输与经济社会发展实现高水平有机融合，全面建成商贸服务型国家物流枢纽、鄂豫皖省际区域中心城市，成为大别山地区重要的经济增长极，有力支撑大别山革命老区振兴发展。</w:t>
      </w:r>
    </w:p>
    <w:tbl>
      <w:tblPr>
        <w:tblStyle w:val="31"/>
        <w:tblW w:w="5000" w:type="pct"/>
        <w:jc w:val="center"/>
        <w:tblLayout w:type="fixed"/>
        <w:tblCellMar>
          <w:top w:w="0" w:type="dxa"/>
          <w:left w:w="0" w:type="dxa"/>
          <w:bottom w:w="0" w:type="dxa"/>
          <w:right w:w="0" w:type="dxa"/>
        </w:tblCellMar>
      </w:tblPr>
      <w:tblGrid>
        <w:gridCol w:w="598"/>
        <w:gridCol w:w="5003"/>
        <w:gridCol w:w="1088"/>
        <w:gridCol w:w="1088"/>
        <w:gridCol w:w="1087"/>
      </w:tblGrid>
      <w:tr>
        <w:trPr>
          <w:trHeight w:val="340" w:hRule="atLeast"/>
          <w:tblHeader/>
          <w:jc w:val="center"/>
        </w:trPr>
        <w:tc>
          <w:tcPr>
            <w:tcW w:w="5000" w:type="pct"/>
            <w:gridSpan w:val="5"/>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overflowPunct w:val="0"/>
              <w:topLinePunct w:val="0"/>
              <w:autoSpaceDE/>
              <w:autoSpaceDN/>
              <w:bidi w:val="0"/>
              <w:adjustRightInd/>
              <w:snapToGrid/>
              <w:spacing w:line="400" w:lineRule="exact"/>
              <w:jc w:val="center"/>
              <w:rPr>
                <w:rFonts w:hint="default" w:ascii="Times New Roman" w:hAnsi="Times New Roman" w:eastAsia="黑体" w:cs="Times New Roman"/>
                <w:color w:val="auto"/>
                <w:szCs w:val="24"/>
              </w:rPr>
            </w:pPr>
            <w:bookmarkStart w:id="35" w:name="_Hlk94170631"/>
            <w:r>
              <w:rPr>
                <w:rFonts w:hint="default" w:ascii="Times New Roman" w:hAnsi="Times New Roman" w:eastAsia="黑体" w:cs="Times New Roman"/>
                <w:color w:val="auto"/>
                <w:szCs w:val="24"/>
              </w:rPr>
              <w:t>专栏1  主要发展指标</w:t>
            </w:r>
          </w:p>
        </w:tc>
      </w:tr>
      <w:tr>
        <w:trPr>
          <w:trHeight w:val="340" w:hRule="atLeast"/>
          <w:tblHeader/>
          <w:jc w:val="center"/>
        </w:trPr>
        <w:tc>
          <w:tcPr>
            <w:tcW w:w="337"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类别</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指标</w:t>
            </w:r>
          </w:p>
        </w:tc>
        <w:tc>
          <w:tcPr>
            <w:tcW w:w="614"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2020</w:t>
            </w:r>
            <w:r>
              <w:rPr>
                <w:rStyle w:val="75"/>
                <w:rFonts w:hint="default" w:ascii="Times New Roman" w:hAnsi="Times New Roman" w:cs="Times New Roman"/>
                <w:color w:val="auto"/>
                <w:sz w:val="24"/>
                <w:szCs w:val="24"/>
              </w:rPr>
              <w:t>年</w:t>
            </w:r>
          </w:p>
        </w:tc>
        <w:tc>
          <w:tcPr>
            <w:tcW w:w="614"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2025</w:t>
            </w:r>
            <w:r>
              <w:rPr>
                <w:rStyle w:val="75"/>
                <w:rFonts w:hint="default" w:ascii="Times New Roman" w:hAnsi="Times New Roman" w:cs="Times New Roman"/>
                <w:color w:val="auto"/>
                <w:sz w:val="24"/>
                <w:szCs w:val="24"/>
              </w:rPr>
              <w:t>年</w:t>
            </w:r>
          </w:p>
        </w:tc>
        <w:tc>
          <w:tcPr>
            <w:tcW w:w="613"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属性</w:t>
            </w:r>
          </w:p>
        </w:tc>
      </w:tr>
      <w:tr>
        <w:trPr>
          <w:trHeight w:val="340" w:hRule="atLeast"/>
          <w:jc w:val="center"/>
        </w:trPr>
        <w:tc>
          <w:tcPr>
            <w:tcW w:w="337" w:type="pct"/>
            <w:vMerge w:val="restar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网络设施</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高速铁路运营里程（公里）</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76.3</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211.3</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民航服务覆盖城市数（个）</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13</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25</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县（区）两条以上高速公路覆盖比例（%）</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50</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90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乡镇二级以上公路联通比例（%）</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75</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&gt;80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Ⅳ级以上内河航道里程（公里）</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124</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162</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综合客货运枢纽（含物流园区）（个）</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3</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9</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restart"/>
            <w:tcBorders>
              <w:top w:val="single" w:color="000000" w:sz="4" w:space="0"/>
              <w:left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枢纽能级</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明港机场旅客吞吐量（万人次）</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73.2</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150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left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明港机场货邮吞吐量（万吨）</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0.85</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left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淮滨中心港区货物吞吐量（万吨）</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3000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restar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服务品质</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民航航班正常率（%）</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89.33</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&gt;90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全市快递业务量（万件）</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5219</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13500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较大以上等级道路运输行车事故万车死亡人数较2020年下降率（%）</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5</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营运车辆单位运输周转量二氧化碳排放量较2020年下降率（%）</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6</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restart"/>
            <w:tcBorders>
              <w:left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产业体系</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枢纽偏好型产业集群数量（个）</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0</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5</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社会消费品零售总额年均增长率（%）</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highlight w:val="yellow"/>
              </w:rPr>
            </w:pPr>
            <w:r>
              <w:rPr>
                <w:rFonts w:hint="default" w:ascii="Times New Roman" w:hAnsi="Times New Roman" w:cs="Times New Roman"/>
                <w:color w:val="auto"/>
              </w:rPr>
              <w:t>7.6</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highlight w:val="yellow"/>
              </w:rPr>
            </w:pPr>
            <w:r>
              <w:rPr>
                <w:rFonts w:hint="default" w:ascii="Times New Roman" w:hAnsi="Times New Roman" w:cs="Times New Roman"/>
                <w:color w:val="auto"/>
              </w:rPr>
              <w:t>&gt;8</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700" w:hRule="atLeast"/>
          <w:jc w:val="center"/>
        </w:trPr>
        <w:tc>
          <w:tcPr>
            <w:tcW w:w="337" w:type="pct"/>
            <w:tcBorders>
              <w:top w:val="single" w:color="000000" w:sz="4" w:space="0"/>
              <w:left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内陆开放</w:t>
            </w:r>
          </w:p>
        </w:tc>
        <w:tc>
          <w:tcPr>
            <w:tcW w:w="2822" w:type="pct"/>
            <w:tcBorders>
              <w:top w:val="single" w:color="000000" w:sz="4" w:space="0"/>
              <w:left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中欧班列直达线路数（条）</w:t>
            </w:r>
          </w:p>
        </w:tc>
        <w:tc>
          <w:tcPr>
            <w:tcW w:w="614" w:type="pct"/>
            <w:tcBorders>
              <w:top w:val="single" w:color="000000" w:sz="4" w:space="0"/>
              <w:left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0</w:t>
            </w:r>
          </w:p>
        </w:tc>
        <w:tc>
          <w:tcPr>
            <w:tcW w:w="614" w:type="pct"/>
            <w:tcBorders>
              <w:top w:val="single" w:color="000000" w:sz="4" w:space="0"/>
              <w:left w:val="single" w:color="000000" w:sz="4" w:space="0"/>
              <w:right w:val="single" w:color="000000" w:sz="4" w:space="0"/>
            </w:tcBorders>
            <w:noWrap w:val="0"/>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cs="Times New Roman"/>
                <w:color w:val="auto"/>
              </w:rPr>
            </w:pPr>
            <w:r>
              <w:rPr>
                <w:rFonts w:hint="default" w:ascii="Times New Roman" w:hAnsi="Times New Roman" w:cs="Times New Roman"/>
                <w:color w:val="auto"/>
              </w:rPr>
              <w:t>1</w:t>
            </w:r>
          </w:p>
        </w:tc>
        <w:tc>
          <w:tcPr>
            <w:tcW w:w="613" w:type="pct"/>
            <w:tcBorders>
              <w:top w:val="single" w:color="000000" w:sz="4" w:space="0"/>
              <w:left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restar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治理能力</w:t>
            </w: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交通行政审批事项在线办理率（%）</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100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tr>
        <w:trPr>
          <w:trHeight w:val="340" w:hRule="atLeast"/>
          <w:jc w:val="center"/>
        </w:trPr>
        <w:tc>
          <w:tcPr>
            <w:tcW w:w="337" w:type="pct"/>
            <w:vMerge w:val="continue"/>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b/>
                <w:color w:val="auto"/>
                <w:szCs w:val="24"/>
              </w:rPr>
            </w:pPr>
          </w:p>
        </w:tc>
        <w:tc>
          <w:tcPr>
            <w:tcW w:w="2822" w:type="pct"/>
            <w:tcBorders>
              <w:top w:val="single" w:color="000000" w:sz="4" w:space="0"/>
              <w:left w:val="single" w:color="000000" w:sz="4" w:space="0"/>
              <w:bottom w:val="single" w:color="000000" w:sz="4" w:space="0"/>
              <w:right w:val="single" w:color="000000" w:sz="4" w:space="0"/>
            </w:tcBorders>
            <w:noWrap w:val="0"/>
            <w:tcMar>
              <w:top w:w="10" w:type="dxa"/>
              <w:left w:w="10" w:type="dxa"/>
              <w:right w:w="1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ind w:left="120" w:leftChars="50"/>
              <w:textAlignment w:val="auto"/>
              <w:rPr>
                <w:rFonts w:hint="default" w:ascii="Times New Roman" w:hAnsi="Times New Roman" w:cs="Times New Roman"/>
                <w:color w:val="auto"/>
              </w:rPr>
            </w:pPr>
            <w:r>
              <w:rPr>
                <w:rFonts w:hint="default" w:ascii="Times New Roman" w:hAnsi="Times New Roman" w:cs="Times New Roman"/>
                <w:color w:val="auto"/>
              </w:rPr>
              <w:t>非现场交通执法系统安装比例（%）</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kinsoku/>
              <w:wordWrap/>
              <w:topLinePunct w:val="0"/>
              <w:autoSpaceDE/>
              <w:autoSpaceDN/>
              <w:bidi w:val="0"/>
              <w:adjustRightInd/>
              <w:snapToGrid/>
              <w:spacing w:line="400" w:lineRule="exact"/>
              <w:jc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w:t>
            </w:r>
          </w:p>
        </w:tc>
        <w:tc>
          <w:tcPr>
            <w:tcW w:w="614"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100</w:t>
            </w:r>
          </w:p>
        </w:tc>
        <w:tc>
          <w:tcPr>
            <w:tcW w:w="613" w:type="pct"/>
            <w:tcBorders>
              <w:top w:val="single" w:color="000000" w:sz="4" w:space="0"/>
              <w:left w:val="single" w:color="000000" w:sz="4" w:space="0"/>
              <w:bottom w:val="single" w:color="000000" w:sz="4" w:space="0"/>
              <w:right w:val="single" w:color="000000" w:sz="4" w:space="0"/>
            </w:tcBorders>
            <w:noWrap/>
            <w:tcMar>
              <w:top w:w="10" w:type="dxa"/>
              <w:left w:w="10" w:type="dxa"/>
              <w:right w:w="10" w:type="dxa"/>
            </w:tcMar>
            <w:vAlign w:val="center"/>
          </w:tcPr>
          <w:p>
            <w:pPr>
              <w:keepNext w:val="0"/>
              <w:keepLines w:val="0"/>
              <w:pageBreakBefore w:val="0"/>
              <w:widowControl/>
              <w:kinsoku/>
              <w:wordWrap/>
              <w:topLinePunct w:val="0"/>
              <w:autoSpaceDE/>
              <w:autoSpaceDN/>
              <w:bidi w:val="0"/>
              <w:adjustRightInd/>
              <w:snapToGrid/>
              <w:spacing w:line="400" w:lineRule="exact"/>
              <w:jc w:val="center"/>
              <w:textAlignment w:val="center"/>
              <w:rPr>
                <w:rFonts w:hint="default" w:ascii="Times New Roman" w:hAnsi="Times New Roman" w:eastAsia="宋体" w:cs="Times New Roman"/>
                <w:color w:val="auto"/>
                <w:szCs w:val="24"/>
              </w:rPr>
            </w:pPr>
            <w:r>
              <w:rPr>
                <w:rFonts w:hint="default" w:ascii="Times New Roman" w:hAnsi="Times New Roman" w:eastAsia="宋体" w:cs="Times New Roman"/>
                <w:color w:val="auto"/>
                <w:szCs w:val="24"/>
              </w:rPr>
              <w:t>预期性</w:t>
            </w:r>
          </w:p>
        </w:tc>
      </w:tr>
      <w:bookmarkEnd w:id="35"/>
    </w:tbl>
    <w:p>
      <w:pPr>
        <w:rPr>
          <w:rFonts w:hint="default" w:ascii="Times New Roman" w:hAnsi="Times New Roman" w:eastAsia="黑体" w:cs="Times New Roman"/>
          <w:color w:val="auto"/>
          <w:sz w:val="32"/>
          <w:szCs w:val="32"/>
        </w:rPr>
      </w:pPr>
      <w:bookmarkStart w:id="36" w:name="_Toc98767265"/>
      <w:bookmarkStart w:id="37" w:name="_Toc75424967"/>
      <w:r>
        <w:rPr>
          <w:rFonts w:hint="default" w:ascii="Times New Roman" w:hAnsi="Times New Roman" w:eastAsia="黑体" w:cs="Times New Roman"/>
          <w:color w:val="auto"/>
          <w:sz w:val="32"/>
          <w:szCs w:val="32"/>
        </w:rPr>
        <w:br w:type="page"/>
      </w:r>
    </w:p>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r>
        <w:rPr>
          <w:rFonts w:hint="default" w:ascii="Times New Roman" w:hAnsi="Times New Roman" w:eastAsia="黑体" w:cs="Times New Roman"/>
          <w:color w:val="auto"/>
          <w:sz w:val="32"/>
          <w:szCs w:val="32"/>
        </w:rPr>
        <w:t>第三章  总体布局</w:t>
      </w:r>
      <w:bookmarkEnd w:id="36"/>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统筹城镇空间、产业布局和未来发展需要，以综合交通枢纽为支点，以“两纵三横”综合运输通道布局为主骨架，以“枢纽+通道+网络”交通物流运行系统为支撑，加快交通体系、物流枢纽与区域、城市、产业的互动融合，推动市域产业链一体化布局，构建“1+2”的综合交通运输体系和枢纽经济融合互促发展总体布局，打造商贸服务型枢纽经济新城。“1”是指信阳市区，主要是信阳东高铁片区、信阳北公铁水空综合枢纽、大别山综合物流港三个枢纽。“2”是指淮滨航运枢纽和豫东南高新技术产业开发区交通枢纽。</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kern w:val="2"/>
          <w:sz w:val="32"/>
          <w:szCs w:val="32"/>
        </w:rPr>
        <w:t>培育壮大信阳市区枢纽经济。</w:t>
      </w:r>
      <w:r>
        <w:rPr>
          <w:rFonts w:hint="default" w:ascii="Times New Roman" w:hAnsi="Times New Roman" w:eastAsia="仿宋" w:cs="Times New Roman"/>
          <w:color w:val="auto"/>
          <w:sz w:val="32"/>
          <w:szCs w:val="32"/>
        </w:rPr>
        <w:t>利用枢纽强大货物集散能力，以产业集聚区、大型物流园区为重要支撑，依托明港机场、轨道交通、高等级公路、内河航运等一体衔接的综合立体交通网，发挥信阳东高铁综合枢纽、信阳北公铁水空综合枢纽、大别山综合物流港等承载平台叠加优势，联动信罗同城化发展，扩展枢纽经济辐射空间，提升资源要素聚集力、整合力、配置力，带动先进制造业、现代物流、现代金融、科技创新、会展商务等集聚融合发展，提升产业链、供应链现代化水平。加强与南阳、驻马店联动发展，推动豫南地区大通道大枢纽建设，增强对大别山革命老区振兴发展的带动引领作用。</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kern w:val="2"/>
          <w:sz w:val="32"/>
          <w:szCs w:val="32"/>
        </w:rPr>
        <w:t>布局</w:t>
      </w:r>
      <w:bookmarkStart w:id="38" w:name="_Hlk104277865"/>
      <w:r>
        <w:rPr>
          <w:rFonts w:hint="default" w:ascii="Times New Roman" w:hAnsi="Times New Roman" w:eastAsia="楷体" w:cs="Times New Roman"/>
          <w:bCs/>
          <w:color w:val="auto"/>
          <w:kern w:val="2"/>
          <w:sz w:val="32"/>
          <w:szCs w:val="32"/>
        </w:rPr>
        <w:t>豫东南高新技术产业开发区</w:t>
      </w:r>
      <w:bookmarkEnd w:id="38"/>
      <w:r>
        <w:rPr>
          <w:rFonts w:hint="default" w:ascii="Times New Roman" w:hAnsi="Times New Roman" w:eastAsia="楷体" w:cs="Times New Roman"/>
          <w:bCs/>
          <w:color w:val="auto"/>
          <w:kern w:val="2"/>
          <w:sz w:val="32"/>
          <w:szCs w:val="32"/>
        </w:rPr>
        <w:t>枢纽经济协同发展区。</w:t>
      </w:r>
      <w:r>
        <w:rPr>
          <w:rFonts w:hint="default" w:ascii="Times New Roman" w:hAnsi="Times New Roman" w:eastAsia="仿宋" w:cs="Times New Roman"/>
          <w:color w:val="auto"/>
          <w:sz w:val="32"/>
          <w:szCs w:val="32"/>
        </w:rPr>
        <w:t>完善区域性综合交通枢纽功能，依托铁路运输优势和良好的大宗物资物流业务基础，充分发挥潢川机场、大别山潢川铁路货运综合物流园、豫东南综合枢纽站、东方国际陆港和淮河花埠口港区功能，重点培育发展大健康、高端装备制造产业、前言新材料、电子信息等产业，高质量推进商贸流通载体和现代物流枢纽通道建设，构建“空铁公水”多式联运服务系统，强化资源要素集聚能力，高标准建设在全国具有影响力竞争力的高新技术产业开发区，推动现代服务业和先进制造业、文化旅游业等融合发展，不断增强豫东南高新技术产业开发区辐射能级，打造为大别山革命老区振兴发展的增长极、全省对接融入长三角地区的“桥头堡”、中部地区创新驱动和绿色集约发展示范区、全国开发区体制机制改革试验区。</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黑体" w:cs="Times New Roman"/>
          <w:color w:val="auto"/>
          <w:sz w:val="32"/>
          <w:szCs w:val="32"/>
        </w:rPr>
      </w:pPr>
      <w:r>
        <w:rPr>
          <w:rFonts w:hint="default" w:ascii="Times New Roman" w:hAnsi="Times New Roman" w:eastAsia="楷体" w:cs="Times New Roman"/>
          <w:bCs/>
          <w:color w:val="auto"/>
          <w:kern w:val="2"/>
          <w:sz w:val="32"/>
          <w:szCs w:val="32"/>
        </w:rPr>
        <w:t>构建淮滨枢纽经济协同发展区。</w:t>
      </w:r>
      <w:r>
        <w:rPr>
          <w:rFonts w:hint="default" w:ascii="Times New Roman" w:hAnsi="Times New Roman" w:eastAsia="仿宋" w:cs="Times New Roman"/>
          <w:color w:val="auto"/>
          <w:sz w:val="32"/>
          <w:szCs w:val="32"/>
        </w:rPr>
        <w:t>充分发挥淮滨内河水运优势，依托淮滨港中心港区，布局“两高一支撑”主导产业体系，以淮滨县造船产业集聚区为载体，打造沿淮最大的船舶制造基地，以建设信阳淮滨保税物流中心为突破口，提升对外开放水平，打造河南省融入“一带一路”的新窗口，持续深化与下游港口战略协作和非洲等国的合作交流，全力推进“淮滨港—非洲路易港”豫非贸易直通港建设，推动淮滨交通区位优势向枢纽经济优势转变，做大做强流通贸易，开创“滨淮福地、临港强县”建设新局面。</w:t>
      </w:r>
      <w:r>
        <w:rPr>
          <w:rFonts w:hint="default" w:ascii="Times New Roman" w:hAnsi="Times New Roman" w:eastAsia="黑体" w:cs="Times New Roman"/>
          <w:color w:val="auto"/>
          <w:sz w:val="32"/>
          <w:szCs w:val="32"/>
        </w:rPr>
        <w:br w:type="page"/>
      </w:r>
    </w:p>
    <w:bookmarkEnd w:id="37"/>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bookmarkStart w:id="39" w:name="_Toc98767266"/>
      <w:r>
        <w:rPr>
          <w:rFonts w:hint="default" w:ascii="Times New Roman" w:hAnsi="Times New Roman" w:eastAsia="黑体" w:cs="Times New Roman"/>
          <w:color w:val="auto"/>
          <w:sz w:val="32"/>
          <w:szCs w:val="32"/>
        </w:rPr>
        <w:t>第四章  重点任务</w:t>
      </w:r>
      <w:bookmarkEnd w:id="39"/>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40" w:name="_Toc98767267"/>
      <w:r>
        <w:rPr>
          <w:rFonts w:hint="default" w:ascii="Times New Roman" w:hAnsi="Times New Roman" w:eastAsia="楷体" w:cs="Times New Roman"/>
          <w:b/>
          <w:color w:val="auto"/>
          <w:kern w:val="2"/>
          <w:sz w:val="32"/>
          <w:szCs w:val="32"/>
        </w:rPr>
        <w:t>第一节  加快区域综合交通枢纽建设</w:t>
      </w:r>
      <w:bookmarkEnd w:id="40"/>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bookmarkStart w:id="41" w:name="_Hlk62486830"/>
      <w:r>
        <w:rPr>
          <w:rFonts w:hint="default" w:ascii="Times New Roman" w:hAnsi="Times New Roman" w:cs="Times New Roman"/>
          <w:color w:val="auto"/>
        </w:rPr>
        <w:t>加快重要区域性综合交通枢纽建设，推动综合交通枢纽布局由核心引领向多层协作转变，构建“1+2+7”多层级枢纽城市格局，打造信阳1个重要区域性综合交通枢纽，建设潢川和淮滨2个区域物流枢纽，构建罗山、光山、息县、新县、商城、固始、明港7个区域枢纽节点，形成多点联动、区域带动、互联互通的综合交通枢纽空间格局，畅通资源要素流动，增强产业链、供应链耦合组织能力。</w:t>
      </w:r>
    </w:p>
    <w:bookmarkEnd w:id="41"/>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eastAsia" w:ascii="黑体" w:hAnsi="黑体" w:eastAsia="黑体" w:cs="黑体"/>
          <w:b w:val="0"/>
          <w:bCs/>
          <w:color w:val="auto"/>
        </w:rPr>
      </w:pPr>
      <w:r>
        <w:rPr>
          <w:rFonts w:hint="eastAsia" w:ascii="黑体" w:hAnsi="黑体" w:eastAsia="黑体" w:cs="黑体"/>
          <w:b w:val="0"/>
          <w:bCs/>
          <w:color w:val="auto"/>
        </w:rPr>
        <w:t>一、打造信阳综合交通枢纽</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spacing w:val="-6"/>
        </w:rPr>
      </w:pPr>
      <w:r>
        <w:rPr>
          <w:rFonts w:hint="default" w:ascii="Times New Roman" w:hAnsi="Times New Roman" w:cs="Times New Roman"/>
          <w:color w:val="auto"/>
          <w:spacing w:val="-6"/>
        </w:rPr>
        <w:t>对标全国性综合交通枢纽，打造重要区域性综合交通枢纽，强化信阳在大别山革命老区的交通枢纽地位。实施明港机场（二期）改扩建工程，提升明港机场服务能力，利用信阳明港机场及周边明港东站、高速公路等交通优势，建设区域性空港物流基地，重点发展航空快递集散分拨服务，建成区域性规模最大、功能最全、效率最高的空港快递联运中转分拨中心。围绕信阳东站、明港东站等，强化铁路与城市公交、出租汽车、班线客运等运输方式衔接，打造设施完善、衔接一体的综合客运枢纽，推进客运零距离换乘。完善货运枢纽布局，加快信阳市大别山综合物流港、信阳高新技术产业开发区物流中心、新时代物流园建设，持续推进内河码头及铁水联运设施建设。</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二、拓展区域物流枢纽功能</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cs="Times New Roman"/>
          <w:color w:val="auto"/>
        </w:rPr>
        <w:t>根据省发改委、省交通厅要求，按照“政府引导、企业主体、统筹推动、重点突破”的原则，加快潢川和淮滨形成干支衔接紧、覆盖范围广、运作效率高的区域物流基础设施网络和集疏运体系。</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spacing w:val="-6"/>
        </w:rPr>
      </w:pPr>
      <w:r>
        <w:rPr>
          <w:rFonts w:hint="default" w:ascii="Times New Roman" w:hAnsi="Times New Roman" w:eastAsia="楷体" w:cs="Times New Roman"/>
          <w:bCs/>
          <w:color w:val="auto"/>
          <w:spacing w:val="-6"/>
          <w:kern w:val="0"/>
        </w:rPr>
        <w:t>提升潢川交通枢纽辐射能级。</w:t>
      </w:r>
      <w:r>
        <w:rPr>
          <w:rFonts w:hint="default" w:ascii="Times New Roman" w:hAnsi="Times New Roman" w:cs="Times New Roman"/>
          <w:color w:val="auto"/>
          <w:spacing w:val="-6"/>
        </w:rPr>
        <w:t>按照“错位协同、功能齐全”的原则，全面推进潢川机场建设，积极融入郑州国际化交通枢纽建设。围绕潢川站加快布局综合交通枢纽，有序推进城市客运站建设，实现各种运输方式高效换乘。根据区域产业发展要求，完善货运枢纽布局，持续推进潢川经济开发区大别山铁路货运综合物流园、潢川县现代综合物流园建设，加快园区铁路专用线建设，积极探索多式联运发展新举措、新经验，确保大别山（潢川）联通长江经济带多式联运省级示范工程建设取得成效。</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rPr>
      </w:pPr>
      <w:r>
        <w:rPr>
          <w:rFonts w:hint="default" w:ascii="Times New Roman" w:hAnsi="Times New Roman" w:eastAsia="楷体" w:cs="Times New Roman"/>
          <w:bCs/>
          <w:color w:val="auto"/>
          <w:kern w:val="0"/>
        </w:rPr>
        <w:t>加快淮滨区域物流枢纽建设。</w:t>
      </w:r>
      <w:r>
        <w:rPr>
          <w:rFonts w:hint="default" w:ascii="Times New Roman" w:hAnsi="Times New Roman" w:cs="Times New Roman"/>
          <w:color w:val="auto"/>
        </w:rPr>
        <w:t>持续推进内河码头及铁水联运设施建设，实施淮滨县公铁水一体化淮滨港二期工程、淮滨县矿建材料码头工程，加快建成淮滨港物流园区，布局淮滨县淮上交通有限公司铁路专用线，促进大宗货物及中长距离公路货运向铁路、水路有序转移。提升淮滨站、淮滨汽车北站、淮滨长途客运站能级，高标准建设现代综合交通枢纽场站。</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三、建设区域枢纽节点城市</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结合城镇体系布局，打造罗山、光山、息县、新县、商城、固始、明港7个区域性枢纽节点城市，强化对信阳综合交通枢纽支撑。开工建设商城、新县通用机场，开展淮滨、固始通用机场前期工作，对干、支线航空运输形成有效补充。加快推进以火车站为主的综合客运枢纽建设，重点建设新县城南客运站、新县田铺客运站、商城县枢纽汽车站、息县交通枢纽站等，强化以铁路货运场站、内河港口、快递物流园区等为主的货运枢纽规划建设，重点建设新县产业物流园、息县海铁联运淮河新区港，强化枢纽一体衔接，加强货运枢纽与干线公路、铁路、水运等衔接，完善枢纽集疏运系统。</w:t>
      </w:r>
    </w:p>
    <w:tbl>
      <w:tblPr>
        <w:tblStyle w:val="3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8522" w:type="dxa"/>
            <w:noWrap w:val="0"/>
            <w:vAlign w:val="top"/>
          </w:tcPr>
          <w:p>
            <w:pPr>
              <w:widowControl/>
              <w:pBdr>
                <w:top w:val="none" w:color="auto" w:sz="0" w:space="0"/>
                <w:left w:val="none" w:color="auto" w:sz="0" w:space="0"/>
                <w:bottom w:val="none" w:color="auto" w:sz="0" w:space="0"/>
                <w:right w:val="none" w:color="auto" w:sz="0" w:space="0"/>
                <w:between w:val="none" w:color="auto" w:sz="0" w:space="0"/>
              </w:pBdr>
              <w:overflowPunct w:val="0"/>
              <w:spacing w:before="120" w:after="120"/>
              <w:jc w:val="center"/>
              <w:rPr>
                <w:rFonts w:hint="default" w:ascii="Times New Roman" w:hAnsi="Times New Roman" w:eastAsia="仿宋" w:cs="Times New Roman"/>
                <w:color w:val="auto"/>
                <w:sz w:val="32"/>
                <w:szCs w:val="32"/>
              </w:rPr>
            </w:pPr>
            <w:r>
              <w:rPr>
                <w:rFonts w:hint="default" w:ascii="Times New Roman" w:hAnsi="Times New Roman" w:eastAsia="黑体" w:cs="Times New Roman"/>
                <w:color w:val="auto"/>
                <w:szCs w:val="24"/>
              </w:rPr>
              <w:t>专栏2  综合交通枢纽站场建设重点工程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522" w:type="dxa"/>
            <w:noWrap w:val="0"/>
            <w:vAlign w:val="top"/>
          </w:tcPr>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（一）航空主导型综合交通枢纽</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宋体" w:cs="Times New Roman"/>
                <w:bCs/>
                <w:color w:val="auto"/>
                <w:kern w:val="2"/>
                <w:szCs w:val="24"/>
              </w:rPr>
            </w:pPr>
            <w:r>
              <w:rPr>
                <w:rFonts w:hint="default" w:ascii="Times New Roman" w:hAnsi="Times New Roman" w:eastAsia="宋体" w:cs="Times New Roman"/>
                <w:bCs/>
                <w:color w:val="auto"/>
                <w:kern w:val="2"/>
                <w:szCs w:val="24"/>
              </w:rPr>
              <w:t>利用信阳明港机场及周边高速公路、高速铁路等交通优势，</w:t>
            </w:r>
            <w:bookmarkStart w:id="42" w:name="_Hlk88816612"/>
            <w:r>
              <w:rPr>
                <w:rFonts w:hint="default" w:ascii="Times New Roman" w:hAnsi="Times New Roman" w:eastAsia="宋体" w:cs="Times New Roman"/>
                <w:bCs/>
                <w:color w:val="auto"/>
                <w:kern w:val="2"/>
                <w:szCs w:val="24"/>
              </w:rPr>
              <w:t>建设区域性空港物流基地</w:t>
            </w:r>
            <w:bookmarkEnd w:id="42"/>
            <w:r>
              <w:rPr>
                <w:rFonts w:hint="default" w:ascii="Times New Roman" w:hAnsi="Times New Roman" w:eastAsia="宋体" w:cs="Times New Roman"/>
                <w:bCs/>
                <w:color w:val="auto"/>
                <w:kern w:val="2"/>
                <w:szCs w:val="24"/>
              </w:rPr>
              <w:t>；加快潢川机场建设，开工建设商城、新县通用机场，开展淮滨、固始通用机场前期工作。</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（二）铁路主导型综合交通枢纽</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宋体" w:cs="Times New Roman"/>
                <w:bCs/>
                <w:color w:val="auto"/>
                <w:kern w:val="2"/>
                <w:szCs w:val="24"/>
              </w:rPr>
            </w:pPr>
            <w:r>
              <w:rPr>
                <w:rFonts w:hint="default" w:ascii="Times New Roman" w:hAnsi="Times New Roman" w:eastAsia="宋体" w:cs="Times New Roman"/>
                <w:bCs/>
                <w:color w:val="auto"/>
                <w:kern w:val="2"/>
                <w:szCs w:val="24"/>
              </w:rPr>
              <w:t>结合综合交通衔接网络建设，按照一体衔接要求，推进信阳站、信阳东站、明港东站、罗山站、新县站、固始站等综合客运枢纽改扩建，建设潢川南站、罗山南站、新县东站、固始西站等综合客运枢纽。加快大别山（潢川）联通长江经济带多式联运示范工程（省级多式联运示范工程）建设，推进信阳北编组站扩容改造，</w:t>
            </w:r>
            <w:r>
              <w:rPr>
                <w:rFonts w:hint="default" w:ascii="Times New Roman" w:hAnsi="Times New Roman" w:eastAsia="宋体" w:cs="Times New Roman"/>
                <w:color w:val="auto"/>
                <w:kern w:val="2"/>
                <w:szCs w:val="24"/>
              </w:rPr>
              <w:t>提升</w:t>
            </w:r>
            <w:r>
              <w:rPr>
                <w:rFonts w:hint="default" w:ascii="Times New Roman" w:hAnsi="Times New Roman" w:eastAsia="宋体" w:cs="Times New Roman"/>
                <w:bCs/>
                <w:color w:val="auto"/>
                <w:kern w:val="2"/>
                <w:szCs w:val="24"/>
              </w:rPr>
              <w:t>信阳北站、明港站、淮滨站等</w:t>
            </w:r>
            <w:r>
              <w:rPr>
                <w:rFonts w:hint="default" w:ascii="Times New Roman" w:hAnsi="Times New Roman" w:eastAsia="宋体" w:cs="Times New Roman"/>
                <w:color w:val="auto"/>
                <w:kern w:val="2"/>
                <w:szCs w:val="24"/>
              </w:rPr>
              <w:t>既有铁路货运枢纽联运服务能力。</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（三）内河水运主导型综合交通枢纽</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宋体" w:cs="Times New Roman"/>
                <w:bCs/>
                <w:color w:val="auto"/>
                <w:kern w:val="2"/>
                <w:szCs w:val="24"/>
              </w:rPr>
            </w:pPr>
            <w:r>
              <w:rPr>
                <w:rFonts w:hint="default" w:ascii="Times New Roman" w:hAnsi="Times New Roman" w:eastAsia="宋体" w:cs="Times New Roman"/>
                <w:bCs/>
                <w:color w:val="auto"/>
                <w:kern w:val="2"/>
                <w:szCs w:val="24"/>
              </w:rPr>
              <w:t>实施淮滨公河海联运示范工程，规划建设港口作业区、入港入园铁路专用线等配套设施；望岗码头规划建设成为固始港中心港区，打造“区域性的物流枢纽”，“水运物资集散中心”；推进息县海铁联运淮河新区港项目，实现“公铁水”一体化发展。</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（四）重点物流园区</w:t>
            </w:r>
          </w:p>
          <w:p>
            <w:pPr>
              <w:pBdr>
                <w:top w:val="none" w:color="auto" w:sz="0" w:space="0"/>
                <w:left w:val="none" w:color="auto" w:sz="0" w:space="0"/>
                <w:bottom w:val="none" w:color="auto" w:sz="0" w:space="0"/>
                <w:right w:val="none" w:color="auto" w:sz="0" w:space="0"/>
                <w:between w:val="none" w:color="auto" w:sz="0" w:space="0"/>
              </w:pBdr>
              <w:tabs>
                <w:tab w:val="left" w:pos="2828"/>
              </w:tabs>
              <w:overflowPunct w:val="0"/>
              <w:adjustRightInd w:val="0"/>
              <w:snapToGrid w:val="0"/>
              <w:spacing w:line="520" w:lineRule="exact"/>
              <w:ind w:firstLine="480" w:firstLineChars="200"/>
              <w:rPr>
                <w:rFonts w:hint="default" w:ascii="Times New Roman" w:hAnsi="Times New Roman" w:eastAsia="宋体" w:cs="Times New Roman"/>
                <w:bCs/>
                <w:color w:val="auto"/>
                <w:kern w:val="2"/>
                <w:szCs w:val="24"/>
              </w:rPr>
            </w:pPr>
            <w:r>
              <w:rPr>
                <w:rFonts w:hint="default" w:ascii="Times New Roman" w:hAnsi="Times New Roman" w:eastAsia="宋体" w:cs="Times New Roman"/>
                <w:bCs/>
                <w:color w:val="auto"/>
                <w:kern w:val="2"/>
                <w:szCs w:val="24"/>
              </w:rPr>
              <w:t>加快推进信阳高新技术产业开发区物流中心、潢川经济开发区大别山铁路货运综合物流园、淮滨港物流园、信阳市大别山综合物流港、潢川县现代综合物流园区、新时代物流园等物流园区建设；谋划新县产业物流园、大别山（潢川）铁路综合物流园分拨中心、罗山县永康农村物流产业园等项目。</w:t>
            </w:r>
          </w:p>
        </w:tc>
      </w:tr>
    </w:tbl>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43" w:name="_Toc98767268"/>
      <w:r>
        <w:rPr>
          <w:rFonts w:hint="default" w:ascii="Times New Roman" w:hAnsi="Times New Roman" w:eastAsia="楷体" w:cs="Times New Roman"/>
          <w:b/>
          <w:color w:val="auto"/>
          <w:kern w:val="2"/>
          <w:sz w:val="32"/>
          <w:szCs w:val="32"/>
        </w:rPr>
        <w:t>第二节  完善现代综合交通运输网络</w:t>
      </w:r>
      <w:bookmarkEnd w:id="43"/>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仿宋" w:cs="Times New Roman"/>
          <w:bCs/>
          <w:color w:val="auto"/>
          <w:sz w:val="32"/>
          <w:szCs w:val="32"/>
        </w:rPr>
        <w:t>依托我省“米+井+人”字形综合运输通道架构，构建我市“两纵三横”综合运输通道布局，实施快速网、干线网和基础网“三网”融合工程，推动运输方式由竞合发展向立体融合转变，强化支撑保障能力。</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一、构建对外综合运输通道</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积极参与我省“米+井+人”字形综合运输通道建设。</w:t>
      </w:r>
      <w:r>
        <w:rPr>
          <w:rFonts w:hint="default" w:ascii="Times New Roman" w:hAnsi="Times New Roman" w:eastAsia="仿宋" w:cs="Times New Roman"/>
          <w:bCs/>
          <w:color w:val="auto"/>
          <w:sz w:val="32"/>
          <w:szCs w:val="32"/>
        </w:rPr>
        <w:t>加快沪陕高速通道信阳段建设，提升我市与关中城市群、长三角城市群互联互通水平，畅通资源要素循环通道，助力构建多方式、多通道、便捷化的大陆桥走廊。优化京港澳通道、大广通道交通资源配置，支撑建设综合性、多通道、立体化、大容量、快速化的京津冀—粤港澳主轴。</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强化“两纵三横”运输通道功能。</w:t>
      </w:r>
      <w:r>
        <w:rPr>
          <w:rFonts w:hint="default" w:ascii="Times New Roman" w:hAnsi="Times New Roman" w:eastAsia="仿宋" w:cs="Times New Roman"/>
          <w:bCs/>
          <w:color w:val="auto"/>
          <w:sz w:val="32"/>
          <w:szCs w:val="32"/>
        </w:rPr>
        <w:t>加强京港澳、大广、沿淮、沪陕、沿大别山通道运输服务组织能力，加快补齐通道内高速铁路、高速公路等快速化运输服务短板，强化不同交通方式衔接融合、联动发展，优化完善通道整体功能，增强与郑州都市圈、武汉都市圈、皖江城市带等重点节点的高效联通，提升对外开放程度。</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二、完善现代综合交通网络</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构建发达高效的快速网。</w:t>
      </w:r>
      <w:r>
        <w:rPr>
          <w:rFonts w:hint="default" w:ascii="Times New Roman" w:hAnsi="Times New Roman" w:eastAsia="仿宋" w:cs="Times New Roman"/>
          <w:bCs/>
          <w:color w:val="auto"/>
          <w:sz w:val="32"/>
          <w:szCs w:val="32"/>
        </w:rPr>
        <w:t>加快布局“两纵一横”快速铁路网，重点实施京九高铁、开工建设南阳经信阳至合肥高铁、</w:t>
      </w:r>
      <w:r>
        <w:rPr>
          <w:rFonts w:hint="default" w:ascii="Times New Roman" w:hAnsi="Times New Roman" w:eastAsia="仿宋" w:cs="Times New Roman"/>
          <w:color w:val="auto"/>
          <w:sz w:val="32"/>
          <w:szCs w:val="32"/>
        </w:rPr>
        <w:t>规划研究濮潢高铁</w:t>
      </w:r>
      <w:r>
        <w:rPr>
          <w:rFonts w:hint="default" w:ascii="Times New Roman" w:hAnsi="Times New Roman" w:eastAsia="仿宋" w:cs="Times New Roman"/>
          <w:bCs/>
          <w:color w:val="auto"/>
          <w:sz w:val="32"/>
          <w:szCs w:val="32"/>
        </w:rPr>
        <w:t>。实施信阳高速公路“145工程”（即高速公路通车总里程达到1000公里以上，新增通车里程400公里以上，计划完成投资500亿元以上），重点建设许信、安罗、沿大别山等高速公路项目，着力提升高速公路主通道能力、打通省际出口通道、完善中心城市辐射网络，谋划建设信阳市西南高速环线，与京港澳、沪陕高速串联成环，形成我市完善的绕城高速环线。拓展航空服务范围，加快实施明港机场（二期）改扩建工程，开工建设潢川机场，形成“一市两场”航空布局，超前谋划布局信阳临空经济区和大别山通用航空产业园，助力河南民航机场“强枢增支”工程建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优化便捷顺畅的干线网。</w:t>
      </w:r>
      <w:r>
        <w:rPr>
          <w:rFonts w:hint="default" w:ascii="Times New Roman" w:hAnsi="Times New Roman" w:eastAsia="仿宋" w:cs="Times New Roman"/>
          <w:bCs/>
          <w:color w:val="auto"/>
          <w:sz w:val="32"/>
          <w:szCs w:val="32"/>
        </w:rPr>
        <w:t>实施普通干线公路</w:t>
      </w:r>
      <w:bookmarkStart w:id="44" w:name="_Hlk100151271"/>
      <w:r>
        <w:rPr>
          <w:rFonts w:hint="default" w:ascii="Times New Roman" w:hAnsi="Times New Roman" w:eastAsia="仿宋" w:cs="Times New Roman"/>
          <w:bCs/>
          <w:color w:val="auto"/>
          <w:sz w:val="32"/>
          <w:szCs w:val="32"/>
        </w:rPr>
        <w:t>“畅联提效”工程</w:t>
      </w:r>
      <w:bookmarkEnd w:id="44"/>
      <w:r>
        <w:rPr>
          <w:rFonts w:hint="default" w:ascii="Times New Roman" w:hAnsi="Times New Roman" w:eastAsia="仿宋" w:cs="Times New Roman"/>
          <w:bCs/>
          <w:color w:val="auto"/>
          <w:sz w:val="32"/>
          <w:szCs w:val="32"/>
        </w:rPr>
        <w:t>，以畅通环城路、贯通主干路、顺通出口路、疏通瓶颈路、联通城市路为重点，建设普通干线公路323公里；实施内河水运“通江达海”工程，围绕“一干四支”航道布局，重点建设淮河固始至省界航道升级改造工程、淮河淮滨至息县航运工程息县段，构建通江达海的黄金通道，完善港口布局及集疏运体系，建设内河航道97公里。</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打造广泛覆盖的基础网。</w:t>
      </w:r>
      <w:r>
        <w:rPr>
          <w:rFonts w:hint="default" w:ascii="Times New Roman" w:hAnsi="Times New Roman" w:eastAsia="仿宋" w:cs="Times New Roman"/>
          <w:bCs/>
          <w:color w:val="auto"/>
          <w:sz w:val="32"/>
          <w:szCs w:val="32"/>
        </w:rPr>
        <w:t>以大型工矿企业、物流园区、港口为重点，实施铁路专用线“进企入园”工程，逐步推进淮滨县淮上交通有限公司铁路专用线、潢川开发区大别山多式联运物流园铁路专用线建设，谋划淮河新区多式联运港铁路专用线，探索建设旅游观光铁路。支持乡村振兴战略，实施农村公路“提档提质”工程，完成“百县通村入组工程”剩余建设任务，推动“农村公路+旅游”“农村公路+产业”融合发展，建设农村公路5000公里，争创“四好农村路”示范市，支持有条件的县（区）创建省级“四好农村路”示范县（区），推动“四好农村路”示范创建提质扩面，结合美丽乡村、特色小镇建设，打造建设“美丽农村路”，切实助力美丽乡村建设。为服务区域农林作业、应急救援、低空旅游等，加快布局“四点”通用机场网络，开工建设商城、新县通用机场，开展固始、淮滨通用机场前期工作。</w:t>
      </w:r>
    </w:p>
    <w:tbl>
      <w:tblPr>
        <w:tblStyle w:val="31"/>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9060"/>
      </w:tblGrid>
      <w:tr>
        <w:trPr>
          <w:trHeight w:val="596" w:hRule="atLeast"/>
          <w:tblHeader/>
          <w:jc w:val="center"/>
        </w:trPr>
        <w:tc>
          <w:tcPr>
            <w:tcW w:w="5000" w:type="pct"/>
            <w:tcBorders>
              <w:top w:val="single" w:color="auto" w:sz="4" w:space="0"/>
              <w:left w:val="single" w:color="auto" w:sz="8" w:space="0"/>
              <w:bottom w:val="single" w:color="auto" w:sz="4" w:space="0"/>
              <w:right w:val="single" w:color="auto" w:sz="8" w:space="0"/>
            </w:tcBorders>
            <w:noWrap w:val="0"/>
            <w:tcMar>
              <w:top w:w="0" w:type="dxa"/>
              <w:left w:w="108" w:type="dxa"/>
              <w:bottom w:w="0" w:type="dxa"/>
              <w:right w:w="108" w:type="dxa"/>
            </w:tcMar>
            <w:vAlign w:val="top"/>
          </w:tcPr>
          <w:p>
            <w:pPr>
              <w:widowControl/>
              <w:overflowPunct w:val="0"/>
              <w:spacing w:before="120" w:after="120"/>
              <w:jc w:val="center"/>
              <w:rPr>
                <w:rFonts w:hint="default" w:ascii="Times New Roman" w:hAnsi="Times New Roman" w:eastAsia="黑体" w:cs="Times New Roman"/>
                <w:b/>
                <w:color w:val="auto"/>
                <w:szCs w:val="24"/>
              </w:rPr>
            </w:pPr>
            <w:r>
              <w:rPr>
                <w:rFonts w:hint="default" w:ascii="Times New Roman" w:hAnsi="Times New Roman" w:eastAsia="黑体" w:cs="Times New Roman"/>
                <w:color w:val="auto"/>
                <w:szCs w:val="24"/>
              </w:rPr>
              <w:t>专栏3  综合交通网重点建设项目</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5000" w:type="pct"/>
            <w:tcBorders>
              <w:top w:val="single" w:color="auto" w:sz="4" w:space="0"/>
              <w:left w:val="single" w:color="auto" w:sz="8" w:space="0"/>
              <w:bottom w:val="single" w:color="auto" w:sz="8" w:space="0"/>
              <w:right w:val="single" w:color="auto" w:sz="8" w:space="0"/>
            </w:tcBorders>
            <w:noWrap w:val="0"/>
            <w:tcMar>
              <w:top w:w="0" w:type="dxa"/>
              <w:left w:w="108" w:type="dxa"/>
              <w:bottom w:w="0" w:type="dxa"/>
              <w:right w:w="108" w:type="dxa"/>
            </w:tcMar>
            <w:vAlign w:val="top"/>
          </w:tcPr>
          <w:p>
            <w:pP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（一）快速交通网</w:t>
            </w:r>
          </w:p>
          <w:p>
            <w:pPr>
              <w:tabs>
                <w:tab w:val="left" w:pos="2828"/>
              </w:tabs>
              <w:overflowPunct w:val="0"/>
              <w:adjustRightInd w:val="0"/>
              <w:snapToGrid w:val="0"/>
              <w:spacing w:line="520" w:lineRule="exact"/>
              <w:ind w:firstLine="480" w:firstLineChars="200"/>
              <w:rPr>
                <w:rFonts w:hint="default" w:ascii="Times New Roman" w:hAnsi="Times New Roman" w:eastAsia="宋体" w:cs="Times New Roman"/>
                <w:bCs/>
                <w:color w:val="auto"/>
                <w:kern w:val="2"/>
                <w:szCs w:val="24"/>
              </w:rPr>
            </w:pPr>
            <w:r>
              <w:rPr>
                <w:rFonts w:hint="default" w:ascii="Times New Roman" w:hAnsi="Times New Roman" w:eastAsia="宋体" w:cs="Times New Roman"/>
                <w:b/>
                <w:color w:val="auto"/>
                <w:kern w:val="2"/>
                <w:szCs w:val="24"/>
              </w:rPr>
              <w:t>高速铁路。</w:t>
            </w:r>
            <w:r>
              <w:rPr>
                <w:rFonts w:hint="default" w:ascii="Times New Roman" w:hAnsi="Times New Roman" w:eastAsia="宋体" w:cs="Times New Roman"/>
                <w:bCs/>
                <w:color w:val="auto"/>
                <w:kern w:val="2"/>
                <w:szCs w:val="24"/>
              </w:rPr>
              <w:t>建成京港台高铁阜阳至黄冈段，开工建设南阳经信阳至合肥高铁，规划研究濮潢高铁。</w:t>
            </w:r>
          </w:p>
          <w:p>
            <w:pPr>
              <w:tabs>
                <w:tab w:val="left" w:pos="2828"/>
              </w:tabs>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b/>
                <w:color w:val="auto"/>
                <w:kern w:val="2"/>
                <w:szCs w:val="24"/>
              </w:rPr>
              <w:t>高速公路。</w:t>
            </w:r>
            <w:r>
              <w:rPr>
                <w:rFonts w:hint="default" w:ascii="Times New Roman" w:hAnsi="Times New Roman" w:eastAsia="宋体" w:cs="Times New Roman"/>
                <w:color w:val="auto"/>
                <w:kern w:val="2"/>
                <w:szCs w:val="24"/>
              </w:rPr>
              <w:t>续建许信高速信阳段、安罗高速上蔡至罗山段，新建沿大别山高速明港至鸡公山段、沿大别山高速鸡公山至商城段、信阳至随州高速、安罗高速罗山至豫皖省界段、阳新高速商城至豫鄂省界段、淮内高速豫皖省界至淮滨段、固始至豫皖省界高速。</w:t>
            </w:r>
          </w:p>
          <w:p>
            <w:pPr>
              <w:tabs>
                <w:tab w:val="left" w:pos="2828"/>
              </w:tabs>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b/>
                <w:color w:val="auto"/>
                <w:kern w:val="2"/>
                <w:szCs w:val="24"/>
              </w:rPr>
              <w:t>民航机场。</w:t>
            </w:r>
            <w:r>
              <w:rPr>
                <w:rFonts w:hint="default" w:ascii="Times New Roman" w:hAnsi="Times New Roman" w:eastAsia="宋体" w:cs="Times New Roman"/>
                <w:color w:val="auto"/>
                <w:kern w:val="2"/>
                <w:szCs w:val="24"/>
              </w:rPr>
              <w:t>加快实施明港机场（二期）改扩建工程，开工建设潢川机场项目。</w:t>
            </w:r>
          </w:p>
          <w:p>
            <w:pPr>
              <w:tabs>
                <w:tab w:val="left" w:pos="2828"/>
              </w:tabs>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（二）干线交通网</w:t>
            </w:r>
          </w:p>
          <w:p>
            <w:pPr>
              <w:tabs>
                <w:tab w:val="left" w:pos="2828"/>
              </w:tabs>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b/>
                <w:color w:val="auto"/>
                <w:kern w:val="2"/>
                <w:szCs w:val="24"/>
              </w:rPr>
              <w:t>普通干线公路。</w:t>
            </w:r>
            <w:r>
              <w:rPr>
                <w:rFonts w:hint="default" w:ascii="Times New Roman" w:hAnsi="Times New Roman" w:eastAsia="宋体" w:cs="Times New Roman"/>
                <w:color w:val="auto"/>
                <w:kern w:val="2"/>
                <w:szCs w:val="24"/>
              </w:rPr>
              <w:t>畅通环城路，实施G107、G312绕信阳市区段一级公路新建工程等；贯通主干道，推进G230息县境、G220淮滨栏杆至王店乡白露河桥段改建工程；顺通出口路，实施G107柳林至豫鄂省界段、G220长竹园至豫鄂界段、G230新县县城至豫鄂省界段改建工程；疏通瓶颈路，完成S333线国道107路口至王岗段、S218周党镇至易店段、S335淮滨县城至淮息交界段低等级改造项目；联通城市路，做好G107、G312、S224等与规划城市路网的对接；提升整体路网通行能力，谋划G107驻信交界至龙井段一级公路、G312潢川县城区至大广高速连接线、G230光山县绕城段改建工程等17个项目。</w:t>
            </w:r>
          </w:p>
          <w:p>
            <w:pPr>
              <w:tabs>
                <w:tab w:val="left" w:pos="2828"/>
              </w:tabs>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b/>
                <w:color w:val="auto"/>
                <w:kern w:val="2"/>
                <w:szCs w:val="24"/>
              </w:rPr>
              <w:t>内河水运。</w:t>
            </w:r>
            <w:r>
              <w:rPr>
                <w:rFonts w:hint="default" w:ascii="Times New Roman" w:hAnsi="Times New Roman" w:eastAsia="宋体" w:cs="Times New Roman"/>
                <w:color w:val="auto"/>
                <w:kern w:val="2"/>
                <w:szCs w:val="24"/>
              </w:rPr>
              <w:t>重点实施淮河固始至省界航道升级改造工程、淮河淮滨至息县航运工程息县段，开展淮河息县至长台关航运工程、淮河淮滨段航道升级改造工程、史灌河三河尖至固始城关航运工程、灌河固始蒋集至商城上石桥通航工程前期工作。</w:t>
            </w:r>
          </w:p>
        </w:tc>
      </w:tr>
    </w:tbl>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三、强化重大战略服务支撑</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以多元化网络支撑大别山红色旅游跨越发展。</w:t>
      </w:r>
      <w:r>
        <w:rPr>
          <w:rFonts w:hint="default" w:ascii="Times New Roman" w:hAnsi="Times New Roman" w:eastAsia="仿宋" w:cs="Times New Roman"/>
          <w:color w:val="auto"/>
          <w:sz w:val="32"/>
          <w:szCs w:val="32"/>
        </w:rPr>
        <w:t>实施沿大别山高速、G107鸡公山通景公路、S337南湾-睡仙桥-谭家河、罗山县1号旅游公路（X032）等项目，支撑南部“红色大别1号旅游公路”建设，弘扬与传承“坚守信念、胸怀全局、团结奋进、勇当前锋”的大别山精神</w:t>
      </w:r>
      <w:r>
        <w:rPr>
          <w:rFonts w:hint="default" w:ascii="Times New Roman" w:hAnsi="Times New Roman" w:eastAsia="仿宋" w:cs="Times New Roman"/>
          <w:bCs/>
          <w:color w:val="auto"/>
          <w:sz w:val="32"/>
          <w:szCs w:val="32"/>
        </w:rPr>
        <w:t>。依托大别山红色文化和绿色生态资源，建设大别山革命文物片区和红二十五军长征线路遗迹保护展示带，重点打造重走红二十五军长征路、茶旅融合等主题线路，建设一批红色服务区、驿站、营地，因地制宜在服务区增设休憩娱乐、物流、票务、旅游信息和特色产品售卖等服务功能，建成全国知名的红色生态旅游目的地和红色文化传承区。围绕绿色生态资源和集中连片的传统村落资源，积极推动12条示范路段建设，并根据需求增设自行车道、步道等慢行设施，打造一批体验式“慢生活”主题线路。</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以生态化通道支撑淮河生态廊道高质量发展。</w:t>
      </w:r>
      <w:r>
        <w:rPr>
          <w:rFonts w:hint="default" w:ascii="Times New Roman" w:hAnsi="Times New Roman" w:eastAsia="仿宋" w:cs="Times New Roman"/>
          <w:bCs/>
          <w:color w:val="auto"/>
          <w:sz w:val="32"/>
          <w:szCs w:val="32"/>
        </w:rPr>
        <w:t>充分考虑淮河流域资源禀赋条件及环境承载能力，推动交通基础设施建设与生态保护协调发展。积极推进沿淮河干流、重要支流两大绿色生态走廊，实施沿淮保育带。开展淮河上游主要支流浉河、白露河、潢河、史灌河以岸线治理、生态修复为重点的综合治理，打造潢川沿河旅游公路（沿小潢河两岸）。规划沿淮高速公路，以升级改造低等级公路为重点谋划建设南北岸沿淮快速通道。积极推进淮河水系航道发展，建设淮滨县淮河水环境综合治理（生态廊道）工程，对淮河1桥至淮河2桥10公里淮河沿岸进行高标准绿化、硬化、亮化，修建沿河生态休闲运动平台、亲水平台。科学规划建设跨淮河大桥，推进铁路、公路、城市道路共建共用。</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以均等化服务助力乡村振兴战略实施。</w:t>
      </w:r>
      <w:r>
        <w:rPr>
          <w:rFonts w:hint="default" w:ascii="Times New Roman" w:hAnsi="Times New Roman" w:eastAsia="仿宋" w:cs="Times New Roman"/>
          <w:bCs/>
          <w:color w:val="auto"/>
          <w:sz w:val="32"/>
          <w:szCs w:val="32"/>
        </w:rPr>
        <w:t>加快“四好农村路”全域创建提质增效，构建覆盖城乡、串联村镇的农村交通经济环线，实现“农村公路由村与镇的线性连通向村与村的网状连通拓展、由满足群众基本出行需求向引领产业发展拓展”。结合自然风光、文化遗存、田园风情等元素，推进“农村公路+旅游”“农村公路+产业”融合发展，提升交通驿站等公路附属设施，打造一批靓丽的乡村风景线，实现“一路一风景、一村一幅画、一县一特色”，有力推进“百千万工程”实施，有效推动乡村产业兴旺，建设美丽乡村，带动全域旅游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kern w:val="2"/>
          <w:sz w:val="32"/>
          <w:szCs w:val="32"/>
        </w:rPr>
        <w:t>以一体化交通支撑信罗同城、豫东南高新技术产业开发区发展。</w:t>
      </w:r>
      <w:r>
        <w:rPr>
          <w:rFonts w:hint="default" w:ascii="Times New Roman" w:hAnsi="Times New Roman" w:eastAsia="仿宋" w:cs="Times New Roman"/>
          <w:bCs/>
          <w:color w:val="auto"/>
          <w:sz w:val="32"/>
          <w:szCs w:val="32"/>
        </w:rPr>
        <w:t>以信阳中心城区为主中心，带动罗山组团、明港组团和鸡公山组团构建中心城市组团城市群，推动沿大别山高速、安罗高速上蔡至罗山段、信罗快速通道、G312、G107、S218、S224、S338等道路建设，构建东西畅通、南北贯达的区域一体互联交通网络。高标准高水平谋划建设豫东南高新技术产业开发区，打造引领信阳高质量发展的增长极、对接长三角和大湾区的“桥头堡”，着眼交通一体、产业同构、资源共享、功能集合，优化空间功能布局，实施G106、G230、S210改建工程，推进S536、S337、S226升级改造，沿潢河两岸打造沿潢快速通道，规划在豫东南高新技术产业开发区建设低运量轨道线，预留接入潢川、光山的通道，开通区域城际公交线路，促进豫东南高新技术产业开发区的快速发展。</w:t>
      </w:r>
    </w:p>
    <w:p>
      <w:pPr>
        <w:keepNext w:val="0"/>
        <w:keepLines w:val="0"/>
        <w:pageBreakBefore w:val="0"/>
        <w:widowControl w:val="0"/>
        <w:pBdr>
          <w:right w:val="none" w:color="000000" w:sz="0" w:space="28"/>
        </w:pBdr>
        <w:kinsoku/>
        <w:wordWrap/>
        <w:overflowPunct w:val="0"/>
        <w:topLinePunct w:val="0"/>
        <w:autoSpaceDE/>
        <w:autoSpaceDN/>
        <w:bidi w:val="0"/>
        <w:adjustRightInd/>
        <w:snapToGrid/>
        <w:spacing w:line="580" w:lineRule="exact"/>
        <w:ind w:firstLine="629"/>
        <w:textAlignment w:val="auto"/>
        <w:rPr>
          <w:rFonts w:hint="default" w:ascii="Times New Roman" w:hAnsi="Times New Roman" w:eastAsia="仿宋" w:cs="Times New Roman"/>
          <w:bCs/>
          <w:color w:val="auto"/>
          <w:spacing w:val="-6"/>
          <w:sz w:val="32"/>
          <w:szCs w:val="32"/>
        </w:rPr>
      </w:pPr>
      <w:r>
        <w:rPr>
          <w:rFonts w:hint="default" w:ascii="Times New Roman" w:hAnsi="Times New Roman" w:eastAsia="仿宋" w:cs="Times New Roman"/>
          <w:bCs/>
          <w:color w:val="auto"/>
          <w:spacing w:val="-6"/>
          <w:sz w:val="32"/>
          <w:szCs w:val="32"/>
        </w:rPr>
        <w:t>经测算，“十四五”时期重点交通基础设施建设共需资金约1019亿元。其中：铁路214.6亿元，公路721.5亿元（高速公路529.8亿元、普通干线公路108.6亿元、农村公路50.1亿元、公路场站31.1亿元、支持系统1.9亿元），航空20.0亿元，水运62.8亿元。</w:t>
      </w:r>
      <w:r>
        <w:rPr>
          <w:rFonts w:hint="default" w:ascii="Times New Roman" w:hAnsi="Times New Roman" w:eastAsia="仿宋" w:cs="Times New Roman"/>
          <w:bCs/>
          <w:color w:val="auto"/>
          <w:spacing w:val="-6"/>
          <w:sz w:val="32"/>
          <w:szCs w:val="32"/>
        </w:rPr>
        <w:br w:type="page"/>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spacing w:line="580" w:lineRule="exact"/>
        <w:jc w:val="center"/>
        <w:textAlignment w:val="auto"/>
        <w:outlineLvl w:val="1"/>
        <w:rPr>
          <w:rFonts w:hint="default" w:ascii="Times New Roman" w:hAnsi="Times New Roman" w:eastAsia="楷体" w:cs="Times New Roman"/>
          <w:b/>
          <w:color w:val="auto"/>
          <w:kern w:val="2"/>
          <w:sz w:val="32"/>
          <w:szCs w:val="32"/>
        </w:rPr>
      </w:pPr>
      <w:bookmarkStart w:id="45" w:name="_Toc98767269"/>
      <w:bookmarkStart w:id="46" w:name="_Toc38744374"/>
      <w:bookmarkStart w:id="47" w:name="_Toc75424978"/>
      <w:r>
        <w:rPr>
          <w:rFonts w:hint="default" w:ascii="Times New Roman" w:hAnsi="Times New Roman" w:eastAsia="楷体" w:cs="Times New Roman"/>
          <w:b/>
          <w:color w:val="auto"/>
          <w:kern w:val="2"/>
          <w:sz w:val="32"/>
          <w:szCs w:val="32"/>
        </w:rPr>
        <w:t>第三节  构建便捷高效运输服务体系</w:t>
      </w:r>
      <w:bookmarkEnd w:id="45"/>
    </w:p>
    <w:p>
      <w:pPr>
        <w:keepNext w:val="0"/>
        <w:keepLines w:val="0"/>
        <w:pageBreakBefore w:val="0"/>
        <w:widowControl w:val="0"/>
        <w:kinsoku/>
        <w:wordWrap/>
        <w:overflowPunct w:val="0"/>
        <w:topLinePunct w:val="0"/>
        <w:autoSpaceDE/>
        <w:autoSpaceDN/>
        <w:bidi w:val="0"/>
        <w:adjustRightInd w:val="0"/>
        <w:snapToGrid w:val="0"/>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建设一体化的联程客运系统，加强公路客运与航空、铁路等交通运输资源的协调配置，推动各种运输方式在运营时刻、组织调度、运力安排等方面协同衔接；推动运输全链条一体化组织，依托全市综合交通枢纽和产业基础，科学布局多式联运基础设施，强化公河海联运、区域协同、城乡一体发展，全面提升运输组织效率、服务质量和要素流通效率，畅通优势转化通道。</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一、提升客运服务品质效率</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打造枢纽客运一体化出行。</w:t>
      </w:r>
      <w:r>
        <w:rPr>
          <w:rFonts w:hint="default" w:ascii="Times New Roman" w:hAnsi="Times New Roman" w:eastAsia="仿宋" w:cs="Times New Roman"/>
          <w:bCs/>
          <w:color w:val="auto"/>
          <w:sz w:val="32"/>
          <w:szCs w:val="32"/>
        </w:rPr>
        <w:t>推进综合客运枢纽空间共享、立体或同台换乘，提升智能化水平，加强安检互认，推进各运输方式在运营时刻、组织调度、运力安排等协同衔接，改善旅客出行体验。推进异地候机楼和高铁无轨站建设，提供“行李直挂”服务。发展旅客联程联运，积极发展“空铁通”“空巴通”等产品，支持“一站式”服务平台建设，鼓励客运企业规模化、联盟化发展，推进班次、时刻、客流等开放共享。拓展交通“一卡通”应用范围和场景。</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完善城市客运特色化服务。</w:t>
      </w:r>
      <w:r>
        <w:rPr>
          <w:rFonts w:hint="default" w:ascii="Times New Roman" w:hAnsi="Times New Roman" w:eastAsia="仿宋" w:cs="Times New Roman"/>
          <w:bCs/>
          <w:color w:val="auto"/>
          <w:sz w:val="32"/>
          <w:szCs w:val="32"/>
        </w:rPr>
        <w:t>加快中心城区“环+井+放射”状骨干路网建设，重点发展城市绿色快捷的公交网络，探索建设中心城区轨道（有轨或智轨电车）交通网，有序建设示范线路。以公交优先战略为抓手，优化城市公交线网布局，合理规划首末站、停保场、枢纽站等配套设施。引导城市发展快速公交、定制公交、旅游公交、社区公交等特色公共交通服务，鼓励市区学校、企事业单位采用公交通勤车的方式出行，创新“互联网+巡游车”模式，规范推进共享汽车、共享单车、共享充电桩等，不断满足公众安全、便捷、舒适的出行需求。</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加快城际客运同城化发展。</w:t>
      </w:r>
      <w:r>
        <w:rPr>
          <w:rFonts w:hint="default" w:ascii="Times New Roman" w:hAnsi="Times New Roman" w:eastAsia="仿宋" w:cs="Times New Roman"/>
          <w:bCs/>
          <w:color w:val="auto"/>
          <w:sz w:val="32"/>
          <w:szCs w:val="32"/>
        </w:rPr>
        <w:t>以信罗同城、豫东南高新技术产业开发区为重点，依托日益完善的城际交通基础设施，提高交通通勤化服务水平。加快城际客运班车公交化运营，重点推动信阳—罗山、豫东南高新技术产业开发区—潢川—光山等城际班线公交化改造，鼓励毗邻城市间道路客运班线逐步参照城市公共交通模式运行，共同出台客运扶持政策，探索建立跨区域协同机制。加快信罗之间有轨电车建设，远期向东进一步延伸。持续完善机场巴士交通网络，为旅客提高优质、便捷的机场交通服务。</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推动城乡客运一体化发展。</w:t>
      </w:r>
      <w:r>
        <w:rPr>
          <w:rFonts w:hint="default" w:ascii="Times New Roman" w:hAnsi="Times New Roman" w:eastAsia="仿宋" w:cs="Times New Roman"/>
          <w:bCs/>
          <w:color w:val="auto"/>
          <w:sz w:val="32"/>
          <w:szCs w:val="32"/>
        </w:rPr>
        <w:t>持续开展城乡交通运输一体化示范县创建工作，力争各县城乡客运一体化水平均达到4A级以上。大力推行城乡客运班线公交化改造，推动城市公共交通线路延伸，加强城市交通与城乡交通的无缝衔接，鼓励发展“县设枢纽、镇有平台、村通站点”的全域公交网络，支持有条件地区农村客运班线向自然村组延伸。对于出行需求较小且相对分散的偏远地区，灵活发展预约式、定制式公交客运服务。建立农村客运服务平台，在公交站点设置、运营时刻安排、服务信息发布等方面实现城乡客运网络的有效衔接。整合城乡客运经营主体，推广“一县一网一公司”（在一个县域内，构建一张完整的城乡客运线路网络，由一家经营主体进行公司化运作），有效推进农村客运转型升级和创新发展。</w:t>
      </w:r>
    </w:p>
    <w:tbl>
      <w:tblPr>
        <w:tblStyle w:val="31"/>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9060"/>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trHeight w:val="596" w:hRule="atLeast"/>
          <w:jc w:val="center"/>
        </w:trPr>
        <w:tc>
          <w:tcPr>
            <w:tcW w:w="5000" w:type="pct"/>
            <w:tcBorders>
              <w:top w:val="single" w:color="auto" w:sz="4" w:space="0"/>
              <w:left w:val="single" w:color="auto" w:sz="8" w:space="0"/>
              <w:bottom w:val="single" w:color="auto" w:sz="4" w:space="0"/>
              <w:right w:val="single" w:color="auto" w:sz="8" w:space="0"/>
            </w:tcBorders>
            <w:noWrap w:val="0"/>
            <w:tcMar>
              <w:top w:w="0" w:type="dxa"/>
              <w:left w:w="108" w:type="dxa"/>
              <w:bottom w:w="0" w:type="dxa"/>
              <w:right w:w="108" w:type="dxa"/>
            </w:tcMar>
            <w:vAlign w:val="top"/>
          </w:tcPr>
          <w:p>
            <w:pPr>
              <w:widowControl/>
              <w:pBdr>
                <w:top w:val="none" w:color="auto" w:sz="0" w:space="0"/>
                <w:left w:val="none" w:color="auto" w:sz="0" w:space="0"/>
                <w:bottom w:val="none" w:color="auto" w:sz="0" w:space="0"/>
                <w:right w:val="none" w:color="auto" w:sz="0" w:space="0"/>
                <w:between w:val="none" w:color="auto" w:sz="0" w:space="0"/>
              </w:pBdr>
              <w:overflowPunct w:val="0"/>
              <w:spacing w:before="120" w:after="120"/>
              <w:jc w:val="center"/>
              <w:rPr>
                <w:rFonts w:hint="default" w:ascii="Times New Roman" w:hAnsi="Times New Roman" w:eastAsia="黑体" w:cs="Times New Roman"/>
                <w:color w:val="auto"/>
                <w:szCs w:val="24"/>
              </w:rPr>
            </w:pPr>
            <w:r>
              <w:rPr>
                <w:rFonts w:hint="default" w:ascii="Times New Roman" w:hAnsi="Times New Roman" w:eastAsia="黑体" w:cs="Times New Roman"/>
                <w:color w:val="auto"/>
                <w:szCs w:val="24"/>
              </w:rPr>
              <w:t>专栏4  客运服务品质提升工程</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5000" w:type="pct"/>
            <w:tcBorders>
              <w:top w:val="single" w:color="auto" w:sz="4" w:space="0"/>
              <w:left w:val="single" w:color="auto" w:sz="8" w:space="0"/>
              <w:bottom w:val="single" w:color="auto" w:sz="8" w:space="0"/>
              <w:right w:val="single" w:color="auto" w:sz="8" w:space="0"/>
            </w:tcBorders>
            <w:noWrap w:val="0"/>
            <w:tcMar>
              <w:top w:w="0" w:type="dxa"/>
              <w:left w:w="108" w:type="dxa"/>
              <w:bottom w:w="0" w:type="dxa"/>
              <w:right w:w="108" w:type="dxa"/>
            </w:tcMar>
            <w:vAlign w:val="top"/>
          </w:tcPr>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（一）枢纽客运一体化工程</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color w:val="auto"/>
                <w:kern w:val="2"/>
                <w:szCs w:val="24"/>
              </w:rPr>
              <w:t>加快实现明港机场、信阳东站、信阳站等综合客运枢纽立体换乘，鼓励具备条件的铁路站旁配备综合客运站。</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（二）城市客运公交化工程</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color w:val="auto"/>
                <w:kern w:val="2"/>
                <w:szCs w:val="24"/>
              </w:rPr>
              <w:t>推进快速公交线网建设，构建一体化公共交通网络。拓展交通“一卡通”应用范围和场景，加快融入以“豫州行”为代表的省级联程运输服务平台。</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（三）城际客运通勤化工程</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宋体" w:cs="Times New Roman"/>
                <w:color w:val="auto"/>
                <w:kern w:val="2"/>
                <w:szCs w:val="24"/>
              </w:rPr>
            </w:pPr>
            <w:r>
              <w:rPr>
                <w:rFonts w:hint="default" w:ascii="Times New Roman" w:hAnsi="Times New Roman" w:eastAsia="宋体" w:cs="Times New Roman"/>
                <w:color w:val="auto"/>
                <w:kern w:val="2"/>
                <w:szCs w:val="24"/>
              </w:rPr>
              <w:t>以信阳中心城区、豫东南高新技术产业开发区为重点，推进城际出行服务的快速化和便捷化，打造信罗、豫东南高新技术产业开发区半小时通勤圈。</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楷体" w:cs="Times New Roman"/>
                <w:b/>
                <w:color w:val="auto"/>
                <w:kern w:val="2"/>
                <w:szCs w:val="24"/>
              </w:rPr>
            </w:pPr>
            <w:r>
              <w:rPr>
                <w:rFonts w:hint="default" w:ascii="Times New Roman" w:hAnsi="Times New Roman" w:eastAsia="楷体" w:cs="Times New Roman"/>
                <w:b/>
                <w:color w:val="auto"/>
                <w:kern w:val="2"/>
                <w:szCs w:val="24"/>
              </w:rPr>
              <w:t>（四）城乡客运均等化工程</w:t>
            </w:r>
          </w:p>
          <w:p>
            <w:pPr>
              <w:pBdr>
                <w:top w:val="none" w:color="auto" w:sz="0" w:space="0"/>
                <w:left w:val="none" w:color="auto" w:sz="0" w:space="0"/>
                <w:bottom w:val="none" w:color="auto" w:sz="0" w:space="0"/>
                <w:right w:val="none" w:color="auto" w:sz="0" w:space="0"/>
                <w:between w:val="none" w:color="auto" w:sz="0" w:space="0"/>
              </w:pBdr>
              <w:overflowPunct w:val="0"/>
              <w:adjustRightInd w:val="0"/>
              <w:snapToGrid w:val="0"/>
              <w:spacing w:line="520" w:lineRule="exact"/>
              <w:ind w:firstLine="480" w:firstLineChars="200"/>
              <w:rPr>
                <w:rFonts w:hint="default" w:ascii="Times New Roman" w:hAnsi="Times New Roman" w:eastAsia="楷体" w:cs="Times New Roman"/>
                <w:color w:val="auto"/>
                <w:kern w:val="2"/>
                <w:sz w:val="28"/>
                <w:szCs w:val="28"/>
              </w:rPr>
            </w:pPr>
            <w:r>
              <w:rPr>
                <w:rFonts w:hint="default" w:ascii="Times New Roman" w:hAnsi="Times New Roman" w:eastAsia="宋体" w:cs="Times New Roman"/>
                <w:color w:val="auto"/>
                <w:kern w:val="2"/>
                <w:szCs w:val="24"/>
              </w:rPr>
              <w:t>推进农村客运班线公交化改造，鼓励发展“县设枢纽、镇有平台、村通站点”的全域公交网络，支持有条件地区农村客运班线向自然村组延伸。</w:t>
            </w:r>
          </w:p>
        </w:tc>
      </w:tr>
    </w:tbl>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二、推进货运组织改革创新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加快示范化多式联运发展。</w:t>
      </w:r>
      <w:r>
        <w:rPr>
          <w:rFonts w:hint="default" w:ascii="Times New Roman" w:hAnsi="Times New Roman" w:eastAsia="仿宋" w:cs="Times New Roman"/>
          <w:bCs/>
          <w:color w:val="auto"/>
          <w:sz w:val="32"/>
          <w:szCs w:val="32"/>
        </w:rPr>
        <w:t>依托全市综合交通枢纽和产业基础，科学布局多式联运基础设施，挖掘航空、铁路、水运发展潜力，加快推进明港机场陆空联运、浉河区铁路物流基地及铁路口岸、平桥区王水铁路物流货物配送中心、公铁水一体化淮河淮滨港项目、潢川开发区大别山多式联运物流园及淮河新区多式联运港区建设，提高一体化转运衔接能力和货物快速换装便捷性。推广托盘、周转箱、集装箱、集装袋等标准化装备器具应用，推动设备循环共用。推进物流枢纽、骨干物流企业信息互联互通，推动部门间、区域间、方式间信息资源开放共享。加强专业化多式联运装备推广应用，推进各方式设施设备的标准化与协同应用，加快推广多式联运“一单制”全链条服务模式。</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sz w:val="32"/>
          <w:szCs w:val="32"/>
        </w:rPr>
        <w:t>发展专业化货运物流服务。</w:t>
      </w:r>
      <w:r>
        <w:rPr>
          <w:rFonts w:hint="default" w:ascii="Times New Roman" w:hAnsi="Times New Roman" w:eastAsia="仿宋" w:cs="Times New Roman"/>
          <w:bCs/>
          <w:color w:val="auto"/>
          <w:sz w:val="32"/>
          <w:szCs w:val="32"/>
        </w:rPr>
        <w:t>发展高效率货运物流服务，</w:t>
      </w:r>
      <w:r>
        <w:rPr>
          <w:rFonts w:hint="default" w:ascii="Times New Roman" w:hAnsi="Times New Roman" w:eastAsia="仿宋" w:cs="Times New Roman"/>
          <w:color w:val="auto"/>
          <w:sz w:val="32"/>
          <w:szCs w:val="32"/>
        </w:rPr>
        <w:t>探索利用高速铁路开展高铁货运，重点发展“高铁+高速”式“门到门”公铁联运快件物流；</w:t>
      </w:r>
      <w:r>
        <w:rPr>
          <w:rFonts w:hint="default" w:ascii="Times New Roman" w:hAnsi="Times New Roman" w:eastAsia="仿宋" w:cs="Times New Roman"/>
          <w:bCs/>
          <w:color w:val="auto"/>
          <w:sz w:val="32"/>
          <w:szCs w:val="32"/>
        </w:rPr>
        <w:t>依托明港机场创新航空货运产品体系和业务模式，发展“空港+高速”式“门到门”公空联运快件物流，优化提升航空物流产业链，增强对现代制造、消费升级等服务能力。整合信阳市和周边城市分散的农业资源及医药物流资源，积极建设农产品产地预冷设施，扶持冷链配送企业，加快冷链物流全面发展。统筹布局全市电商物流节点，深化与菜鸟、京东、苏宁、唯品会等知名电商企业战略合作，降低企业运营成本，改善营商环境，打造鄂豫皖区域重要的电商物流服务示范基地。完善交通物流枢纽应急服务功能，增强应急运力储备，提升应急物流服务能力。</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探索集约化城市运输模式。</w:t>
      </w:r>
      <w:r>
        <w:rPr>
          <w:rFonts w:hint="default" w:ascii="Times New Roman" w:hAnsi="Times New Roman" w:eastAsia="仿宋" w:cs="Times New Roman"/>
          <w:bCs/>
          <w:color w:val="auto"/>
          <w:sz w:val="32"/>
          <w:szCs w:val="32"/>
        </w:rPr>
        <w:t>加快完善物流园区、配送中心、末端节点为支撑的城市三级配送网络，鼓励公用型城市配送节点建设，推动城市快递服务中心、快递公共投递服务站建设；促进城际干线运输与城市末端配送的有机衔接，鼓励城市流通企业向农村延伸经营，发展农村商贸物流体系；组织开展城市绿色货运配送示范工程，制定城市绿色配送行动方案，推动市区大型超市（卖场）、连锁店等商贸流通企业采用错时分拨、统一配送、集中配送、共同配送、夜间配送、分时段配送；探索建立城市配送车辆分类管理机制，推进配送车辆停靠、装卸、充电等配套设施建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推动一体化城乡货运发展。</w:t>
      </w:r>
      <w:r>
        <w:rPr>
          <w:rFonts w:hint="default" w:ascii="Times New Roman" w:hAnsi="Times New Roman" w:eastAsia="仿宋" w:cs="Times New Roman"/>
          <w:bCs/>
          <w:color w:val="auto"/>
          <w:sz w:val="32"/>
          <w:szCs w:val="32"/>
        </w:rPr>
        <w:t>加快健全城乡物流网络，推动农村物流由“运的出”向“运的经济”“运的及时”转变。以打造客货邮融合发展样板县、城乡交通运输一体化示范县为目标，建立政府主导，交通、邮政、商务、农业、供销等多部门共同参与的农村物流发展协同机制，加快完善县、乡、村三级农村物流体系，健全县级农村物流中心、乡镇综合运输服务平台和村级物流节点的综合服务功能，加快各县城乡高效配送信息服务平台建设，构建“一点多能、一网多用、功能集约、便利高效”的农村运输发展新模式。推动交邮融合、电商物流、客货同网、货运班线等多种形式农村物流发展，畅通农产品进城、农村生产资料和农民生活消费品下乡的物流服务体系。充分挖掘城乡客运班线运力资源，普及推广农村客运车辆代运信件、邮件、包裹，发展小件快运、电商快递等服务市场。</w:t>
      </w:r>
    </w:p>
    <w:bookmarkEnd w:id="46"/>
    <w:bookmarkEnd w:id="47"/>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48" w:name="_Toc98767270"/>
      <w:r>
        <w:rPr>
          <w:rFonts w:hint="default" w:ascii="Times New Roman" w:hAnsi="Times New Roman" w:eastAsia="楷体" w:cs="Times New Roman"/>
          <w:b/>
          <w:color w:val="auto"/>
          <w:kern w:val="2"/>
          <w:sz w:val="32"/>
          <w:szCs w:val="32"/>
        </w:rPr>
        <w:t>第四节  布局枢纽经济发展承载平台</w:t>
      </w:r>
      <w:bookmarkEnd w:id="48"/>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推动交通物流枢纽网络建设，加强承载平台交通物流支撑，增强要素配置和产业链、供应链协同组织能力，打造枢纽经济发展“动力源”。</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一、构建智能运输组织平台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仿宋" w:cs="Times New Roman"/>
          <w:bCs/>
          <w:color w:val="auto"/>
          <w:sz w:val="32"/>
          <w:szCs w:val="32"/>
        </w:rPr>
        <w:t>创新运输组织模式，整合枢纽内货运场站、运输车辆和信息资源，构建一体化、智能化运输组织平台。依托机场、港口、高铁站等重大交通枢纽，加快补足枢纽组织功能短板，充分发挥枢纽对经济要素的“搅拌器”和“放大器”功能，促进经济要素由“流量”向“留量”转变，推进枢纽由运输中心向组织中心转变。优化枢纽站场布局，建设多式联运枢纽，开发公路、铁路、水路、航空一体化的物流运输集成平台，推进不同运输方式间的设施衔接、信息对接和组织匹配。充分利用互联网、大数据等信息技术，整合交通运输、应急管理、空间地理等数据资源，加快建设“城市大脑”，推动实体与虚拟、线上与线下的一体高效组织。</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w:t>
      </w:r>
      <w:bookmarkStart w:id="49" w:name="_Toc75424986"/>
      <w:r>
        <w:rPr>
          <w:rFonts w:hint="default" w:ascii="黑体" w:hAnsi="黑体" w:eastAsia="黑体" w:cs="黑体"/>
          <w:b w:val="0"/>
          <w:bCs/>
          <w:color w:val="auto"/>
        </w:rPr>
        <w:t>、打造现代综合服务平台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仿宋" w:cs="Times New Roman"/>
          <w:bCs/>
          <w:color w:val="auto"/>
          <w:sz w:val="32"/>
          <w:szCs w:val="32"/>
        </w:rPr>
        <w:t>以区域性综合交通枢纽和国家物流枢纽建设为中心，聚集运输、贸易、金融、商务、中介等资源，加强产业链上下游、产供销各环节无缝连接，着力打造集传统贸易、电商物流、生产加工、交易结算、城市服务于一体的现代综合服务平台。坚持政府引导、部门协作、企业主体、社会参与的多元模式，加快移动互联网、大数据、物联网、云计算等技术在服务领域普及应用，在交通物流、商贸流通、网络安全、环境保护等领域示范应用，培育基于互联网的智慧型健康医疗、养老、旅游、教育示范企业和项目。引导行业、企业间加强信息共享和资源协同联动，加快补齐链条薄弱环节短板，提高供应链网络化水平，增强供应链韧性。</w:t>
      </w:r>
    </w:p>
    <w:bookmarkEnd w:id="49"/>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三、建设物流产业支撑平台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充分利用物联网、大数据、遥感等新一代信息技术，创新“互联网+”枢纽新模式，探索建立推动枢纽经济发展的智慧物流产业支撑服务平台。加快建设集货源企业、商贸企业、物流企业、金融服务企业等主体信息服务功能于一体的国家物流枢纽综合物流信息服务平台，构建从上游供应商到下游销售商的全流程信息共享及增值服务，提供线上线下融合发展的一站式商贸流通综合信息服务。重点建设物流运输集成服务平台、电商物流云服务平台、农产品商贸物流信息平台，并进一步整合车辆信息、货源信息、网上报价、网上交易、合同管理、金融服务等信息服务功能，与各类国家物流枢纽开展信息共享与业务对接，实现供需、监控等信息发布，加强枢纽主体、商贸物流企业信息共享。</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四、构建城市综合保障平台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创新城市治理模式，完善智慧城市基础设施，推进城市精细化管理，夯实城市综合服务保障平台，实现线上线下融合联动，为枢纽经济发展提供新动力和重要支撑。建立物联网发展统筹协调机制，加快推动物联网在食品安全、节能环保、安全生产、公用事业、城市管理等领域深度应用。全面推进云计算示范应用，打造覆盖市民生活、企业服务、电子政务的城市综合云计算服务平台，加强公共云计算服务能力建设，为企业和政府部门提供优质的高性能计算和云计算服务。整合各行业消费信息，在数据存储、数据处理、数据服务等重点领域培育和吸引一批龙头企业，构建大数据产业链，支持中小型企业使用公共数据服务，降低大数据平台建设成本。</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50" w:name="_Toc98767271"/>
      <w:r>
        <w:rPr>
          <w:rFonts w:hint="default" w:ascii="Times New Roman" w:hAnsi="Times New Roman" w:eastAsia="楷体" w:cs="Times New Roman"/>
          <w:b/>
          <w:color w:val="auto"/>
          <w:kern w:val="2"/>
          <w:sz w:val="32"/>
          <w:szCs w:val="32"/>
        </w:rPr>
        <w:t>第五节  培育壮大特色枢纽产业集群</w:t>
      </w:r>
      <w:bookmarkEnd w:id="50"/>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6"/>
        </w:rPr>
      </w:pPr>
      <w:r>
        <w:rPr>
          <w:rFonts w:hint="default" w:ascii="Times New Roman" w:hAnsi="Times New Roman" w:eastAsia="仿宋" w:cs="Times New Roman"/>
          <w:color w:val="auto"/>
          <w:sz w:val="32"/>
          <w:szCs w:val="36"/>
        </w:rPr>
        <w:t>充分发挥各类枢纽经济承载平台辐射广、成本低、效率高的优势，推动传统产业转型升级，积极培育壮大特色新兴产业，创新发展新业态、新模式，打造枢纽平台偏好型产业集聚群，扩大枢纽综合竞争优势和规模经济效应，为加快老区振兴、加速绿色崛起筑牢产业支撑。</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bookmarkStart w:id="51" w:name="_Toc409446946"/>
      <w:bookmarkStart w:id="52" w:name="_Toc75425006"/>
      <w:bookmarkStart w:id="53" w:name="_Toc409686831"/>
      <w:r>
        <w:rPr>
          <w:rFonts w:hint="default" w:ascii="黑体" w:hAnsi="黑体" w:eastAsia="黑体" w:cs="黑体"/>
          <w:b w:val="0"/>
          <w:bCs/>
          <w:color w:val="auto"/>
        </w:rPr>
        <w:t>一、促进枢纽经济核心产业提质增效</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推动物流产业在经营业态、规模、组织方式上的高度集聚，强化物流供应链体系建设，推进具有紧密联系的上下游企业和同类企业在信阳聚集发展，打造形成特色鲜明、具有国际竞争力和区域带动力的物流产业集群。</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加快物流组织体系建设。</w:t>
      </w:r>
      <w:r>
        <w:rPr>
          <w:rFonts w:hint="default" w:ascii="Times New Roman" w:hAnsi="Times New Roman" w:eastAsia="仿宋" w:cs="Times New Roman"/>
          <w:color w:val="auto"/>
          <w:sz w:val="32"/>
          <w:szCs w:val="32"/>
        </w:rPr>
        <w:t>依托潢川片区铁路专用线资源和周边地区丰富的物资资源，面向上游大宗商品生产厂商和下游客户提供集采购服务、干线运输组织、流通加工、销售服务、信息处理服务、金融服务为一体的大宗商品供应链服务。发挥粮食仓储交易区功能优势和粮食储备库资源优势，完善搭建粮食电子交易平台，利用周边粮食种植基础，开展粮食的收储、交易和跨区域的干线运输组织，打造全国粮食储备基地。依托大宗商品交易物流区，开展钢材、进口木材等大宗商品的交易、存储和干线运输服务。依托信阳市和周边城市丰富的粮食、果蔬、茶叶、油料、肉畜产品和水产品等农业优势，整合分散的农产品物流资源，发挥金牛片区冷链物流区、农产品商贸物流区、智能公路港等功能区集聚优势，对接粤港澳、京津冀和长三角的国内干线公路物流大通道，积极建设农产品产地预冷设施，扶持本地冷链配送企业，稳步发展农产品冷链集散与交易物流，打造立足豫南、面向中部地区重要的农产品物流集聚区、冷链物流示范基地和生活必需品应急物流储备基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楷体" w:cs="Times New Roman"/>
          <w:bCs/>
          <w:color w:val="auto"/>
          <w:sz w:val="32"/>
          <w:szCs w:val="32"/>
        </w:rPr>
      </w:pPr>
      <w:r>
        <w:rPr>
          <w:rFonts w:hint="default" w:ascii="Times New Roman" w:hAnsi="Times New Roman" w:eastAsia="楷体" w:cs="Times New Roman"/>
          <w:bCs/>
          <w:color w:val="auto"/>
          <w:sz w:val="32"/>
          <w:szCs w:val="32"/>
        </w:rPr>
        <w:t>推进供应链畅通和稳定。</w:t>
      </w:r>
      <w:r>
        <w:rPr>
          <w:rFonts w:hint="default" w:ascii="Times New Roman" w:hAnsi="Times New Roman" w:eastAsia="仿宋" w:cs="Times New Roman"/>
          <w:color w:val="auto"/>
          <w:sz w:val="32"/>
          <w:szCs w:val="32"/>
        </w:rPr>
        <w:t>完善提升产业集聚区物流服务“区中园”功能，为制造企业提供高效快捷的物流服务，降低制造企业物流成本，提升制造企业竞争力。鼓励物流企业为制造企业量身定做供应链管理库存、“线上物流”、逆向物流、供应链一体化服务等物流解决方案，探索联合采购、共享仓储等创新模式。深化与菜鸟、京东、苏宁、唯品会等知名电商企业战略合作，加快建设改造一批大型电商物流产业园和仓配一体化分拨中心，支持建设县级物流示范园区，逐渐扩大规模，发挥集约效应。推进明港机场、信阳高铁站、豫东南高新技术产业开发区高铁站等交通枢纽配套建设快件多式联运基础设施，实现公路、铁路、航空等快件运输紧密衔接，构建联通省内外的高效快递物流网络。充分发挥农业资源优势，大力开展“三品一标”认证工作，宣传打造集体品牌，建设一批包含产地预冷库、区域冷库、流通中转冷库、分拨配送库、零售网点冷柜到消费终端冷藏自提柜的全程冷链设施，大力发展冷链物流。</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提升商贸流通服务水平。</w:t>
      </w:r>
      <w:r>
        <w:rPr>
          <w:rFonts w:hint="default" w:ascii="Times New Roman" w:hAnsi="Times New Roman" w:eastAsia="仿宋" w:cs="Times New Roman"/>
          <w:color w:val="auto"/>
          <w:sz w:val="32"/>
          <w:szCs w:val="32"/>
        </w:rPr>
        <w:t>补齐国际物流基础设施短板，配置集装箱作业设施设备，依托潢川站铁路货场，与国际物流枢纽开展业务合作，谋划开行中欧班列，提升信阳国际物流运作水平。充分发挥信阳区位和交通通道优势，挖掘采购交易和商品集散潜力，通过与全国商贸服务型国家物流枢纽及商贸节点业务对接，在全国范围内进行商品高效分拨，提升国家商贸流通服务水平。与郑州、洛阳、商丘、南阳等商贸服务型国家物流枢纽对接，实现功能协同、优势互补，促进河南省内国家物流枢纽形成合力，与国家物流枢纽网络实现全领域、多环节功能对接和一体化、高效率运行组织衔接，加快融入全国物流枢纽网络和国际物流供应链，推动区域经济产业协同发展。</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二、推动枢纽经济偏好产业转型发展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促进传统产业做优。</w:t>
      </w:r>
      <w:r>
        <w:rPr>
          <w:rFonts w:hint="default" w:ascii="Times New Roman" w:hAnsi="Times New Roman" w:eastAsia="仿宋" w:cs="Times New Roman"/>
          <w:color w:val="auto"/>
          <w:sz w:val="32"/>
          <w:szCs w:val="32"/>
        </w:rPr>
        <w:t>围绕推进传统产业高端化、智能化、绿色化、服务化改造，结合传统产业布局优化，发展食品工业、建材家居、纺织服装三大产业。依托水港、陆港等枢纽，发挥我市食品产业、水运资源优势，支持本地企业与知名企业合作，通过农副产品精深加工，提高产品附加值，走品牌化、规模化、绿色化道路，建成具有国内影响力的千亿级绿色食品产业集群。坚持绿色发展理念，加快传统建材产业向绿色建材、绿色建筑和绿色家装转型升级，打造未来人居产业示范城，建成千亿级绿色建造产业集群。扩大纺织产业规模，提高产品附加值，突出时尚、特色、个性化服装加工，建设轻纺、服装、羽绒制品加工基地，打造千亿级时尚家纺产业集群。</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支撑优势产业做强。</w:t>
      </w:r>
      <w:r>
        <w:rPr>
          <w:rFonts w:hint="default" w:ascii="Times New Roman" w:hAnsi="Times New Roman" w:eastAsia="仿宋" w:cs="Times New Roman"/>
          <w:color w:val="auto"/>
          <w:sz w:val="32"/>
          <w:szCs w:val="32"/>
        </w:rPr>
        <w:t>依托豫东南高新技术产业开发区、明港机场、商城新县通用机场，积极发展生物医药、健康食品、高端装备制造、电子信息、智能制造航空偏好型产业。深化与苏州工业园、昆山开发区、广州高新区配套协作，加快推进与京东方、夏普等知名企业，富士康、小米等行业龙头企业对接合作，扩大产业规模，实现跨越式发展，建成千亿级电子信息产业集群；以航天精工、首航科技为龙头，带动配套企业协同发展，支持煜泰科技、豪特曼、平煤神马、德隆超硬材料等精密加工企业做专做精，打造精密加工生产基地。以陆港、生产服务型枢纽为重点，推进新能源装备、节能环保装备、交通运输等特色装备制造发展，打造千亿级智能制造产业集群。</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三、加快枢纽经济服务产业扩容升级</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支撑生产性服务业发展。</w:t>
      </w:r>
      <w:r>
        <w:rPr>
          <w:rFonts w:hint="default" w:ascii="Times New Roman" w:hAnsi="Times New Roman" w:eastAsia="仿宋" w:cs="Times New Roman"/>
          <w:color w:val="auto"/>
          <w:sz w:val="32"/>
          <w:szCs w:val="32"/>
        </w:rPr>
        <w:t>围绕枢纽经济承载平台，重点发展高端商务、科技研发、会展办公、文化创新等现代服务业，建设生产性服务业生态圈。依托航空港重点发展跨境电商、旅游会展、商务商贸等临空现代服务业，构建功能齐全、业态多元、服务规范的临空特色综合服务体系。充分发挥淮滨、固始航运物流服务集聚区功能，重点培育船舶管理、代理服务、货运服务、船员劳务等产业，打造现代航运服务新高地。引导总部办公、现代金融、科技服务、信息服务、商务会展等产业在信阳高铁枢纽周边聚集，推进生产性和生活性服务业组合发展集群发展，打造高铁高端商务商业圈。</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促进生活性服务业发展。</w:t>
      </w:r>
      <w:r>
        <w:rPr>
          <w:rFonts w:hint="default" w:ascii="Times New Roman" w:hAnsi="Times New Roman" w:eastAsia="仿宋" w:cs="Times New Roman"/>
          <w:color w:val="auto"/>
          <w:sz w:val="32"/>
          <w:szCs w:val="32"/>
        </w:rPr>
        <w:t>围绕打造全国著名的红色旅游目的地、大别山北麓全域旅游示范区和中部地区短期休闲度假目的地，完善机场、高铁站等旅游服务功能，建设淮河、大别山、南湾湖等旅游风景道，推进开放式高速公路旅游服务区建设，推动高速公路服务区向交通、旅游、消费、特产展销等复合型服务区升级，推广“交通+门票”等一站式票务服务，实施“吃信阳菜、品毛尖茶、看淮上山水、住豫南民宿”工程。引导健康服务、养老育幼、教育培训等产业在机场、高铁枢纽等聚集，完善生产服务型、商贸服务型等枢纽周边生活性服务配套。发展通航服务业，扩大农林喷洒、医疗救护、应急救援、公务飞行等通用服务供给，拓展无人机应用场景。</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提升制造业服务业融合发展能级。</w:t>
      </w:r>
      <w:r>
        <w:rPr>
          <w:rFonts w:hint="default" w:ascii="Times New Roman" w:hAnsi="Times New Roman" w:eastAsia="仿宋" w:cs="Times New Roman"/>
          <w:color w:val="auto"/>
          <w:sz w:val="32"/>
          <w:szCs w:val="32"/>
        </w:rPr>
        <w:t>围绕制造业开发区，发挥交通枢纽、物流枢纽等资源要素组织功能，加大研发设计、商务服务、中介代理、市场分销等各类配套企业引进和培育，鼓励与生产制造企业合作，推动制造业与服务业深度融合。推广设计外包、柔性化定制、网络化协同制造、远程维护、总集成总承包等服务模式，加快制造业服务化进程，有效管理从要素源头到产出终端全产业链的所有环节，加快制造业与服务业联动发展和向价值链高端提升。</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54" w:name="_Toc98767272"/>
      <w:r>
        <w:rPr>
          <w:rFonts w:hint="default" w:ascii="Times New Roman" w:hAnsi="Times New Roman" w:eastAsia="楷体" w:cs="Times New Roman"/>
          <w:b/>
          <w:color w:val="auto"/>
          <w:kern w:val="2"/>
          <w:sz w:val="32"/>
          <w:szCs w:val="32"/>
        </w:rPr>
        <w:t>第六节  拓展枢纽经济辐射联动区域</w:t>
      </w:r>
      <w:bookmarkEnd w:id="54"/>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以“通道＋枢纽＋网络”的现代综合交通运输体系为牵引，加快要素资源向综合运输通道集聚，密切通道沿线经济产业联系，打造经济和产业发展走廊，推进通道经济发展，形成优势互补、高质量发展的区域经济布局。</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一、建设枢纽经济协同发展区</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以建设信阳重要区域性综合交通枢纽为核心，加强与南阳、驻马店联动发展，以生态经济为特色，建设大别山（豫南）高效生态经济示范区，推动豫南地区大通道大枢纽发展，支撑豫南枢纽经济协同发展区建设。加快信息基础设施集约建设，支持各类产业创新和商务合作平台发展，建立资源共享、协同运作、智能运营的园区发展新模式。聚焦大别山革命老区生态、旅游等领域协作，推进与鄂北、皖西地区合作，厚植信阳生态和文化优势，建设鸡公山等高效生态经济示范区。依托信阳与长三角区位相接，交通互联的优势，积极向长三角靠拢，形成协同优势，建设“长三角产业协同创新区”，把信阳的要素融入他们的要素，产品加入他们的供应链，产业嵌入他们的产业链，实现协同发展、互补共赢。</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二、促进国家物流枢纽融合发展</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依托国家物流枢纽联盟成员和五种类型国家物流枢纽承载城市优势，加强与其他国家物流枢纽承载城市在枢纽建设、产业发展、物流网络、开放合作等方面的深度融合，实现产业分工协作和协同发展，共同成为服务新发展格局的践行者、国家物流网络的大平台、产业深度融合的加油站、物流业转型升级的试验区、知名物流品牌的孵化地、枢纽经济发展的支撑点、应急物流和绿色物流的排头兵、高水平对外开放的桥头堡以及高质量发展的助推器。</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三、培育发展跨域通道经济带</w:t>
      </w:r>
    </w:p>
    <w:p>
      <w:pPr>
        <w:keepNext w:val="0"/>
        <w:keepLines w:val="0"/>
        <w:pageBreakBefore w:val="0"/>
        <w:widowControl w:val="0"/>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仿宋" w:cs="Times New Roman"/>
          <w:color w:val="auto"/>
          <w:kern w:val="2"/>
          <w:sz w:val="32"/>
          <w:szCs w:val="32"/>
        </w:rPr>
        <w:t>充分发挥信阳对接长三角的桥头堡、淮河生态经济带内陆高质量发展先行区、中部地区崛起的重要生态安全屏障的战略优势，依托京港澳、大广、沿淮、沪陕、沿大别山5条综合运输通道，推动资源要素和产业沿线集聚，</w:t>
      </w:r>
      <w:r>
        <w:rPr>
          <w:rFonts w:hint="default" w:ascii="Times New Roman" w:hAnsi="Times New Roman" w:eastAsia="仿宋" w:cs="Times New Roman"/>
          <w:bCs/>
          <w:color w:val="auto"/>
          <w:sz w:val="32"/>
          <w:szCs w:val="32"/>
        </w:rPr>
        <w:t>加快中原--长三角通道经济带和京港澳通道经济带发展，</w:t>
      </w:r>
      <w:r>
        <w:rPr>
          <w:rFonts w:hint="default" w:ascii="Times New Roman" w:hAnsi="Times New Roman" w:eastAsia="仿宋" w:cs="Times New Roman"/>
          <w:color w:val="auto"/>
          <w:kern w:val="2"/>
          <w:sz w:val="32"/>
          <w:szCs w:val="32"/>
        </w:rPr>
        <w:t>拓展枢纽经济辐射联动发展空间</w:t>
      </w:r>
      <w:r>
        <w:rPr>
          <w:rFonts w:hint="default" w:ascii="Times New Roman" w:hAnsi="Times New Roman" w:eastAsia="仿宋" w:cs="Times New Roman"/>
          <w:bCs/>
          <w:color w:val="auto"/>
          <w:sz w:val="32"/>
          <w:szCs w:val="32"/>
        </w:rPr>
        <w:t>。</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rPr>
        <w:t>联动建设中原--长三角通道经济带。</w:t>
      </w:r>
      <w:r>
        <w:rPr>
          <w:rFonts w:hint="default" w:ascii="Times New Roman" w:hAnsi="Times New Roman" w:cs="Times New Roman"/>
          <w:color w:val="auto"/>
          <w:kern w:val="0"/>
        </w:rPr>
        <w:t>依托沿淮、沪陕、沿大别山综合运输通道，和淮河、沙颍河等水运通道，积极参与长江经济带建设，强化淮河生态经济带上下游合作联动发展，增强通江达海、对接“海上丝绸之路”能力，以弘扬大别山革命老区光荣传统、斗争精神等红色文化为主线，推动大别山北麓全域旅游示范区建设，加强与长三角地区跨省域产业对接合作，提升信阳枢纽城市承接产业转移能力，积极融入长三角地区产业链、供应链，规划共建一批产业链集群式专业园区，构建东向开放新的产业和城镇密集带。</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rPr>
        <w:t>协同打造京港澳通道经济带。</w:t>
      </w:r>
      <w:r>
        <w:rPr>
          <w:rFonts w:hint="default" w:ascii="Times New Roman" w:hAnsi="Times New Roman" w:cs="Times New Roman"/>
          <w:color w:val="auto"/>
          <w:kern w:val="0"/>
        </w:rPr>
        <w:t>依托京港澳、大广运输通道，强化南北向集聚辐射能力，围绕科教、医疗、产业等领域开展京豫、粤豫战略合作。加快布局电子信息、绿色食品、生物医药、装备制造、新材料等产业，积极发展中部半导体、天扬光电、新能源装备、节能环保装备等优势产业，打造冷链食品和休闲食品特色品牌，引进培育血液制品、新型疫苗、高端临床用药等新产品，建设罗山电子信息、上天梯绿色建筑、潢川食品加工、新县生物医药等产业集群。</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55" w:name="_Toc98767273"/>
      <w:r>
        <w:rPr>
          <w:rFonts w:hint="default" w:ascii="Times New Roman" w:hAnsi="Times New Roman" w:eastAsia="楷体" w:cs="Times New Roman"/>
          <w:b/>
          <w:color w:val="auto"/>
          <w:kern w:val="2"/>
          <w:sz w:val="32"/>
          <w:szCs w:val="32"/>
        </w:rPr>
        <w:t>第七节  打造商贸服务型枢纽经济新城</w:t>
      </w:r>
      <w:bookmarkEnd w:id="55"/>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统筹交通物流和产业、城镇发展，打造各种要素大聚集、大流通、大交易的枢纽经济业态，建设产城融合、职住平衡、生态宜居、交通便利的枢纽新城，不断满足人民群众日益增长的美好生活需要，探索具有信阳特色、体现时代特征的商贸服务型枢纽经济新城发展之路。</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一、优化产业结构空间布局</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提升空间集约化水平。</w:t>
      </w:r>
      <w:r>
        <w:rPr>
          <w:rFonts w:hint="default" w:ascii="Times New Roman" w:hAnsi="Times New Roman" w:eastAsia="仿宋" w:cs="Times New Roman"/>
          <w:color w:val="auto"/>
          <w:sz w:val="32"/>
          <w:szCs w:val="32"/>
        </w:rPr>
        <w:t>服务生产力布局和城乡居民消费，推进枢纽经济指向性不强的产业腾挪搬迁和亩均产出不高的传统产业转型升级，加大淘汰劣势产业力度，严格控制项目准入门槛。优化现代物流业空间结构，整合集聚物流设施资源、企业资源、组织资源和信息资源，实现集约化发展，避免重复建设和过多占用资源。</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加强土地混合再利用。</w:t>
      </w:r>
      <w:r>
        <w:rPr>
          <w:rFonts w:hint="default" w:ascii="Times New Roman" w:hAnsi="Times New Roman" w:eastAsia="仿宋" w:cs="Times New Roman"/>
          <w:color w:val="auto"/>
          <w:sz w:val="32"/>
          <w:szCs w:val="32"/>
        </w:rPr>
        <w:t>加强土地开发利用，促进土地资源要素高质量高效率配置，提高建成率、配套率、达标率。鼓励细密混合土地利用和地块用途兼容，鼓励公共服务设施用地、工业用地、仓储物流用地根据业态需求进行土地混合开发和建筑复合利用，提高土地利用质量和效益。</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推进低效用地再开发。</w:t>
      </w:r>
      <w:r>
        <w:rPr>
          <w:rFonts w:hint="default" w:ascii="Times New Roman" w:hAnsi="Times New Roman" w:eastAsia="仿宋" w:cs="Times New Roman"/>
          <w:color w:val="auto"/>
          <w:sz w:val="32"/>
          <w:szCs w:val="32"/>
        </w:rPr>
        <w:t>加快形成“以亩产论英雄”的用地导向，对布局散乱、利用粗放、用途不合理的城镇存量建设用地，通过收购储备、实施流转、协议置换、“退二进三”、增容技改等方式实施再开发，加大政府主导力度，引导市场主体参与，提高单位土地的投入强度和产出效率。</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二、推动“港产城”融合发展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建设空港枢纽经济区。</w:t>
      </w:r>
      <w:r>
        <w:rPr>
          <w:rFonts w:hint="default" w:ascii="Times New Roman" w:hAnsi="Times New Roman" w:eastAsia="仿宋" w:cs="Times New Roman"/>
          <w:color w:val="auto"/>
          <w:sz w:val="32"/>
          <w:szCs w:val="32"/>
        </w:rPr>
        <w:t>聚焦全省“一核引领、五区联动、多园协同”的航空经济空间发展格局，按照“产城互动”“产城融合”发展要求，加快构建服务豫南区域经济社会发展的明港空港经济区。依托航空运输高时效、高附加值和及时响应特征，重点发展现代航空物流业、航空港相关服务业和临空地方特色制造业，建设现代化航空新城，与郑州航空港经济综合实验区呼应发展、错位竞争；持续提升明港产业集聚区功能，推进明港钢铁资源型经济转型，</w:t>
      </w:r>
      <w:r>
        <w:rPr>
          <w:rFonts w:hint="default" w:ascii="Times New Roman" w:hAnsi="Times New Roman" w:eastAsia="仿宋" w:cs="Times New Roman"/>
          <w:color w:val="auto"/>
          <w:sz w:val="32"/>
          <w:szCs w:val="36"/>
        </w:rPr>
        <w:t>形成以建材钢、钢铁制品产业为主的重工业基地；充分发挥航空、铁路、高速公路等交汇的立体交通优势，大力发展辐射周边地区的现代物流、商贸等外向型服务业，打造区域性商品集散基地和豫南航空物流基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楷体" w:cs="Times New Roman"/>
          <w:bCs/>
          <w:color w:val="auto"/>
          <w:sz w:val="32"/>
          <w:szCs w:val="32"/>
        </w:rPr>
        <w:t>探索高铁枢纽经济区。</w:t>
      </w:r>
      <w:r>
        <w:rPr>
          <w:rFonts w:hint="default" w:ascii="Times New Roman" w:hAnsi="Times New Roman" w:eastAsia="仿宋" w:cs="Times New Roman"/>
          <w:color w:val="auto"/>
          <w:sz w:val="32"/>
          <w:szCs w:val="32"/>
        </w:rPr>
        <w:t>发挥京广、南信合和京港台三条高铁在信阳交汇的战略机遇，坚持“站产城”融合发展，以高铁客运站为中心，通过客流的汇聚，大力发展高铁经济，重点推进信阳东站高铁片区建设，吸引国内外知名金融、保险、研发、营销、信息服务、呼叫服务等各类企业入驻，加快发展旅游、商贸、房地产、文化教育等与人流聚集和速度有直接关系的现代服务业，培育地方的新兴产业、消费产业、文化产业，构筑与主城区功能互补、错位发展的新格局，推动以产兴城、以城聚产、产城联动。</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16" w:firstLineChars="200"/>
        <w:textAlignment w:val="auto"/>
        <w:rPr>
          <w:rFonts w:hint="default" w:ascii="Times New Roman" w:hAnsi="Times New Roman" w:eastAsia="仿宋" w:cs="Times New Roman"/>
          <w:color w:val="auto"/>
          <w:spacing w:val="-6"/>
          <w:sz w:val="32"/>
          <w:szCs w:val="32"/>
        </w:rPr>
      </w:pPr>
      <w:r>
        <w:rPr>
          <w:rFonts w:hint="default" w:ascii="Times New Roman" w:hAnsi="Times New Roman" w:eastAsia="楷体" w:cs="Times New Roman"/>
          <w:bCs/>
          <w:color w:val="auto"/>
          <w:spacing w:val="-6"/>
          <w:sz w:val="32"/>
          <w:szCs w:val="32"/>
        </w:rPr>
        <w:t>发展港口枢纽经济区。</w:t>
      </w:r>
      <w:r>
        <w:rPr>
          <w:rFonts w:hint="default" w:ascii="Times New Roman" w:hAnsi="Times New Roman" w:eastAsia="仿宋" w:cs="Times New Roman"/>
          <w:color w:val="auto"/>
          <w:spacing w:val="-6"/>
          <w:sz w:val="32"/>
          <w:szCs w:val="32"/>
        </w:rPr>
        <w:t>统筹产业布局、人口分布和港口布局，处理好生产、生活和生态空间关系，高质量推进临港城市功能区开发，推动“港产城”深度融合发展。按照“宜水则水、宜产则产、宜居则居”的原则，重点建设淮滨港口枢纽经济区，规划“一港六区一廊道”布局，构建“两高一支撑”的产业体系，主要包括船舶制造、港口机械、高端木材精深加工、装配式建筑、粮油加工、纺织服装、天然气储备、商贸物流、冷链物流、保税物流等，全力打造河南面向长江经济带的物流桥头堡、全省多式联运创新发展实验区、大宗物品物流仓储运输基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bCs/>
          <w:color w:val="auto"/>
          <w:sz w:val="32"/>
          <w:szCs w:val="32"/>
        </w:rPr>
        <w:t>打造陆港枢纽经济区。</w:t>
      </w:r>
      <w:r>
        <w:rPr>
          <w:rFonts w:hint="default" w:ascii="Times New Roman" w:hAnsi="Times New Roman" w:eastAsia="仿宋" w:cs="Times New Roman"/>
          <w:bCs/>
          <w:color w:val="auto"/>
          <w:sz w:val="32"/>
          <w:szCs w:val="32"/>
        </w:rPr>
        <w:t>高标准建设豫东南高新技术产业开发区，依托全市及周边的产业基础、科技资源，发挥公铁水空四位一体交通优势，对接长三角、大湾区等区域，构建长三角合作产业园、粤港澳合作产业园，加强在新一代信息技术、生物医药、新材料、装备制造等领域的联动发展，注重与信阳高新区及产业集聚区等重点平台错位协同，培育具有区域竞争力的枢纽经济区。依托潢川铁路运输优势和良好的大宗物资物流业务基础，抢抓豫东南高新技术产业开发区发展机遇，进一步推进潢川机场、潢川经济开发区大别山铁路货运综合物流园区、潢川县现代综合物流园等建设，补齐国际物流、多式联运等短板功能，重点布局国际多式联运区、粮食仓储交易区、危险品储存交易区、仓储配送区、大宗商品交易物流区等，打造三省交接的物流产业集聚中心。</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三、带动区域经济加快发展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color w:val="auto"/>
          <w:sz w:val="32"/>
          <w:szCs w:val="32"/>
        </w:rPr>
      </w:pPr>
      <w:r>
        <w:rPr>
          <w:rFonts w:hint="default" w:ascii="Times New Roman" w:hAnsi="Times New Roman" w:eastAsia="仿宋" w:cs="Times New Roman"/>
          <w:color w:val="auto"/>
          <w:sz w:val="32"/>
          <w:szCs w:val="32"/>
        </w:rPr>
        <w:t>推动区域农业、制造、商贸等产业集聚发展，加快资源要素聚集，促进枢纽与产业的良性互动，构建枢纽经济体系，加强信阳交通建设与区域经济产业发展的有机协同。充分利用信阳交通的网络化和规模化优势，将产业价值链条式的传递和转移全面拓展至区域空间范围内，加快交通物流互联互通、功能平台互补延伸、经济产业协调联动，培育枢纽经济发展增长极，构建具有信阳特色发展路径、培育高质量规模经济的全市枢纽经济体系。强化交通与产业、城市的跨界融合，以枢纽支撑产业发展，以产业推进城市建设，以城市建设促进枢纽和产业发展。统筹协调好枢纽与产业、城市之间的关系，促进枢纽、产业和城市融合发展，共同推动城市经济实现转型升级和可持续发展，实现综合货运枢纽、综合服务线网、枢纽经济区“点线面”一体共荣。</w:t>
      </w:r>
    </w:p>
    <w:bookmarkEnd w:id="51"/>
    <w:bookmarkEnd w:id="52"/>
    <w:bookmarkEnd w:id="53"/>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56" w:name="_Toc98767274"/>
      <w:r>
        <w:rPr>
          <w:rFonts w:hint="default" w:ascii="Times New Roman" w:hAnsi="Times New Roman" w:eastAsia="楷体" w:cs="Times New Roman"/>
          <w:b/>
          <w:color w:val="auto"/>
          <w:kern w:val="2"/>
          <w:sz w:val="32"/>
          <w:szCs w:val="32"/>
        </w:rPr>
        <w:t>第八节  推进深度融合高效联动发展</w:t>
      </w:r>
      <w:bookmarkEnd w:id="56"/>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以促进交通、物流与经济社会融合发展为主线，深化重点领域改革，在综合治理、要素统筹、综合开发、扩大开放、投融资、人才保障等领域，探索推动一批体制机制改革和政策创新，强化优势转化保障。</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一、加快智慧城市建设步伐</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贯彻落实国家“新基建”建设部署，应用新技术推动枢纽产业创新发展，营造新场景加快枢纽组织模式变革，搭建新平台深化“枢纽＋”的发展融合，打造要素高度聚集、信息全面互联、组织高度协同的智慧信息组织中枢。</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kern w:val="0"/>
        </w:rPr>
        <w:t>建设“智慧”交通。</w:t>
      </w:r>
      <w:r>
        <w:rPr>
          <w:rFonts w:hint="default" w:ascii="Times New Roman" w:hAnsi="Times New Roman" w:cs="Times New Roman"/>
          <w:color w:val="auto"/>
          <w:kern w:val="0"/>
        </w:rPr>
        <w:t>以技术创新为驱动，以数字化、网络化、智能化为主线，以促进交通运输提效能、扩功能、增动能为导向，推动交通基础设施数字转型、智能升级，依托沪陕高速、信阳港淮滨中心港区、信阳东站等设施，开展智慧公路、智慧港口、智慧枢纽等一批示范工程研究，实施沿大别山高速公路明港至鸡公山段智慧高速公路工程、沿大别山高速鸡公山至商城（豫皖省界）段智慧服务区工程、G107、G312线绕信阳市区段智慧公路工程、信阳汽车客运东站综合信息服务平台、淮河航道固始段绿色航道监督管理系统等。加快补齐新能源充电桩缺口，建设充电桩相关云端管理、运营维护等平台。推行交通基础设施智能养护，加强关键设施服役状态在线监测和远程诊断，推进重要桥梁等设施监测预警、动态化巡查和运行状态实时管控。</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kern w:val="0"/>
        </w:rPr>
        <w:t>建设“智慧”物流。</w:t>
      </w:r>
      <w:r>
        <w:rPr>
          <w:rFonts w:hint="default" w:ascii="Times New Roman" w:hAnsi="Times New Roman" w:cs="Times New Roman"/>
          <w:color w:val="auto"/>
          <w:kern w:val="0"/>
        </w:rPr>
        <w:t>促进物联网、大数据、云计算、人工智能等新技术，以及无人仓、无人机、无人车、智能快递柜等新设备在物流领域的推广应用，推动物流公共信息平台建设，加强与“全省统一的物流云平台”相结合，实现物流信息的发布与共享，物流行业动态、资讯，物流供求信息共享，物流招投标信息等相关信息的共享与资源整合，争创国家智能化仓储物流示范基地。</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kern w:val="0"/>
        </w:rPr>
        <w:t>建设“智慧”空间。</w:t>
      </w:r>
      <w:r>
        <w:rPr>
          <w:rFonts w:hint="default" w:ascii="Times New Roman" w:hAnsi="Times New Roman" w:cs="Times New Roman"/>
          <w:color w:val="auto"/>
          <w:kern w:val="0"/>
        </w:rPr>
        <w:t>加快5G移动通信网络技术的普及，实现全市公共场所和枢纽经济区全域WIFI覆盖和免费开放。加快开放街区和共享空间建设，通过大数据发掘等方式，不断提升用户体验，为大众创造安全舒适的智慧空间。大力发展地下空间，利用空间数据库、地理信息系统、三维可视化与虚拟现实等先进技术，实现对地下空间的透视分析，推动城市向地下纵深发展。</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bCs/>
          <w:color w:val="auto"/>
          <w:kern w:val="0"/>
        </w:rPr>
        <w:t>建设“智慧”经济。</w:t>
      </w:r>
      <w:r>
        <w:rPr>
          <w:rFonts w:hint="default" w:ascii="Times New Roman" w:hAnsi="Times New Roman" w:cs="Times New Roman"/>
          <w:color w:val="auto"/>
          <w:kern w:val="0"/>
        </w:rPr>
        <w:t>建立物联网发展统筹协调机制，推动物联网有序健康发展，加快推动食品安全、节能环保、安全生产、公用事业、城市管理、设施农业等领域具有区域特色物联网产业发展和深度应用。全面推进云计算示范应用，打造覆盖市民生活、企业服务、电子政务的城市综合云计算服务平台，加强公共云计算服务能力建设，为企业和政府部门提供优质的高性能计算和云计算服务。</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二、营造绿色安全发展环境</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实施绿色低碳转型战略，大力发展绿色能源、壮大绿色产业、做强绿色交通、推广绿色建筑、创新绿色技术、构建绿色屏障、倡导绿色生活，加快绿色崛起、安全韧性发展，强化安全生产底线，建设应急保障体系，促进枢纽经济和现代物流业可持续发展。</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推动绿色低碳交通发展。</w:t>
      </w:r>
      <w:r>
        <w:rPr>
          <w:rFonts w:hint="default" w:ascii="Times New Roman" w:hAnsi="Times New Roman" w:eastAsia="仿宋" w:cs="Times New Roman"/>
          <w:bCs/>
          <w:color w:val="auto"/>
          <w:sz w:val="32"/>
          <w:szCs w:val="32"/>
        </w:rPr>
        <w:t>积极推进沿大别山高速、S338等生态旅游公路建设，优化生态安全屏障体系。强化通道资源节约集约利用，鼓励轨道交通与公路、城市道路，普通干线公路与高速公路等共建共用跨河桥梁。持续推动运输结构调整，充分发挥综合运输方式的竞争优势和组合效率，推进大宗货物、中长距离运输公转铁、公转水转移，提高公共交通、慢行交通等绿色出行比例。加快布局充电、加气等配套设施规划建设，鼓励新能源和清洁能源交通工具和节能装备推广使用，加快淘汰高能耗、低效率的老旧运输装备，降低重载柴油货车使用比例。持续推进信阳森林城市建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加快产业结构绿色升级。</w:t>
      </w:r>
      <w:r>
        <w:rPr>
          <w:rFonts w:hint="default" w:ascii="Times New Roman" w:hAnsi="Times New Roman" w:eastAsia="仿宋" w:cs="Times New Roman"/>
          <w:bCs/>
          <w:color w:val="auto"/>
          <w:sz w:val="32"/>
          <w:szCs w:val="32"/>
        </w:rPr>
        <w:t>实施传统产业绿色转型工程，积极创建绿色工厂、绿色供应链管理企业，推动重污染企业退城搬迁，严控“两高”行业发展。协同发展上天梯绿色建筑、信阳开发区智能制造、羊山新区智能家居家装，构建未来人居全产业链。鼓励流通企业采购和销售绿色产品，落实流通领域节能环保技术产品推广目录，开发绿色包装材料，建立绿色物流体系。高标准建设静脉产业园，统筹推进生物质发电。深化绿色生活创建活动，加大绿色采购力度，健全绿色收费价格机制，推动全社会形成简约适度、绿色低碳新风尚。</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增强交通安全应急能力。</w:t>
      </w:r>
      <w:r>
        <w:rPr>
          <w:rFonts w:hint="default" w:ascii="Times New Roman" w:hAnsi="Times New Roman" w:eastAsia="仿宋" w:cs="Times New Roman"/>
          <w:bCs/>
          <w:color w:val="auto"/>
          <w:sz w:val="32"/>
          <w:szCs w:val="32"/>
        </w:rPr>
        <w:t>加强沿淮流域防汛抗灾工作力度，建立健全内河航运应急救助指挥体系，完善水上交通安全监管与救助系统布局规划建设，扎实做好防汛备汛工作。开展“平安交通”建设，加强防灾备灾体系建设，大力推进公路安全提升工程、灾害防治工程建设。坚决遏制车辆超限超载运输，加强对网约车、道路客运、危险货物运输等安全管控，完善联合执法、风险分级管控体系。加强新型材料及建造技术研发，提高基础设施使用寿命和抗灾能力。拓展区域性公路交通应急装备物资储备和救援中心功能，完善市域公路交通应急物资储备体系与调运制度。建立健全的跨方式、跨部门综合交通预警、应急协调机制，构建综合交通应急预案体系，提升铁路、公路、水路、邮政等不同运输方式间联防、联控和联动能力。</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ind w:firstLine="640" w:firstLineChars="200"/>
        <w:textAlignment w:val="auto"/>
        <w:rPr>
          <w:rFonts w:hint="default" w:ascii="Times New Roman" w:hAnsi="Times New Roman" w:eastAsia="仿宋" w:cs="Times New Roman"/>
          <w:bCs/>
          <w:color w:val="auto"/>
          <w:sz w:val="32"/>
          <w:szCs w:val="32"/>
        </w:rPr>
      </w:pPr>
      <w:r>
        <w:rPr>
          <w:rFonts w:hint="default" w:ascii="Times New Roman" w:hAnsi="Times New Roman" w:eastAsia="楷体" w:cs="Times New Roman"/>
          <w:color w:val="auto"/>
          <w:sz w:val="32"/>
          <w:szCs w:val="32"/>
        </w:rPr>
        <w:t>统筹提升城市本质安全。</w:t>
      </w:r>
      <w:r>
        <w:rPr>
          <w:rFonts w:hint="default" w:ascii="Times New Roman" w:hAnsi="Times New Roman" w:eastAsia="仿宋" w:cs="Times New Roman"/>
          <w:bCs/>
          <w:color w:val="auto"/>
          <w:sz w:val="32"/>
          <w:szCs w:val="32"/>
        </w:rPr>
        <w:t>强化国家政治安全意识，全面加强网络安全，坚决维护国家主权、安全和发展利益。全力保障经济安全，完善党政主要领导财政金融风险处置工作机制，持续开展打击非法集资、金融诈骗等专项行动，突出抓好经营性、流动性和传导性金融风险防控，进一步规范政府性债务管理，确保不发生重大金融风险和债务风险。全面加强公共安全，落实最严格的安全生产责任制，夯实安全生产基层基础，深入开展安全生产专项整治三年行动，持续深化生命防护工程，“十四五”时期实施安保工程2000公里，改造危桥2万延米，坚决遏制重特大安全事故发生。坚持人民至上、生命至上，毫不放松抓好常态化疫情防控，建设公共卫生战略物资生产储备基地，增强公共卫生应急处置能力。充分吸取郑州7.20事故教训，完善公路、场站等交通基础设施防洪排涝标准，提高交通运输行业公共服务基础设施设备抗灾设防标准，结合行业特点推进各级各类演练，制定有针地性的、超前性的整改措施和应急预案，实现交通运输基础设施设备防灾减灾能力同“美好生活看信阳”经济社会发展思路相适应。</w:t>
      </w:r>
    </w:p>
    <w:p>
      <w:pPr>
        <w:pStyle w:val="5"/>
        <w:keepNext w:val="0"/>
        <w:keepLines w:val="0"/>
        <w:pageBreakBefore w:val="0"/>
        <w:widowControl w:val="0"/>
        <w:kinsoku/>
        <w:wordWrap/>
        <w:topLinePunct w:val="0"/>
        <w:autoSpaceDE/>
        <w:autoSpaceDN/>
        <w:bidi w:val="0"/>
        <w:adjustRightInd/>
        <w:snapToGrid/>
        <w:spacing w:beforeLines="0" w:line="580" w:lineRule="exact"/>
        <w:ind w:firstLine="643"/>
        <w:textAlignment w:val="auto"/>
        <w:rPr>
          <w:rFonts w:hint="default" w:ascii="黑体" w:hAnsi="黑体" w:eastAsia="黑体" w:cs="黑体"/>
          <w:b w:val="0"/>
          <w:bCs/>
          <w:color w:val="auto"/>
        </w:rPr>
      </w:pPr>
      <w:r>
        <w:rPr>
          <w:rFonts w:hint="default" w:ascii="黑体" w:hAnsi="黑体" w:eastAsia="黑体" w:cs="黑体"/>
          <w:b w:val="0"/>
          <w:bCs/>
          <w:color w:val="auto"/>
        </w:rPr>
        <w:t>三、完善融合发展体制机制</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cs="Times New Roman"/>
          <w:color w:val="auto"/>
          <w:kern w:val="0"/>
        </w:rPr>
        <w:t>以促进交通、物流与经济社会融合发展为主线，深化重点领域改革，在综合治理、要素统筹、综合开发、扩大开放、投融资、人才保障等领域，探索推动一批体制机制改革和政策创新，强化优势转化保障。</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color w:val="auto"/>
          <w:kern w:val="0"/>
        </w:rPr>
        <w:t>深化交通行业体制改革。</w:t>
      </w:r>
      <w:r>
        <w:rPr>
          <w:rFonts w:hint="default" w:ascii="Times New Roman" w:hAnsi="Times New Roman" w:cs="Times New Roman"/>
          <w:color w:val="auto"/>
          <w:kern w:val="0"/>
        </w:rPr>
        <w:t>健全跨方式、跨区域、跨部门综合交通运输协调机制，推进网上办理和窗口集中办理，精简交通运输行政审批环节，优化审批流程。按照“权责统一、分级管理、分级负责、强化监管”的思路，推动交通基础设施发展从“重建设轻运营”向规划、设计、建设、运营、监管、开发等全生命周期转变，强化常态化预防性养护，深化农村公路管理养护体制改革，大力推行路长制，构建农村公路治理新机制。推进要素配置市场化改革，完善市场准入制度和标准，推动劳动力、资本、技术等要素跨区域自由流动和优化配置。</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color w:val="auto"/>
          <w:kern w:val="0"/>
        </w:rPr>
        <w:t>打造枢纽经济支撑体系。</w:t>
      </w:r>
      <w:r>
        <w:rPr>
          <w:rFonts w:hint="default" w:ascii="Times New Roman" w:hAnsi="Times New Roman" w:cs="Times New Roman"/>
          <w:color w:val="auto"/>
          <w:kern w:val="0"/>
        </w:rPr>
        <w:t>研究成立信阳枢纽经济高质量发展领导小组，由市主要领导任组长，发改、交通、财政、工信、商务、海关等部门作为成员单位，统筹协调交通运输体系及枢纽经济发展的重大问题、重大政策，建立健全相应的工作机构和推进机制，联合周边城市，建立推动枢纽经济协同发展区发展的工作机制。支持各县优先安排枢纽经济重点产业项目用地，采用多种形式盘活存量土地资源，鼓励用地立体集约开发，持续优化枢纽经济区营商环境。</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r>
        <w:rPr>
          <w:rFonts w:hint="default" w:ascii="Times New Roman" w:hAnsi="Times New Roman" w:eastAsia="楷体" w:cs="Times New Roman"/>
          <w:color w:val="auto"/>
          <w:kern w:val="0"/>
        </w:rPr>
        <w:t>创新融合发展融资模式。</w:t>
      </w:r>
      <w:r>
        <w:rPr>
          <w:rFonts w:hint="default" w:ascii="Times New Roman" w:hAnsi="Times New Roman" w:cs="Times New Roman"/>
          <w:color w:val="auto"/>
          <w:kern w:val="0"/>
        </w:rPr>
        <w:t>建立以公共财政为基础、市县两级政府责任清晰、财力与事权相匹配的普通公路投融资长效机制，实现由部门责任向政府责任、由行业行为向社会行为的转变。完善社会资本参与交通建设机制，引导和鼓励社会资本参与铁路、交通物流枢纽及综合开发、枢纽经济承载平台等项目投资、建设、运营和开发。建立地方政府举债融资机制，防范和化解交通运输政府性债务风险。探索普通公路与产业、园区、乡村旅游等捆绑招标新模式，试行一体化开发，实现相互促进、互利共赢。</w:t>
      </w:r>
    </w:p>
    <w:p>
      <w:pPr>
        <w:widowControl/>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eastAsia="仿宋" w:cs="Times New Roman"/>
          <w:color w:val="auto"/>
          <w:sz w:val="32"/>
          <w:szCs w:val="32"/>
        </w:rPr>
      </w:pPr>
      <w:r>
        <w:rPr>
          <w:rFonts w:hint="default" w:ascii="Times New Roman" w:hAnsi="Times New Roman" w:cs="Times New Roman"/>
          <w:color w:val="auto"/>
        </w:rPr>
        <w:br w:type="page"/>
      </w:r>
    </w:p>
    <w:p>
      <w:pPr>
        <w:keepNext w:val="0"/>
        <w:keepLines w:val="0"/>
        <w:pageBreakBefore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bookmarkStart w:id="57" w:name="_Toc83289012"/>
      <w:bookmarkStart w:id="58" w:name="_Toc98767275"/>
      <w:r>
        <w:rPr>
          <w:rFonts w:hint="default" w:ascii="Times New Roman" w:hAnsi="Times New Roman" w:eastAsia="黑体" w:cs="Times New Roman"/>
          <w:color w:val="auto"/>
          <w:sz w:val="32"/>
          <w:szCs w:val="32"/>
        </w:rPr>
        <w:t>第五章  环境影响评价</w:t>
      </w:r>
      <w:bookmarkEnd w:id="57"/>
      <w:bookmarkEnd w:id="58"/>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59" w:name="_Toc98767276"/>
      <w:bookmarkStart w:id="60" w:name="_Toc83289014"/>
      <w:bookmarkStart w:id="61" w:name="_Toc75425013"/>
      <w:r>
        <w:rPr>
          <w:rFonts w:hint="default" w:ascii="Times New Roman" w:hAnsi="Times New Roman" w:eastAsia="楷体" w:cs="Times New Roman"/>
          <w:b/>
          <w:color w:val="auto"/>
          <w:kern w:val="2"/>
          <w:sz w:val="32"/>
          <w:szCs w:val="32"/>
        </w:rPr>
        <w:t>第一节  规划实施环境影响分析</w:t>
      </w:r>
      <w:bookmarkEnd w:id="59"/>
      <w:bookmarkEnd w:id="60"/>
      <w:bookmarkEnd w:id="61"/>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规划实施后，绿色交通发展水平将持续提升，新能源车辆占比进一步提高，综合运输结构得到优化，大宗货物“公转铁”“公转水”持续推进，绿色交通出行比例有所提高，交通运输综合能耗下降，碳氢化合物、氮氧化合物、一氧化碳、二氧化硫等排放量相应减少，交通运输对空气质量的影响降低，空气质量得到改善。但随着经济社会的发展，危化品运输需求进一步增大，交通基础设施建设会消耗土地、能源、工程物资等资源，部分交通线路毗邻自然保护区、水源地等生态敏感区，可能增加环境风险事故，改变局部区域生态环境、水文气候，阻碍动物迁徙活动，对生物多样性、生态系统稳定性造成一定的影响。</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62" w:name="_Toc75425014"/>
      <w:bookmarkStart w:id="63" w:name="_Toc83289015"/>
      <w:bookmarkStart w:id="64" w:name="_Toc98767277"/>
      <w:r>
        <w:rPr>
          <w:rFonts w:hint="default" w:ascii="Times New Roman" w:hAnsi="Times New Roman" w:eastAsia="楷体" w:cs="Times New Roman"/>
          <w:b/>
          <w:color w:val="auto"/>
          <w:kern w:val="2"/>
          <w:sz w:val="32"/>
          <w:szCs w:val="32"/>
        </w:rPr>
        <w:t>第二节  规划实施环境</w:t>
      </w:r>
      <w:bookmarkEnd w:id="62"/>
      <w:bookmarkEnd w:id="63"/>
      <w:r>
        <w:rPr>
          <w:rFonts w:hint="default" w:ascii="Times New Roman" w:hAnsi="Times New Roman" w:eastAsia="楷体" w:cs="Times New Roman"/>
          <w:b/>
          <w:color w:val="auto"/>
          <w:kern w:val="2"/>
          <w:sz w:val="32"/>
          <w:szCs w:val="32"/>
        </w:rPr>
        <w:t>影响评价</w:t>
      </w:r>
      <w:bookmarkEnd w:id="64"/>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本规划与国家、河南省、信阳市相关政策和发展战略规划保持一致，与《淮河生态经济带发展规划》《大别山革命老区振兴发展规划》《大别山革命老区综合交通运输“十四五”发展规划》《信阳市城市总体规划（2015-2030年）》《信阳市国民经济和社会发展第十四个五年规划纲要》等有效衔接，不存在重大矛盾。规划坚持绿色发展理念，以建成资源节约型、环境友好型行业为目标，强化节能减排、环境保护和资源节约集约利用，加大清洁能源、新能源载运工具推广应用。规划线路、场站和枢纽经济区在各运输方式、相关产业等专项规划中均会进行环境影响评价，对气环境、声环境、水环境及振动环境的影响均在可控范围之内，可满足规划环境影响评价技术要求。</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65" w:name="_Toc98767278"/>
      <w:bookmarkStart w:id="66" w:name="_Toc83289016"/>
      <w:bookmarkStart w:id="67" w:name="_Toc75425015"/>
      <w:r>
        <w:rPr>
          <w:rFonts w:hint="default" w:ascii="Times New Roman" w:hAnsi="Times New Roman" w:eastAsia="楷体" w:cs="Times New Roman"/>
          <w:b/>
          <w:color w:val="auto"/>
          <w:kern w:val="2"/>
          <w:sz w:val="32"/>
          <w:szCs w:val="32"/>
        </w:rPr>
        <w:t>第三节  环境保护措施</w:t>
      </w:r>
      <w:bookmarkEnd w:id="65"/>
      <w:bookmarkEnd w:id="66"/>
      <w:bookmarkEnd w:id="67"/>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优化交通线路走向，尽量利用既有交通廊道，禁止穿越自然保护区等核心区，避绕环境敏感点、人口聚集地等区域，最大限度降低交通项目可能带来的环境影响。实施交通及枢纽经济区建设项目全周期环境保护，加强建设项目节能、节地设计，合理安排工期、工序，大力推广环保新技术、新工艺，促进污水、废气和固体废弃物循环使用和综合利用；加强施工标准化建设，全力推进交通建设项目扬尘综合治理工作；开展环境恢复和污染治理，做好地形、地貌、生态环境恢复和土地复垦工作。加强环境风险事故防控，按照相关要求加强危险品运输管制，在淮河流域、南湾湖风景区、出山店水库等环境敏感区设立警示牌，降低交通运输环境危险事故发生概率；建立环境风险事故应急预案，提升对环境风险事故控制能力。加强跨越及邻近淮河干支流、水源保护区等敏感水体的桥面径流收集与处置、危化品车辆通行管理和环境风险防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topLinePunct w:val="0"/>
        <w:autoSpaceDE/>
        <w:autoSpaceDN/>
        <w:bidi w:val="0"/>
        <w:adjustRightInd/>
        <w:snapToGrid/>
        <w:spacing w:line="580" w:lineRule="exact"/>
        <w:jc w:val="left"/>
        <w:textAlignment w:val="auto"/>
        <w:rPr>
          <w:rFonts w:hint="default" w:ascii="Times New Roman" w:hAnsi="Times New Roman" w:eastAsia="黑体" w:cs="Times New Roman"/>
          <w:color w:val="auto"/>
          <w:sz w:val="32"/>
          <w:szCs w:val="32"/>
        </w:rPr>
      </w:pPr>
      <w:bookmarkStart w:id="68" w:name="_Toc75425016"/>
      <w:bookmarkStart w:id="69" w:name="_Toc38744404"/>
      <w:r>
        <w:rPr>
          <w:rFonts w:hint="default" w:ascii="Times New Roman" w:hAnsi="Times New Roman" w:eastAsia="黑体" w:cs="Times New Roman"/>
          <w:color w:val="auto"/>
          <w:sz w:val="32"/>
          <w:szCs w:val="32"/>
        </w:rPr>
        <w:br w:type="page"/>
      </w:r>
    </w:p>
    <w:p>
      <w:pPr>
        <w:keepNext w:val="0"/>
        <w:keepLines w:val="0"/>
        <w:pageBreakBefore w:val="0"/>
        <w:kinsoku/>
        <w:wordWrap/>
        <w:overflowPunct w:val="0"/>
        <w:topLinePunct w:val="0"/>
        <w:autoSpaceDE/>
        <w:autoSpaceDN/>
        <w:bidi w:val="0"/>
        <w:adjustRightInd/>
        <w:snapToGrid/>
        <w:spacing w:line="580" w:lineRule="exact"/>
        <w:jc w:val="center"/>
        <w:textAlignment w:val="auto"/>
        <w:outlineLvl w:val="0"/>
        <w:rPr>
          <w:rFonts w:hint="default" w:ascii="Times New Roman" w:hAnsi="Times New Roman" w:eastAsia="黑体" w:cs="Times New Roman"/>
          <w:color w:val="auto"/>
          <w:sz w:val="32"/>
          <w:szCs w:val="32"/>
        </w:rPr>
      </w:pPr>
      <w:bookmarkStart w:id="70" w:name="_Toc98767279"/>
      <w:r>
        <w:rPr>
          <w:rFonts w:hint="default" w:ascii="Times New Roman" w:hAnsi="Times New Roman" w:eastAsia="黑体" w:cs="Times New Roman"/>
          <w:color w:val="auto"/>
          <w:sz w:val="32"/>
          <w:szCs w:val="32"/>
        </w:rPr>
        <w:t>第六章  保障措施</w:t>
      </w:r>
      <w:bookmarkEnd w:id="68"/>
      <w:bookmarkEnd w:id="69"/>
      <w:bookmarkEnd w:id="70"/>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71" w:name="_Toc409446955"/>
      <w:bookmarkEnd w:id="71"/>
      <w:bookmarkStart w:id="72" w:name="_Toc409686841"/>
      <w:bookmarkEnd w:id="72"/>
      <w:bookmarkStart w:id="73" w:name="_Toc38744405"/>
      <w:bookmarkStart w:id="74" w:name="_Toc12179639"/>
      <w:bookmarkStart w:id="75" w:name="_Toc75425017"/>
      <w:bookmarkStart w:id="76" w:name="_Toc98767280"/>
      <w:bookmarkStart w:id="77" w:name="_Toc409446952"/>
      <w:bookmarkStart w:id="78" w:name="_Toc409686837"/>
      <w:bookmarkStart w:id="79" w:name="_Toc38744408"/>
      <w:r>
        <w:rPr>
          <w:rFonts w:hint="default" w:ascii="Times New Roman" w:hAnsi="Times New Roman" w:eastAsia="楷体" w:cs="Times New Roman"/>
          <w:b/>
          <w:color w:val="auto"/>
          <w:kern w:val="2"/>
          <w:sz w:val="32"/>
          <w:szCs w:val="32"/>
        </w:rPr>
        <w:t>第一节  切实加强组织领导</w:t>
      </w:r>
      <w:bookmarkEnd w:id="73"/>
      <w:bookmarkEnd w:id="74"/>
      <w:bookmarkEnd w:id="75"/>
      <w:bookmarkEnd w:id="76"/>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健全大别山革命老区、枢纽经济协同发展区等跨区域、跨部门协同工作机制，建立推动枢纽经济高质量发展协调机制。成立信阳市枢纽经济发展推进工作小组，负责枢纽经济发展的重大项目推进、公共服务平台构建和主导产业引进培育。市政府出台促进信阳市枢纽经济发展的实施意见，各部门制定具体的服务措施，共同促进信阳枢纽经济发展。</w:t>
      </w:r>
    </w:p>
    <w:bookmarkEnd w:id="77"/>
    <w:bookmarkEnd w:id="78"/>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80" w:name="_Toc75425018"/>
      <w:bookmarkStart w:id="81" w:name="_Toc98767281"/>
      <w:bookmarkStart w:id="82" w:name="_Toc38744406"/>
      <w:r>
        <w:rPr>
          <w:rFonts w:hint="default" w:ascii="Times New Roman" w:hAnsi="Times New Roman" w:eastAsia="楷体" w:cs="Times New Roman"/>
          <w:b/>
          <w:color w:val="auto"/>
          <w:kern w:val="2"/>
          <w:sz w:val="32"/>
          <w:szCs w:val="32"/>
        </w:rPr>
        <w:t>第二节  强化要素支撑保障</w:t>
      </w:r>
      <w:bookmarkEnd w:id="80"/>
      <w:bookmarkEnd w:id="81"/>
      <w:bookmarkEnd w:id="82"/>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spacing w:val="-6"/>
        </w:rPr>
      </w:pPr>
      <w:r>
        <w:rPr>
          <w:rFonts w:hint="default" w:ascii="Times New Roman" w:hAnsi="Times New Roman" w:cs="Times New Roman"/>
          <w:bCs/>
          <w:color w:val="auto"/>
          <w:spacing w:val="-6"/>
        </w:rPr>
        <w:t>加强对交通基础设施、枢纽经济区建设政策支持，做好与全市经济社会发展规划、国土空间规划等衔接，在政务服务创新、政策支持、土地保障等方面给予倾斜。对枢纽经济区内符合国土空间总体规划的项目用地，优先安排用地计划。加大全市枢纽经济相关产业资金整合力度，探索建立枢纽经济产业投资基金，引导金融机构加强融资支持，大力吸引社会资本参与。</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jc w:val="center"/>
        <w:textAlignment w:val="auto"/>
        <w:outlineLvl w:val="1"/>
        <w:rPr>
          <w:rFonts w:hint="default" w:ascii="Times New Roman" w:hAnsi="Times New Roman" w:eastAsia="楷体" w:cs="Times New Roman"/>
          <w:b/>
          <w:color w:val="auto"/>
          <w:kern w:val="2"/>
          <w:sz w:val="32"/>
          <w:szCs w:val="32"/>
        </w:rPr>
      </w:pPr>
      <w:bookmarkStart w:id="83" w:name="_Toc409686840"/>
      <w:bookmarkEnd w:id="83"/>
      <w:bookmarkStart w:id="84" w:name="_Toc75425019"/>
      <w:bookmarkStart w:id="85" w:name="_Toc38744407"/>
      <w:bookmarkStart w:id="86" w:name="_Toc98767282"/>
      <w:r>
        <w:rPr>
          <w:rFonts w:hint="default" w:ascii="Times New Roman" w:hAnsi="Times New Roman" w:eastAsia="楷体" w:cs="Times New Roman"/>
          <w:b/>
          <w:color w:val="auto"/>
          <w:kern w:val="2"/>
          <w:sz w:val="32"/>
          <w:szCs w:val="32"/>
        </w:rPr>
        <w:t xml:space="preserve">第三节  </w:t>
      </w:r>
      <w:bookmarkEnd w:id="84"/>
      <w:bookmarkEnd w:id="85"/>
      <w:r>
        <w:rPr>
          <w:rFonts w:hint="default" w:ascii="Times New Roman" w:hAnsi="Times New Roman" w:eastAsia="楷体" w:cs="Times New Roman"/>
          <w:b/>
          <w:color w:val="auto"/>
          <w:kern w:val="2"/>
          <w:sz w:val="32"/>
          <w:szCs w:val="32"/>
        </w:rPr>
        <w:t>加大引才用才力度</w:t>
      </w:r>
      <w:bookmarkEnd w:id="86"/>
    </w:p>
    <w:p>
      <w:pPr>
        <w:pStyle w:val="68"/>
        <w:keepNext w:val="0"/>
        <w:keepLines w:val="0"/>
        <w:pageBreakBefore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充分发挥信阳科教资源优势，支持有条件的企业与高校、科研院所建立实训基地，开展技能型人才再培育、再教育。加大海外柔性引才用才力度，鼓励枢纽企业在信阳建设“人才飞地”，加大对产业紧缺的高端人才奖补力度，探索以薪资待遇、股权分红、任职经历等社会化评价体系作为人才认定的重要标准。对符合主导产业方向的重点企业，根据经济贡献赋予人才举荐权，重点人才团队成员可破格享受相关人才服务政策。</w:t>
      </w:r>
      <w:bookmarkEnd w:id="79"/>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val="0"/>
        <w:topLinePunct w:val="0"/>
        <w:autoSpaceDE/>
        <w:autoSpaceDN/>
        <w:bidi w:val="0"/>
        <w:adjustRightInd/>
        <w:snapToGrid/>
        <w:spacing w:line="580" w:lineRule="exact"/>
        <w:ind w:firstLine="643"/>
        <w:jc w:val="center"/>
        <w:textAlignment w:val="auto"/>
        <w:outlineLvl w:val="1"/>
        <w:rPr>
          <w:rFonts w:hint="default" w:ascii="Times New Roman" w:hAnsi="Times New Roman" w:eastAsia="楷体" w:cs="Times New Roman"/>
          <w:b/>
          <w:color w:val="auto"/>
          <w:kern w:val="2"/>
          <w:sz w:val="32"/>
          <w:szCs w:val="32"/>
        </w:rPr>
      </w:pPr>
      <w:bookmarkStart w:id="87" w:name="_Toc98767283"/>
      <w:r>
        <w:rPr>
          <w:rFonts w:hint="default" w:ascii="Times New Roman" w:hAnsi="Times New Roman" w:eastAsia="楷体" w:cs="Times New Roman"/>
          <w:b/>
          <w:color w:val="auto"/>
          <w:kern w:val="2"/>
          <w:sz w:val="32"/>
          <w:szCs w:val="32"/>
        </w:rPr>
        <w:t>第四节  推进市场环境优化</w:t>
      </w:r>
      <w:bookmarkEnd w:id="87"/>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bCs/>
          <w:color w:val="auto"/>
        </w:rPr>
      </w:pPr>
      <w:r>
        <w:rPr>
          <w:rFonts w:hint="default" w:ascii="Times New Roman" w:hAnsi="Times New Roman" w:cs="Times New Roman"/>
          <w:bCs/>
          <w:color w:val="auto"/>
        </w:rPr>
        <w:t>继续深化“放管服”改革，不断简化审批流程，提高审批效率，全面落实市场准入、外资准入负面清单管理制度，降低市场准入门槛。在国家减税减费政策基础上，继续压缩铁路、机场、港口等收费服务项目，放大政策红利，建立常态化政企沟通联系机制，落实兑现惠企政策，努力营造公平、竞争、诚信的市场环境，充分调动各类市场要素积极性，提升现代综合交通运输体系和枢纽经济发展活力。</w:t>
      </w: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textAlignment w:val="auto"/>
        <w:rPr>
          <w:rFonts w:hint="default" w:ascii="Times New Roman" w:hAnsi="Times New Roman" w:cs="Times New Roman"/>
          <w:color w:val="auto"/>
          <w:kern w:val="0"/>
        </w:rPr>
      </w:pPr>
    </w:p>
    <w:p>
      <w:pPr>
        <w:pStyle w:val="68"/>
        <w:keepNext w:val="0"/>
        <w:keepLines w:val="0"/>
        <w:pageBreakBefore w:val="0"/>
        <w:widowControl w:val="0"/>
        <w:kinsoku/>
        <w:wordWrap/>
        <w:overflowPunct w:val="0"/>
        <w:topLinePunct w:val="0"/>
        <w:autoSpaceDE/>
        <w:autoSpaceDN/>
        <w:bidi w:val="0"/>
        <w:adjustRightInd/>
        <w:snapToGrid/>
        <w:spacing w:line="580" w:lineRule="exact"/>
        <w:ind w:firstLine="640" w:firstLineChars="200"/>
        <w:textAlignment w:val="auto"/>
        <w:rPr>
          <w:rFonts w:hint="default" w:ascii="Times New Roman" w:hAnsi="Times New Roman" w:cs="Times New Roman"/>
          <w:color w:val="auto"/>
        </w:rPr>
      </w:pPr>
      <w:r>
        <w:rPr>
          <w:rFonts w:hint="default" w:ascii="Times New Roman" w:hAnsi="Times New Roman" w:cs="Times New Roman"/>
          <w:bCs/>
          <w:color w:val="auto"/>
        </w:rPr>
        <w:t>附图：</w:t>
      </w:r>
      <w:r>
        <w:rPr>
          <w:rFonts w:hint="default" w:ascii="Times New Roman" w:hAnsi="Times New Roman" w:cs="Times New Roman"/>
          <w:color w:val="auto"/>
        </w:rPr>
        <w:t>1. 信阳市枢纽经济发展空间格局示意图</w:t>
      </w:r>
    </w:p>
    <w:p>
      <w:pPr>
        <w:pStyle w:val="68"/>
        <w:keepNext w:val="0"/>
        <w:keepLines w:val="0"/>
        <w:pageBreakBefore w:val="0"/>
        <w:widowControl w:val="0"/>
        <w:kinsoku/>
        <w:wordWrap/>
        <w:overflowPunct w:val="0"/>
        <w:topLinePunct w:val="0"/>
        <w:autoSpaceDE/>
        <w:autoSpaceDN/>
        <w:bidi w:val="0"/>
        <w:adjustRightInd/>
        <w:snapToGrid/>
        <w:spacing w:line="580" w:lineRule="exact"/>
        <w:ind w:left="0" w:leftChars="0" w:firstLine="1558" w:firstLineChars="487"/>
        <w:textAlignment w:val="auto"/>
        <w:rPr>
          <w:rFonts w:hint="default" w:ascii="Times New Roman" w:hAnsi="Times New Roman" w:cs="Times New Roman"/>
          <w:color w:val="auto"/>
        </w:rPr>
      </w:pPr>
      <w:r>
        <w:rPr>
          <w:rFonts w:hint="default" w:ascii="Times New Roman" w:hAnsi="Times New Roman" w:cs="Times New Roman"/>
          <w:color w:val="auto"/>
        </w:rPr>
        <w:t>2. 信阳市综合交通运输通道布局示意图</w:t>
      </w:r>
    </w:p>
    <w:p>
      <w:pPr>
        <w:pStyle w:val="68"/>
        <w:keepNext w:val="0"/>
        <w:keepLines w:val="0"/>
        <w:pageBreakBefore w:val="0"/>
        <w:widowControl w:val="0"/>
        <w:kinsoku/>
        <w:wordWrap/>
        <w:overflowPunct w:val="0"/>
        <w:topLinePunct w:val="0"/>
        <w:autoSpaceDE/>
        <w:autoSpaceDN/>
        <w:bidi w:val="0"/>
        <w:adjustRightInd/>
        <w:snapToGrid/>
        <w:spacing w:line="580" w:lineRule="exact"/>
        <w:ind w:left="0" w:leftChars="0" w:firstLine="1558" w:firstLineChars="487"/>
        <w:textAlignment w:val="auto"/>
        <w:rPr>
          <w:rFonts w:hint="default" w:ascii="Times New Roman" w:hAnsi="Times New Roman" w:cs="Times New Roman"/>
          <w:color w:val="auto"/>
        </w:rPr>
      </w:pPr>
      <w:r>
        <w:rPr>
          <w:rFonts w:hint="default" w:ascii="Times New Roman" w:hAnsi="Times New Roman" w:cs="Times New Roman"/>
          <w:color w:val="auto"/>
        </w:rPr>
        <w:t>3. 信阳市综合交通枢纽经济区布局示意图</w:t>
      </w:r>
    </w:p>
    <w:p>
      <w:pPr>
        <w:pStyle w:val="68"/>
        <w:overflowPunct w:val="0"/>
        <w:spacing w:line="360" w:lineRule="auto"/>
        <w:ind w:firstLine="640"/>
        <w:rPr>
          <w:rFonts w:hint="default" w:ascii="Times New Roman" w:hAnsi="Times New Roman" w:cs="Times New Roman"/>
          <w:color w:val="auto"/>
        </w:rPr>
      </w:pPr>
    </w:p>
    <w:p>
      <w:pPr>
        <w:pStyle w:val="68"/>
        <w:overflowPunct w:val="0"/>
        <w:spacing w:line="360" w:lineRule="auto"/>
        <w:ind w:firstLine="640"/>
        <w:rPr>
          <w:rFonts w:hint="default" w:ascii="Times New Roman" w:hAnsi="Times New Roman" w:cs="Times New Roman"/>
          <w:bCs/>
          <w:color w:val="auto"/>
        </w:rPr>
        <w:sectPr>
          <w:footerReference r:id="rId3" w:type="default"/>
          <w:pgSz w:w="11906" w:h="16838"/>
          <w:pgMar w:top="2098" w:right="1531" w:bottom="1814" w:left="1531" w:header="851" w:footer="1247" w:gutter="0"/>
          <w:pgNumType w:fmt="decimal" w:start="1"/>
          <w:cols w:space="720" w:num="1"/>
          <w:docGrid w:linePitch="360" w:charSpace="0"/>
        </w:sectPr>
      </w:pPr>
    </w:p>
    <w:p>
      <w:pPr>
        <w:pStyle w:val="68"/>
        <w:overflowPunct w:val="0"/>
        <w:spacing w:line="360" w:lineRule="auto"/>
        <w:ind w:firstLine="0" w:firstLineChars="0"/>
        <w:jc w:val="center"/>
        <w:rPr>
          <w:rFonts w:hint="default" w:ascii="Times New Roman" w:hAnsi="Times New Roman" w:cs="Times New Roman"/>
          <w:bCs/>
          <w:color w:val="auto"/>
        </w:rPr>
      </w:pPr>
      <w:r>
        <w:rPr>
          <w:rFonts w:hint="default" w:ascii="Times New Roman" w:hAnsi="Times New Roman" w:cs="Times New Roman"/>
          <w:bCs/>
          <w:color w:val="auto"/>
        </w:rPr>
        <w:drawing>
          <wp:inline distT="0" distB="0" distL="114300" distR="114300">
            <wp:extent cx="7447915" cy="5269865"/>
            <wp:effectExtent l="0" t="0" r="19685" b="1333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7447915" cy="5269865"/>
                    </a:xfrm>
                    <a:prstGeom prst="rect">
                      <a:avLst/>
                    </a:prstGeom>
                    <a:noFill/>
                    <a:ln>
                      <a:noFill/>
                    </a:ln>
                  </pic:spPr>
                </pic:pic>
              </a:graphicData>
            </a:graphic>
          </wp:inline>
        </w:drawing>
      </w:r>
    </w:p>
    <w:p>
      <w:pPr>
        <w:pStyle w:val="68"/>
        <w:overflowPunct w:val="0"/>
        <w:spacing w:line="360" w:lineRule="auto"/>
        <w:ind w:firstLine="0" w:firstLineChars="0"/>
        <w:jc w:val="center"/>
        <w:rPr>
          <w:rFonts w:hint="default" w:ascii="Times New Roman" w:hAnsi="Times New Roman" w:cs="Times New Roman"/>
          <w:bCs/>
          <w:color w:val="auto"/>
        </w:rPr>
      </w:pPr>
      <w:r>
        <w:rPr>
          <w:rFonts w:hint="default" w:ascii="Times New Roman" w:hAnsi="Times New Roman" w:cs="Times New Roman"/>
          <w:bCs/>
          <w:color w:val="auto"/>
        </w:rPr>
        <w:drawing>
          <wp:inline distT="0" distB="0" distL="114300" distR="114300">
            <wp:extent cx="7447915" cy="5269865"/>
            <wp:effectExtent l="0" t="0" r="19685" b="133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8"/>
                    <a:stretch>
                      <a:fillRect/>
                    </a:stretch>
                  </pic:blipFill>
                  <pic:spPr>
                    <a:xfrm>
                      <a:off x="0" y="0"/>
                      <a:ext cx="7447915" cy="5269865"/>
                    </a:xfrm>
                    <a:prstGeom prst="rect">
                      <a:avLst/>
                    </a:prstGeom>
                    <a:noFill/>
                    <a:ln>
                      <a:noFill/>
                    </a:ln>
                  </pic:spPr>
                </pic:pic>
              </a:graphicData>
            </a:graphic>
          </wp:inline>
        </w:drawing>
      </w:r>
    </w:p>
    <w:p>
      <w:pPr>
        <w:pStyle w:val="68"/>
        <w:overflowPunct w:val="0"/>
        <w:spacing w:line="360" w:lineRule="auto"/>
        <w:ind w:firstLine="0" w:firstLineChars="0"/>
        <w:jc w:val="center"/>
        <w:rPr>
          <w:rFonts w:hint="default" w:ascii="Times New Roman" w:hAnsi="Times New Roman" w:cs="Times New Roman"/>
          <w:bCs/>
          <w:color w:val="auto"/>
        </w:rPr>
        <w:sectPr>
          <w:headerReference r:id="rId4" w:type="default"/>
          <w:footerReference r:id="rId5" w:type="default"/>
          <w:pgSz w:w="16838" w:h="11906" w:orient="landscape"/>
          <w:pgMar w:top="1800" w:right="1440" w:bottom="1800" w:left="1440" w:header="851" w:footer="992" w:gutter="0"/>
          <w:pgNumType w:fmt="decimal"/>
          <w:cols w:space="720" w:num="1"/>
          <w:docGrid w:linePitch="360" w:charSpace="0"/>
        </w:sectPr>
      </w:pPr>
      <w:r>
        <w:rPr>
          <w:rFonts w:hint="default" w:ascii="Times New Roman" w:hAnsi="Times New Roman" w:cs="Times New Roman"/>
          <w:bCs/>
          <w:color w:val="auto"/>
        </w:rPr>
        <w:drawing>
          <wp:inline distT="0" distB="0" distL="114300" distR="114300">
            <wp:extent cx="7447915" cy="5269865"/>
            <wp:effectExtent l="0" t="0" r="19685" b="1333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
                    <a:stretch>
                      <a:fillRect/>
                    </a:stretch>
                  </pic:blipFill>
                  <pic:spPr>
                    <a:xfrm>
                      <a:off x="0" y="0"/>
                      <a:ext cx="7447915" cy="5269865"/>
                    </a:xfrm>
                    <a:prstGeom prst="rect">
                      <a:avLst/>
                    </a:prstGeom>
                    <a:noFill/>
                    <a:ln>
                      <a:noFill/>
                    </a:ln>
                  </pic:spPr>
                </pic:pic>
              </a:graphicData>
            </a:graphic>
          </wp:inline>
        </w:drawing>
      </w:r>
    </w:p>
    <w:p>
      <w:pPr>
        <w:pStyle w:val="68"/>
        <w:overflowPunct w:val="0"/>
        <w:spacing w:line="360" w:lineRule="auto"/>
        <w:ind w:firstLine="0" w:firstLineChars="0"/>
        <w:jc w:val="center"/>
        <w:rPr>
          <w:rFonts w:hint="default" w:ascii="Times New Roman" w:hAnsi="Times New Roman" w:cs="Times New Roman"/>
          <w:bCs/>
          <w:color w:val="auto"/>
        </w:rPr>
      </w:pPr>
    </w:p>
    <w:p>
      <w:pPr>
        <w:pStyle w:val="68"/>
        <w:overflowPunct w:val="0"/>
        <w:spacing w:line="360" w:lineRule="auto"/>
        <w:ind w:firstLine="0" w:firstLineChars="0"/>
        <w:jc w:val="center"/>
        <w:rPr>
          <w:rFonts w:hint="default" w:ascii="Times New Roman" w:hAnsi="Times New Roman" w:cs="Times New Roman"/>
          <w:bCs/>
          <w:color w:val="auto"/>
        </w:rPr>
      </w:pPr>
    </w:p>
    <w:tbl>
      <w:tblPr>
        <w:tblStyle w:val="31"/>
        <w:tblpPr w:leftFromText="180" w:rightFromText="180" w:vertAnchor="text" w:horzAnchor="page" w:tblpX="1432" w:tblpY="10971"/>
        <w:tblOverlap w:val="never"/>
        <w:tblW w:w="8786" w:type="dxa"/>
        <w:tblInd w:w="0" w:type="dxa"/>
        <w:tblLayout w:type="autofit"/>
        <w:tblCellMar>
          <w:top w:w="0" w:type="dxa"/>
          <w:left w:w="0" w:type="dxa"/>
          <w:bottom w:w="0" w:type="dxa"/>
          <w:right w:w="0" w:type="dxa"/>
        </w:tblCellMar>
      </w:tblPr>
      <w:tblGrid>
        <w:gridCol w:w="8786"/>
      </w:tblGrid>
      <w:tr>
        <w:trPr>
          <w:trHeight w:val="567" w:hRule="atLeast"/>
        </w:trPr>
        <w:tc>
          <w:tcPr>
            <w:tcW w:w="8786" w:type="dxa"/>
            <w:tcBorders>
              <w:top w:val="single" w:color="auto" w:sz="8" w:space="0"/>
              <w:left w:val="nil"/>
              <w:bottom w:val="single" w:color="auto" w:sz="8" w:space="0"/>
              <w:right w:val="nil"/>
            </w:tcBorders>
            <w:noWrap w:val="0"/>
            <w:vAlign w:val="top"/>
          </w:tcPr>
          <w:p>
            <w:pPr>
              <w:pStyle w:val="14"/>
              <w:spacing w:after="0" w:line="520" w:lineRule="exact"/>
              <w:ind w:left="0" w:leftChars="0" w:firstLine="238" w:firstLineChars="85"/>
              <w:rPr>
                <w:rFonts w:hint="default" w:ascii="Times New Roman" w:hAnsi="Times New Roman" w:eastAsia="方正仿宋_GBK" w:cs="Times New Roman"/>
                <w:snapToGrid w:val="0"/>
                <w:color w:val="000000"/>
                <w:kern w:val="21"/>
                <w:sz w:val="28"/>
                <w:szCs w:val="28"/>
              </w:rPr>
            </w:pPr>
            <w:r>
              <w:rPr>
                <w:rFonts w:hint="default" w:ascii="Times New Roman" w:hAnsi="Times New Roman" w:eastAsia="方正仿宋_GBK" w:cs="Times New Roman"/>
                <w:snapToGrid w:val="0"/>
                <w:color w:val="000000"/>
                <w:kern w:val="21"/>
                <w:sz w:val="28"/>
                <w:szCs w:val="28"/>
              </w:rPr>
              <w:t xml:space="preserve">信阳市人民政府办公室　　　　      </w:t>
            </w:r>
            <w:r>
              <w:rPr>
                <w:rFonts w:hint="eastAsia" w:ascii="Times New Roman" w:hAnsi="Times New Roman" w:eastAsia="方正仿宋_GBK" w:cs="Times New Roman"/>
                <w:snapToGrid w:val="0"/>
                <w:color w:val="000000"/>
                <w:kern w:val="21"/>
                <w:sz w:val="28"/>
                <w:szCs w:val="28"/>
                <w:lang w:val="en-US" w:eastAsia="zh-CN"/>
              </w:rPr>
              <w:t xml:space="preserve"> </w:t>
            </w:r>
            <w:r>
              <w:rPr>
                <w:rFonts w:hint="default" w:ascii="Times New Roman" w:hAnsi="Times New Roman" w:eastAsia="方正仿宋_GBK" w:cs="Times New Roman"/>
                <w:snapToGrid w:val="0"/>
                <w:color w:val="000000"/>
                <w:kern w:val="21"/>
                <w:sz w:val="28"/>
                <w:szCs w:val="28"/>
              </w:rPr>
              <w:t xml:space="preserve">    </w:t>
            </w:r>
            <w:r>
              <w:rPr>
                <w:rFonts w:hint="eastAsia" w:ascii="Times New Roman" w:hAnsi="Times New Roman" w:eastAsia="方正仿宋_GBK" w:cs="Times New Roman"/>
                <w:snapToGrid w:val="0"/>
                <w:color w:val="000000"/>
                <w:kern w:val="21"/>
                <w:sz w:val="28"/>
                <w:szCs w:val="28"/>
                <w:lang w:val="en-US" w:eastAsia="zh-CN"/>
              </w:rPr>
              <w:t xml:space="preserve">           </w:t>
            </w:r>
            <w:r>
              <w:rPr>
                <w:rFonts w:hint="default" w:ascii="Times New Roman" w:hAnsi="Times New Roman" w:eastAsia="方正仿宋_GBK" w:cs="Times New Roman"/>
                <w:snapToGrid w:val="0"/>
                <w:color w:val="000000"/>
                <w:kern w:val="21"/>
                <w:sz w:val="28"/>
                <w:szCs w:val="28"/>
              </w:rPr>
              <w:t xml:space="preserve">  2022年</w:t>
            </w:r>
            <w:r>
              <w:rPr>
                <w:rFonts w:hint="default" w:ascii="Times New Roman" w:hAnsi="Times New Roman" w:eastAsia="方正仿宋_GBK" w:cs="Times New Roman"/>
                <w:snapToGrid w:val="0"/>
                <w:color w:val="000000"/>
                <w:kern w:val="21"/>
                <w:sz w:val="28"/>
                <w:szCs w:val="28"/>
                <w:lang w:val="en-US" w:eastAsia="zh-CN"/>
              </w:rPr>
              <w:t>5</w:t>
            </w:r>
            <w:r>
              <w:rPr>
                <w:rFonts w:hint="default" w:ascii="Times New Roman" w:hAnsi="Times New Roman" w:eastAsia="方正仿宋_GBK" w:cs="Times New Roman"/>
                <w:snapToGrid w:val="0"/>
                <w:color w:val="000000"/>
                <w:kern w:val="21"/>
                <w:sz w:val="28"/>
                <w:szCs w:val="28"/>
              </w:rPr>
              <w:t>月</w:t>
            </w:r>
            <w:r>
              <w:rPr>
                <w:rFonts w:hint="eastAsia" w:ascii="Times New Roman" w:hAnsi="Times New Roman" w:eastAsia="方正仿宋_GBK" w:cs="Times New Roman"/>
                <w:snapToGrid w:val="0"/>
                <w:color w:val="000000"/>
                <w:kern w:val="21"/>
                <w:sz w:val="28"/>
                <w:szCs w:val="28"/>
                <w:lang w:val="en-US" w:eastAsia="zh-CN"/>
              </w:rPr>
              <w:t>27</w:t>
            </w:r>
            <w:r>
              <w:rPr>
                <w:rFonts w:hint="default" w:ascii="Times New Roman" w:hAnsi="Times New Roman" w:eastAsia="方正仿宋_GBK" w:cs="Times New Roman"/>
                <w:snapToGrid w:val="0"/>
                <w:color w:val="000000"/>
                <w:kern w:val="21"/>
                <w:sz w:val="28"/>
                <w:szCs w:val="28"/>
              </w:rPr>
              <w:t>日印发</w:t>
            </w:r>
          </w:p>
        </w:tc>
      </w:tr>
    </w:tbl>
    <w:p>
      <w:pPr>
        <w:pStyle w:val="68"/>
        <w:overflowPunct w:val="0"/>
        <w:spacing w:line="360" w:lineRule="auto"/>
        <w:ind w:firstLine="0" w:firstLineChars="0"/>
        <w:jc w:val="center"/>
        <w:rPr>
          <w:rFonts w:hint="eastAsia" w:ascii="Times New Roman" w:hAnsi="Times New Roman" w:eastAsia="仿宋" w:cs="Times New Roman"/>
          <w:bCs/>
          <w:color w:val="auto"/>
          <w:lang w:eastAsia="zh-CN"/>
        </w:rPr>
      </w:pPr>
      <w:r>
        <w:rPr>
          <w:rFonts w:hint="eastAsia" w:ascii="Times New Roman" w:hAnsi="Times New Roman" w:eastAsia="仿宋" w:cs="Times New Roman"/>
          <w:bCs/>
          <w:color w:val="auto"/>
          <w:lang w:eastAsia="zh-CN"/>
        </w:rPr>
        <w:drawing>
          <wp:anchor distT="0" distB="0" distL="114300" distR="114300" simplePos="0" relativeHeight="251659264" behindDoc="0" locked="0" layoutInCell="1" allowOverlap="1">
            <wp:simplePos x="0" y="0"/>
            <wp:positionH relativeFrom="column">
              <wp:posOffset>3769995</wp:posOffset>
            </wp:positionH>
            <wp:positionV relativeFrom="paragraph">
              <wp:posOffset>7413625</wp:posOffset>
            </wp:positionV>
            <wp:extent cx="1790700" cy="476250"/>
            <wp:effectExtent l="0" t="0" r="12700" b="6350"/>
            <wp:wrapNone/>
            <wp:docPr id="1" name="图片 1" descr="信政〔2022〕14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信政〔2022〕14号"/>
                    <pic:cNvPicPr>
                      <a:picLocks noChangeAspect="1"/>
                    </pic:cNvPicPr>
                  </pic:nvPicPr>
                  <pic:blipFill>
                    <a:blip r:embed="rId10"/>
                    <a:stretch>
                      <a:fillRect/>
                    </a:stretch>
                  </pic:blipFill>
                  <pic:spPr>
                    <a:xfrm>
                      <a:off x="0" y="0"/>
                      <a:ext cx="1790700" cy="476250"/>
                    </a:xfrm>
                    <a:prstGeom prst="rect">
                      <a:avLst/>
                    </a:prstGeom>
                    <a:noFill/>
                    <a:ln>
                      <a:noFill/>
                    </a:ln>
                  </pic:spPr>
                </pic:pic>
              </a:graphicData>
            </a:graphic>
          </wp:anchor>
        </w:drawing>
      </w:r>
    </w:p>
    <w:sectPr>
      <w:pgSz w:w="11906" w:h="16838"/>
      <w:pgMar w:top="2098" w:right="1531" w:bottom="1814" w:left="1531" w:header="851" w:footer="992"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方正书宋_GBK">
    <w:panose1 w:val="02000000000000000000"/>
    <w:charset w:val="86"/>
    <w:family w:val="auto"/>
    <w:pitch w:val="default"/>
    <w:sig w:usb0="00000000" w:usb1="00000000" w:usb2="00000000" w:usb3="00000000" w:csb0="0016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DejaVu Sans">
    <w:altName w:val="苹方-简"/>
    <w:panose1 w:val="02020603050405020304"/>
    <w:charset w:val="00"/>
    <w:family w:val="roman"/>
    <w:pitch w:val="default"/>
    <w:sig w:usb0="00000000" w:usb1="00000000" w:usb2="00000008" w:usb3="00000000" w:csb0="000001FF" w:csb1="00000000"/>
  </w:font>
  <w:font w:name="苹方-简">
    <w:panose1 w:val="020B0400000000000000"/>
    <w:charset w:val="86"/>
    <w:family w:val="auto"/>
    <w:pitch w:val="default"/>
    <w:sig w:usb0="00000000" w:usb1="00000000" w:usb2="00000000" w:usb3="00000000" w:csb0="00160000" w:csb1="00000000"/>
  </w:font>
  <w:font w:name="STHeiti Light">
    <w:panose1 w:val="0201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黑体">
    <w:altName w:val="汉仪中黑KW"/>
    <w:panose1 w:val="02010609060101010101"/>
    <w:charset w:val="00"/>
    <w:family w:val="auto"/>
    <w:pitch w:val="default"/>
    <w:sig w:usb0="800002BF" w:usb1="38CF7CFA" w:usb2="00000016" w:usb3="00000000" w:csb0="00040001" w:csb1="00000000"/>
  </w:font>
  <w:font w:name="楷体">
    <w:altName w:val="汉仪楷体KW"/>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Courier New">
    <w:panose1 w:val="02070309020205020404"/>
    <w:charset w:val="00"/>
    <w:family w:val="modern"/>
    <w:pitch w:val="default"/>
    <w:sig w:usb0="00000000" w:usb1="00000000" w:usb2="00000000" w:usb3="00000000" w:csb0="00000000" w:csb1="00000000"/>
  </w:font>
  <w:font w:name="仿宋">
    <w:altName w:val="方正仿宋_GBK"/>
    <w:panose1 w:val="02010609060101010101"/>
    <w:charset w:val="00"/>
    <w:family w:val="modern"/>
    <w:pitch w:val="default"/>
    <w:sig w:usb0="800002BF" w:usb1="38CF7CFA"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E00002FF" w:usb1="400004FF" w:usb2="00000000" w:usb3="00000000" w:csb0="2000019F" w:csb1="00000000"/>
  </w:font>
  <w:font w:name="楷体_GB2312">
    <w:altName w:val="汉仪楷体简"/>
    <w:panose1 w:val="02010609030101010101"/>
    <w:charset w:val="00"/>
    <w:family w:val="modern"/>
    <w:pitch w:val="default"/>
    <w:sig w:usb0="00000001" w:usb1="080E0000" w:usb2="00000000" w:usb3="00000000" w:csb0="00040000" w:csb1="00000000"/>
  </w:font>
  <w:font w:name="汉仪楷体简">
    <w:panose1 w:val="02010600000101010101"/>
    <w:charset w:val="86"/>
    <w:family w:val="auto"/>
    <w:pitch w:val="default"/>
    <w:sig w:usb0="00000000" w:usb1="00000000" w:usb2="00000000" w:usb3="00000000" w:csb0="00060000" w:csb1="00000000"/>
  </w:font>
  <w:font w:name="仿宋_GB2312">
    <w:altName w:val="方正仿宋_GBK"/>
    <w:panose1 w:val="02010609030101010101"/>
    <w:charset w:val="00"/>
    <w:family w:val="auto"/>
    <w:pitch w:val="default"/>
    <w:sig w:usb0="00000001" w:usb1="080E0000" w:usb2="00000000" w:usb3="00000000" w:csb0="00040000" w:csb1="00000000"/>
  </w:font>
  <w:font w:name="方正小标宋简体">
    <w:altName w:val="汉仪书宋二KW"/>
    <w:panose1 w:val="03000509000000000000"/>
    <w:charset w:val="00"/>
    <w:family w:val="auto"/>
    <w:pitch w:val="default"/>
    <w:sig w:usb0="00000001" w:usb1="080E0000" w:usb2="00000000" w:usb3="00000000" w:csb0="00040000" w:csb1="00000000"/>
  </w:font>
  <w:font w:name="方正小标宋_GBK">
    <w:altName w:val="汉仪书宋二KW"/>
    <w:panose1 w:val="03000509000000000000"/>
    <w:charset w:val="00"/>
    <w:family w:val="auto"/>
    <w:pitch w:val="default"/>
    <w:sig w:usb0="00000001" w:usb1="080E0000" w:usb2="00000000" w:usb3="00000000" w:csb0="00040000" w:csb1="00000000"/>
  </w:font>
  <w:font w:name="方正黑体_GBK">
    <w:altName w:val="汉仪中黑KW"/>
    <w:panose1 w:val="03000509000000000000"/>
    <w:charset w:val="00"/>
    <w:family w:val="script"/>
    <w:pitch w:val="default"/>
    <w:sig w:usb0="00000001" w:usb1="080E0000" w:usb2="00000000" w:usb3="00000000" w:csb0="00040000" w:csb1="00000000"/>
  </w:font>
  <w:font w:name="华文中宋">
    <w:altName w:val="汉仪书宋二KW"/>
    <w:panose1 w:val="02010600040101010101"/>
    <w:charset w:val="00"/>
    <w:family w:val="auto"/>
    <w:pitch w:val="default"/>
    <w:sig w:usb0="00000287" w:usb1="080F0000" w:usb2="00000000" w:usb3="00000000" w:csb0="0004009F" w:csb1="DFD7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top w:val="none" w:color="000000" w:sz="0" w:space="9"/>
      </w:pBdr>
      <w:jc w:val="center"/>
      <w:rPr>
        <w:rFonts w:cs="Times New Roman"/>
      </w:rPr>
    </w:pPr>
    <w:r>
      <w:rPr>
        <w:sz w:val="24"/>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9"/>
                            <w:pBdr>
                              <w:top w:val="none" w:color="000000" w:sz="0" w:space="9"/>
                            </w:pBdr>
                            <w:jc w:val="center"/>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PAGE   \* MERGEFORMAT</w:instrText>
                          </w:r>
                          <w:r>
                            <w:rPr>
                              <w:rFonts w:hint="default" w:ascii="Times New Roman" w:hAnsi="Times New Roman" w:cs="Times New Roman"/>
                            </w:rPr>
                            <w:fldChar w:fldCharType="separate"/>
                          </w:r>
                          <w:r>
                            <w:rPr>
                              <w:rFonts w:hint="default" w:ascii="Times New Roman" w:hAnsi="Times New Roman" w:cs="Times New Roman"/>
                              <w:lang w:val="zh-CN"/>
                            </w:rPr>
                            <w:t>55</w:t>
                          </w:r>
                          <w:r>
                            <w:rPr>
                              <w:rFonts w:hint="default" w:ascii="Times New Roman" w:hAnsi="Times New Roman" w:cs="Times New Roman"/>
                            </w:rPr>
                            <w:fldChar w:fldCharType="end"/>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DOqXm5zwAAAAUBAAAPAAAAAAAAAAEA&#10;IAAAADgAAABkcnMvZG93bnJldi54bWxQSwECFAAUAAAACACHTuJANhhcf8kBAACZAwAADgAAAAAA&#10;AAABACAAAAA0AQAAZHJzL2Uyb0RvYy54bWxQSwUGAAAAAAYABgBZAQAAbwUAAAAA&#10;">
              <v:fill on="f" focussize="0,0"/>
              <v:stroke on="f"/>
              <v:imagedata o:title=""/>
              <o:lock v:ext="edit" aspectratio="f"/>
              <v:textbox inset="0mm,0mm,0mm,0mm" style="mso-fit-shape-to-text:t;">
                <w:txbxContent>
                  <w:p>
                    <w:pPr>
                      <w:pStyle w:val="19"/>
                      <w:pBdr>
                        <w:top w:val="none" w:color="000000" w:sz="0" w:space="9"/>
                      </w:pBdr>
                      <w:jc w:val="center"/>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PAGE   \* MERGEFORMAT</w:instrText>
                    </w:r>
                    <w:r>
                      <w:rPr>
                        <w:rFonts w:hint="default" w:ascii="Times New Roman" w:hAnsi="Times New Roman" w:cs="Times New Roman"/>
                      </w:rPr>
                      <w:fldChar w:fldCharType="separate"/>
                    </w:r>
                    <w:r>
                      <w:rPr>
                        <w:rFonts w:hint="default" w:ascii="Times New Roman" w:hAnsi="Times New Roman" w:cs="Times New Roman"/>
                        <w:lang w:val="zh-CN"/>
                      </w:rPr>
                      <w:t>55</w:t>
                    </w:r>
                    <w:r>
                      <w:rPr>
                        <w:rFonts w:hint="default" w:ascii="Times New Roman" w:hAnsi="Times New Roman" w:cs="Times New Roman"/>
                      </w:rPr>
                      <w:fldChar w:fldCharType="end"/>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top w:val="none" w:color="000000" w:sz="0" w:space="9"/>
      </w:pBdr>
      <w:jc w:val="center"/>
      <w:rPr>
        <w:rFonts w:cs="Times New Roman"/>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9"/>
                            <w:rPr>
                              <w:rFonts w:hint="default"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 xml:space="preserve"> </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PAGE  \* MERGEFORMAT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t>55</w:t>
                          </w:r>
                          <w:r>
                            <w:rPr>
                              <w:rFonts w:hint="default" w:ascii="Times New Roman" w:hAnsi="Times New Roman" w:cs="Times New Roman"/>
                              <w:lang w:eastAsia="zh-CN"/>
                            </w:rPr>
                            <w:fldChar w:fldCharType="end"/>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WAAAAZHJzL1BLAQIUABQAAAAIAIdO4kDO&#10;qXm5zwAAAAUBAAAPAAAAAAAAAAEAIAAAADgAAABkcnMvZG93bnJldi54bWxQSwECFAAUAAAACACH&#10;TuJAaX6v2d4BAAC+AwAADgAAAAAAAAABACAAAAA0AQAAZHJzL2Uyb0RvYy54bWxQSwUGAAAAAAYA&#10;BgBZAQAAhAUAAAAA&#10;">
              <v:fill on="f" focussize="0,0"/>
              <v:stroke on="f"/>
              <v:imagedata o:title=""/>
              <o:lock v:ext="edit" aspectratio="f"/>
              <v:textbox inset="0mm,0mm,0mm,0mm" style="mso-fit-shape-to-text:t;">
                <w:txbxContent>
                  <w:p>
                    <w:pPr>
                      <w:pStyle w:val="19"/>
                      <w:rPr>
                        <w:rFonts w:hint="default"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 xml:space="preserve"> </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PAGE  \* MERGEFORMAT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t>55</w:t>
                    </w:r>
                    <w:r>
                      <w:rPr>
                        <w:rFonts w:hint="default" w:ascii="Times New Roman" w:hAnsi="Times New Roman" w:cs="Times New Roman"/>
                        <w:lang w:eastAsia="zh-CN"/>
                      </w:rPr>
                      <w:fldChar w:fldCharType="end"/>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hyphenationZone w:val="360"/>
  <w:displayHorizontalDrawingGridEvery w:val="1"/>
  <w:displayVerticalDrawingGridEvery w:val="1"/>
  <w:noPunctuationKerning w:val="1"/>
  <w:characterSpacingControl w:val="doNotCompress"/>
  <w:hdrShapeDefaults>
    <o:shapelayout v:ext="edit">
      <o:idmap v:ext="edit" data="3"/>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BB8"/>
    <w:rsid w:val="00000250"/>
    <w:rsid w:val="00000600"/>
    <w:rsid w:val="00001038"/>
    <w:rsid w:val="0000140F"/>
    <w:rsid w:val="0000141E"/>
    <w:rsid w:val="00001A57"/>
    <w:rsid w:val="00001B3E"/>
    <w:rsid w:val="0000261D"/>
    <w:rsid w:val="00002853"/>
    <w:rsid w:val="0000362E"/>
    <w:rsid w:val="00005122"/>
    <w:rsid w:val="00005961"/>
    <w:rsid w:val="000062FE"/>
    <w:rsid w:val="0000651C"/>
    <w:rsid w:val="000066D0"/>
    <w:rsid w:val="00006A8F"/>
    <w:rsid w:val="00007A1F"/>
    <w:rsid w:val="00007F69"/>
    <w:rsid w:val="00010ABB"/>
    <w:rsid w:val="00010E8F"/>
    <w:rsid w:val="0001193A"/>
    <w:rsid w:val="000119D8"/>
    <w:rsid w:val="00011C9C"/>
    <w:rsid w:val="0001201A"/>
    <w:rsid w:val="000126E7"/>
    <w:rsid w:val="00012773"/>
    <w:rsid w:val="00012907"/>
    <w:rsid w:val="00012FBB"/>
    <w:rsid w:val="00014343"/>
    <w:rsid w:val="00014E05"/>
    <w:rsid w:val="00015561"/>
    <w:rsid w:val="000160E0"/>
    <w:rsid w:val="000160F8"/>
    <w:rsid w:val="00016555"/>
    <w:rsid w:val="00016E9F"/>
    <w:rsid w:val="00017030"/>
    <w:rsid w:val="0001725C"/>
    <w:rsid w:val="00017851"/>
    <w:rsid w:val="0002150C"/>
    <w:rsid w:val="00021E72"/>
    <w:rsid w:val="000226C3"/>
    <w:rsid w:val="00022966"/>
    <w:rsid w:val="0002336E"/>
    <w:rsid w:val="000237B6"/>
    <w:rsid w:val="00023AE9"/>
    <w:rsid w:val="00023FE0"/>
    <w:rsid w:val="00023FE5"/>
    <w:rsid w:val="00024645"/>
    <w:rsid w:val="00024832"/>
    <w:rsid w:val="00024BA2"/>
    <w:rsid w:val="00024FF0"/>
    <w:rsid w:val="00024FF5"/>
    <w:rsid w:val="00025F4A"/>
    <w:rsid w:val="00026DE8"/>
    <w:rsid w:val="00027213"/>
    <w:rsid w:val="0002729E"/>
    <w:rsid w:val="000273CD"/>
    <w:rsid w:val="000276C6"/>
    <w:rsid w:val="00030156"/>
    <w:rsid w:val="000301C6"/>
    <w:rsid w:val="00031046"/>
    <w:rsid w:val="00031611"/>
    <w:rsid w:val="00031C37"/>
    <w:rsid w:val="00031D99"/>
    <w:rsid w:val="00032C1D"/>
    <w:rsid w:val="00033042"/>
    <w:rsid w:val="0003310D"/>
    <w:rsid w:val="00033593"/>
    <w:rsid w:val="00033EAF"/>
    <w:rsid w:val="000347D6"/>
    <w:rsid w:val="000348DD"/>
    <w:rsid w:val="000359D2"/>
    <w:rsid w:val="00035C22"/>
    <w:rsid w:val="00035CE6"/>
    <w:rsid w:val="00036125"/>
    <w:rsid w:val="0003660E"/>
    <w:rsid w:val="00036D21"/>
    <w:rsid w:val="00036F20"/>
    <w:rsid w:val="000372E8"/>
    <w:rsid w:val="00037CD1"/>
    <w:rsid w:val="000406AE"/>
    <w:rsid w:val="00041F58"/>
    <w:rsid w:val="0004338F"/>
    <w:rsid w:val="000438B9"/>
    <w:rsid w:val="00043CD7"/>
    <w:rsid w:val="000447C5"/>
    <w:rsid w:val="00045480"/>
    <w:rsid w:val="00046B7C"/>
    <w:rsid w:val="00046C7B"/>
    <w:rsid w:val="00046CAC"/>
    <w:rsid w:val="00046E72"/>
    <w:rsid w:val="00046EDB"/>
    <w:rsid w:val="00046EF6"/>
    <w:rsid w:val="00047023"/>
    <w:rsid w:val="00047387"/>
    <w:rsid w:val="00047F32"/>
    <w:rsid w:val="00051209"/>
    <w:rsid w:val="00051692"/>
    <w:rsid w:val="00052511"/>
    <w:rsid w:val="0005341F"/>
    <w:rsid w:val="00053FB8"/>
    <w:rsid w:val="00054033"/>
    <w:rsid w:val="000544DA"/>
    <w:rsid w:val="000551D7"/>
    <w:rsid w:val="00055490"/>
    <w:rsid w:val="000562A7"/>
    <w:rsid w:val="000575FE"/>
    <w:rsid w:val="00060505"/>
    <w:rsid w:val="00060C6E"/>
    <w:rsid w:val="00060F20"/>
    <w:rsid w:val="0006198A"/>
    <w:rsid w:val="00061A17"/>
    <w:rsid w:val="00062B14"/>
    <w:rsid w:val="00063583"/>
    <w:rsid w:val="0006374C"/>
    <w:rsid w:val="00063D6D"/>
    <w:rsid w:val="0006426F"/>
    <w:rsid w:val="000642F2"/>
    <w:rsid w:val="000644CF"/>
    <w:rsid w:val="00064C5B"/>
    <w:rsid w:val="0006647D"/>
    <w:rsid w:val="00066BCC"/>
    <w:rsid w:val="0006709C"/>
    <w:rsid w:val="00067859"/>
    <w:rsid w:val="000678B7"/>
    <w:rsid w:val="0007002D"/>
    <w:rsid w:val="00070B68"/>
    <w:rsid w:val="00070F8C"/>
    <w:rsid w:val="000711E8"/>
    <w:rsid w:val="00071C75"/>
    <w:rsid w:val="000728AE"/>
    <w:rsid w:val="000729C7"/>
    <w:rsid w:val="00072E13"/>
    <w:rsid w:val="00072F8C"/>
    <w:rsid w:val="00073E6E"/>
    <w:rsid w:val="00073F6B"/>
    <w:rsid w:val="000747B3"/>
    <w:rsid w:val="00074FCD"/>
    <w:rsid w:val="00075043"/>
    <w:rsid w:val="000760F0"/>
    <w:rsid w:val="00076A08"/>
    <w:rsid w:val="000777AA"/>
    <w:rsid w:val="00080482"/>
    <w:rsid w:val="00080761"/>
    <w:rsid w:val="00080AA8"/>
    <w:rsid w:val="00080FA1"/>
    <w:rsid w:val="00081229"/>
    <w:rsid w:val="00082197"/>
    <w:rsid w:val="000826E2"/>
    <w:rsid w:val="00082D80"/>
    <w:rsid w:val="0008300F"/>
    <w:rsid w:val="0008320A"/>
    <w:rsid w:val="000834FF"/>
    <w:rsid w:val="00084228"/>
    <w:rsid w:val="00084569"/>
    <w:rsid w:val="0008495D"/>
    <w:rsid w:val="00084A5A"/>
    <w:rsid w:val="00084FA1"/>
    <w:rsid w:val="00085212"/>
    <w:rsid w:val="00085782"/>
    <w:rsid w:val="00085D3E"/>
    <w:rsid w:val="00086CA9"/>
    <w:rsid w:val="00087206"/>
    <w:rsid w:val="000873F1"/>
    <w:rsid w:val="00087661"/>
    <w:rsid w:val="00090354"/>
    <w:rsid w:val="00090565"/>
    <w:rsid w:val="0009058A"/>
    <w:rsid w:val="00091375"/>
    <w:rsid w:val="0009270F"/>
    <w:rsid w:val="00093051"/>
    <w:rsid w:val="0009369C"/>
    <w:rsid w:val="00093913"/>
    <w:rsid w:val="00093BB4"/>
    <w:rsid w:val="0009491A"/>
    <w:rsid w:val="000950BE"/>
    <w:rsid w:val="000954F5"/>
    <w:rsid w:val="00095F55"/>
    <w:rsid w:val="00095FFE"/>
    <w:rsid w:val="000962EB"/>
    <w:rsid w:val="00097910"/>
    <w:rsid w:val="000A051D"/>
    <w:rsid w:val="000A0664"/>
    <w:rsid w:val="000A066A"/>
    <w:rsid w:val="000A0B1F"/>
    <w:rsid w:val="000A0D3B"/>
    <w:rsid w:val="000A1136"/>
    <w:rsid w:val="000A1413"/>
    <w:rsid w:val="000A1D10"/>
    <w:rsid w:val="000A1F7A"/>
    <w:rsid w:val="000A3A62"/>
    <w:rsid w:val="000A3BF1"/>
    <w:rsid w:val="000A4502"/>
    <w:rsid w:val="000A5487"/>
    <w:rsid w:val="000A61CE"/>
    <w:rsid w:val="000A6527"/>
    <w:rsid w:val="000A69AB"/>
    <w:rsid w:val="000A6E40"/>
    <w:rsid w:val="000A702B"/>
    <w:rsid w:val="000A76A7"/>
    <w:rsid w:val="000A7A25"/>
    <w:rsid w:val="000A7F20"/>
    <w:rsid w:val="000B017C"/>
    <w:rsid w:val="000B017D"/>
    <w:rsid w:val="000B078F"/>
    <w:rsid w:val="000B0EE4"/>
    <w:rsid w:val="000B15EF"/>
    <w:rsid w:val="000B1A7C"/>
    <w:rsid w:val="000B1BE4"/>
    <w:rsid w:val="000B3033"/>
    <w:rsid w:val="000B34E0"/>
    <w:rsid w:val="000B37B6"/>
    <w:rsid w:val="000B398F"/>
    <w:rsid w:val="000B3FB0"/>
    <w:rsid w:val="000B44D7"/>
    <w:rsid w:val="000B452F"/>
    <w:rsid w:val="000B4DA2"/>
    <w:rsid w:val="000B5022"/>
    <w:rsid w:val="000B503B"/>
    <w:rsid w:val="000B5604"/>
    <w:rsid w:val="000B7161"/>
    <w:rsid w:val="000B78E0"/>
    <w:rsid w:val="000C0156"/>
    <w:rsid w:val="000C063A"/>
    <w:rsid w:val="000C067D"/>
    <w:rsid w:val="000C1A5A"/>
    <w:rsid w:val="000C1C10"/>
    <w:rsid w:val="000C2656"/>
    <w:rsid w:val="000C2C2C"/>
    <w:rsid w:val="000C3290"/>
    <w:rsid w:val="000C3492"/>
    <w:rsid w:val="000C35DA"/>
    <w:rsid w:val="000C3685"/>
    <w:rsid w:val="000C39AD"/>
    <w:rsid w:val="000C3FF6"/>
    <w:rsid w:val="000C4A34"/>
    <w:rsid w:val="000C5024"/>
    <w:rsid w:val="000C515C"/>
    <w:rsid w:val="000C533B"/>
    <w:rsid w:val="000C5DEE"/>
    <w:rsid w:val="000C75A9"/>
    <w:rsid w:val="000C7F6E"/>
    <w:rsid w:val="000D1C46"/>
    <w:rsid w:val="000D1E15"/>
    <w:rsid w:val="000D1F3C"/>
    <w:rsid w:val="000D29E2"/>
    <w:rsid w:val="000D2E06"/>
    <w:rsid w:val="000D3398"/>
    <w:rsid w:val="000D356E"/>
    <w:rsid w:val="000D40BB"/>
    <w:rsid w:val="000D41AA"/>
    <w:rsid w:val="000D461B"/>
    <w:rsid w:val="000D4BCE"/>
    <w:rsid w:val="000D4D6C"/>
    <w:rsid w:val="000D50F3"/>
    <w:rsid w:val="000D5A55"/>
    <w:rsid w:val="000D62DB"/>
    <w:rsid w:val="000D686F"/>
    <w:rsid w:val="000D6DB3"/>
    <w:rsid w:val="000D77E4"/>
    <w:rsid w:val="000E01F4"/>
    <w:rsid w:val="000E0C5F"/>
    <w:rsid w:val="000E0FC6"/>
    <w:rsid w:val="000E228A"/>
    <w:rsid w:val="000E25D5"/>
    <w:rsid w:val="000E2C63"/>
    <w:rsid w:val="000E2D25"/>
    <w:rsid w:val="000E3580"/>
    <w:rsid w:val="000E395E"/>
    <w:rsid w:val="000E40CF"/>
    <w:rsid w:val="000E4565"/>
    <w:rsid w:val="000E47D9"/>
    <w:rsid w:val="000E5B98"/>
    <w:rsid w:val="000E6528"/>
    <w:rsid w:val="000E6B42"/>
    <w:rsid w:val="000E6BB5"/>
    <w:rsid w:val="000E7A42"/>
    <w:rsid w:val="000F08C1"/>
    <w:rsid w:val="000F0E3D"/>
    <w:rsid w:val="000F114D"/>
    <w:rsid w:val="000F1A67"/>
    <w:rsid w:val="000F1C9E"/>
    <w:rsid w:val="000F1D0F"/>
    <w:rsid w:val="000F1FBB"/>
    <w:rsid w:val="000F2632"/>
    <w:rsid w:val="000F2865"/>
    <w:rsid w:val="000F2C9C"/>
    <w:rsid w:val="000F3246"/>
    <w:rsid w:val="000F3480"/>
    <w:rsid w:val="000F3934"/>
    <w:rsid w:val="000F3978"/>
    <w:rsid w:val="000F3ED8"/>
    <w:rsid w:val="000F40C1"/>
    <w:rsid w:val="000F49E7"/>
    <w:rsid w:val="000F4AB8"/>
    <w:rsid w:val="000F51B7"/>
    <w:rsid w:val="000F60AB"/>
    <w:rsid w:val="000F629A"/>
    <w:rsid w:val="000F63D2"/>
    <w:rsid w:val="000F686E"/>
    <w:rsid w:val="000F7884"/>
    <w:rsid w:val="000F7890"/>
    <w:rsid w:val="000F7B8D"/>
    <w:rsid w:val="00100377"/>
    <w:rsid w:val="0010047B"/>
    <w:rsid w:val="00101055"/>
    <w:rsid w:val="00101F29"/>
    <w:rsid w:val="00101F71"/>
    <w:rsid w:val="00101F90"/>
    <w:rsid w:val="001021BE"/>
    <w:rsid w:val="001023E0"/>
    <w:rsid w:val="00103562"/>
    <w:rsid w:val="00103645"/>
    <w:rsid w:val="00103EE3"/>
    <w:rsid w:val="001047FE"/>
    <w:rsid w:val="00104D0A"/>
    <w:rsid w:val="001050A0"/>
    <w:rsid w:val="00105710"/>
    <w:rsid w:val="00106116"/>
    <w:rsid w:val="001062F8"/>
    <w:rsid w:val="001063FB"/>
    <w:rsid w:val="00106513"/>
    <w:rsid w:val="0010695A"/>
    <w:rsid w:val="00106BF2"/>
    <w:rsid w:val="00110351"/>
    <w:rsid w:val="00110AA0"/>
    <w:rsid w:val="00110DD6"/>
    <w:rsid w:val="00110F03"/>
    <w:rsid w:val="001114D3"/>
    <w:rsid w:val="0011183F"/>
    <w:rsid w:val="00111AA9"/>
    <w:rsid w:val="00111B18"/>
    <w:rsid w:val="00112AF9"/>
    <w:rsid w:val="00112F9B"/>
    <w:rsid w:val="001133E8"/>
    <w:rsid w:val="00113650"/>
    <w:rsid w:val="0011375D"/>
    <w:rsid w:val="00113A79"/>
    <w:rsid w:val="00115400"/>
    <w:rsid w:val="0011588F"/>
    <w:rsid w:val="00115D0C"/>
    <w:rsid w:val="00117460"/>
    <w:rsid w:val="00117E07"/>
    <w:rsid w:val="00120F23"/>
    <w:rsid w:val="0012194D"/>
    <w:rsid w:val="00121C15"/>
    <w:rsid w:val="001222BC"/>
    <w:rsid w:val="0012236B"/>
    <w:rsid w:val="0012253F"/>
    <w:rsid w:val="001227F7"/>
    <w:rsid w:val="00122B5E"/>
    <w:rsid w:val="001233DD"/>
    <w:rsid w:val="00124DFA"/>
    <w:rsid w:val="001261E4"/>
    <w:rsid w:val="001261F2"/>
    <w:rsid w:val="0012677E"/>
    <w:rsid w:val="001304EF"/>
    <w:rsid w:val="001306BE"/>
    <w:rsid w:val="00133868"/>
    <w:rsid w:val="00133E1C"/>
    <w:rsid w:val="00133E4B"/>
    <w:rsid w:val="001347C1"/>
    <w:rsid w:val="00135A60"/>
    <w:rsid w:val="00135C66"/>
    <w:rsid w:val="001363B3"/>
    <w:rsid w:val="001365FB"/>
    <w:rsid w:val="00136F4C"/>
    <w:rsid w:val="0013762C"/>
    <w:rsid w:val="0013795B"/>
    <w:rsid w:val="0014017D"/>
    <w:rsid w:val="00140F1B"/>
    <w:rsid w:val="001410A3"/>
    <w:rsid w:val="001418A1"/>
    <w:rsid w:val="00142461"/>
    <w:rsid w:val="00142F2B"/>
    <w:rsid w:val="00144CC8"/>
    <w:rsid w:val="00145618"/>
    <w:rsid w:val="0014592E"/>
    <w:rsid w:val="00145E46"/>
    <w:rsid w:val="00145FDB"/>
    <w:rsid w:val="00145FE5"/>
    <w:rsid w:val="001468BD"/>
    <w:rsid w:val="00146F46"/>
    <w:rsid w:val="00147422"/>
    <w:rsid w:val="0014749E"/>
    <w:rsid w:val="00147D49"/>
    <w:rsid w:val="0015139D"/>
    <w:rsid w:val="00152046"/>
    <w:rsid w:val="00152205"/>
    <w:rsid w:val="0015276F"/>
    <w:rsid w:val="00152AFC"/>
    <w:rsid w:val="00153704"/>
    <w:rsid w:val="001538CA"/>
    <w:rsid w:val="00155168"/>
    <w:rsid w:val="0015533F"/>
    <w:rsid w:val="0015578D"/>
    <w:rsid w:val="00156005"/>
    <w:rsid w:val="0015672C"/>
    <w:rsid w:val="00156750"/>
    <w:rsid w:val="00156CC0"/>
    <w:rsid w:val="0015742F"/>
    <w:rsid w:val="00160894"/>
    <w:rsid w:val="00160971"/>
    <w:rsid w:val="001617D1"/>
    <w:rsid w:val="00162711"/>
    <w:rsid w:val="00163469"/>
    <w:rsid w:val="00163FAD"/>
    <w:rsid w:val="00164ACC"/>
    <w:rsid w:val="001663B0"/>
    <w:rsid w:val="00166CBA"/>
    <w:rsid w:val="00167197"/>
    <w:rsid w:val="00170F70"/>
    <w:rsid w:val="001711E9"/>
    <w:rsid w:val="001715B7"/>
    <w:rsid w:val="0017169B"/>
    <w:rsid w:val="001719E6"/>
    <w:rsid w:val="00173364"/>
    <w:rsid w:val="0017362B"/>
    <w:rsid w:val="00174C81"/>
    <w:rsid w:val="001753A2"/>
    <w:rsid w:val="001754CE"/>
    <w:rsid w:val="00177419"/>
    <w:rsid w:val="00180F15"/>
    <w:rsid w:val="0018139B"/>
    <w:rsid w:val="0018179D"/>
    <w:rsid w:val="00181BDD"/>
    <w:rsid w:val="00183672"/>
    <w:rsid w:val="00184C56"/>
    <w:rsid w:val="0018738D"/>
    <w:rsid w:val="00187B01"/>
    <w:rsid w:val="00187C5C"/>
    <w:rsid w:val="00187DF4"/>
    <w:rsid w:val="001900E6"/>
    <w:rsid w:val="0019034A"/>
    <w:rsid w:val="001904F0"/>
    <w:rsid w:val="001907AC"/>
    <w:rsid w:val="00190973"/>
    <w:rsid w:val="00190B62"/>
    <w:rsid w:val="00191BBE"/>
    <w:rsid w:val="001922C3"/>
    <w:rsid w:val="00192D03"/>
    <w:rsid w:val="001939F2"/>
    <w:rsid w:val="00193B1F"/>
    <w:rsid w:val="00193F29"/>
    <w:rsid w:val="001948DD"/>
    <w:rsid w:val="00194C0E"/>
    <w:rsid w:val="00195210"/>
    <w:rsid w:val="00195661"/>
    <w:rsid w:val="00195D39"/>
    <w:rsid w:val="00196B0D"/>
    <w:rsid w:val="0019784F"/>
    <w:rsid w:val="001979EB"/>
    <w:rsid w:val="00197AAC"/>
    <w:rsid w:val="00197C96"/>
    <w:rsid w:val="001A0989"/>
    <w:rsid w:val="001A0ADC"/>
    <w:rsid w:val="001A105B"/>
    <w:rsid w:val="001A1B03"/>
    <w:rsid w:val="001A1D1C"/>
    <w:rsid w:val="001A3330"/>
    <w:rsid w:val="001A3567"/>
    <w:rsid w:val="001A3709"/>
    <w:rsid w:val="001A46E4"/>
    <w:rsid w:val="001A48B1"/>
    <w:rsid w:val="001A49FC"/>
    <w:rsid w:val="001A4A55"/>
    <w:rsid w:val="001A5093"/>
    <w:rsid w:val="001A67E4"/>
    <w:rsid w:val="001A6877"/>
    <w:rsid w:val="001A6905"/>
    <w:rsid w:val="001A6FFE"/>
    <w:rsid w:val="001A7028"/>
    <w:rsid w:val="001A79F5"/>
    <w:rsid w:val="001B0493"/>
    <w:rsid w:val="001B04AA"/>
    <w:rsid w:val="001B064D"/>
    <w:rsid w:val="001B0BCE"/>
    <w:rsid w:val="001B1229"/>
    <w:rsid w:val="001B1294"/>
    <w:rsid w:val="001B15D1"/>
    <w:rsid w:val="001B16CF"/>
    <w:rsid w:val="001B1DDB"/>
    <w:rsid w:val="001B206E"/>
    <w:rsid w:val="001B2581"/>
    <w:rsid w:val="001B322A"/>
    <w:rsid w:val="001B4592"/>
    <w:rsid w:val="001B688D"/>
    <w:rsid w:val="001B6FD7"/>
    <w:rsid w:val="001B7012"/>
    <w:rsid w:val="001B7420"/>
    <w:rsid w:val="001B75E7"/>
    <w:rsid w:val="001B76CA"/>
    <w:rsid w:val="001C05E1"/>
    <w:rsid w:val="001C0884"/>
    <w:rsid w:val="001C17B6"/>
    <w:rsid w:val="001C2544"/>
    <w:rsid w:val="001C2B51"/>
    <w:rsid w:val="001C2EBC"/>
    <w:rsid w:val="001C33B7"/>
    <w:rsid w:val="001C360C"/>
    <w:rsid w:val="001C3883"/>
    <w:rsid w:val="001C4B06"/>
    <w:rsid w:val="001C4F6B"/>
    <w:rsid w:val="001C5A3B"/>
    <w:rsid w:val="001C5E79"/>
    <w:rsid w:val="001C5F10"/>
    <w:rsid w:val="001C6E01"/>
    <w:rsid w:val="001C73D7"/>
    <w:rsid w:val="001C7826"/>
    <w:rsid w:val="001C7DDB"/>
    <w:rsid w:val="001D00AC"/>
    <w:rsid w:val="001D0B19"/>
    <w:rsid w:val="001D0BED"/>
    <w:rsid w:val="001D0F3E"/>
    <w:rsid w:val="001D13EC"/>
    <w:rsid w:val="001D167D"/>
    <w:rsid w:val="001D171D"/>
    <w:rsid w:val="001D17E4"/>
    <w:rsid w:val="001D1B89"/>
    <w:rsid w:val="001D1BF7"/>
    <w:rsid w:val="001D3398"/>
    <w:rsid w:val="001D3B5B"/>
    <w:rsid w:val="001D3D09"/>
    <w:rsid w:val="001D4337"/>
    <w:rsid w:val="001D4A53"/>
    <w:rsid w:val="001D4B5B"/>
    <w:rsid w:val="001D4E79"/>
    <w:rsid w:val="001D5B45"/>
    <w:rsid w:val="001D6575"/>
    <w:rsid w:val="001D6FFD"/>
    <w:rsid w:val="001D721F"/>
    <w:rsid w:val="001D7312"/>
    <w:rsid w:val="001D7AE3"/>
    <w:rsid w:val="001D7F4E"/>
    <w:rsid w:val="001E0278"/>
    <w:rsid w:val="001E039F"/>
    <w:rsid w:val="001E14AA"/>
    <w:rsid w:val="001E282C"/>
    <w:rsid w:val="001E3D71"/>
    <w:rsid w:val="001E3F74"/>
    <w:rsid w:val="001E426C"/>
    <w:rsid w:val="001E4D23"/>
    <w:rsid w:val="001E53BF"/>
    <w:rsid w:val="001E5E76"/>
    <w:rsid w:val="001E69F6"/>
    <w:rsid w:val="001E7E1D"/>
    <w:rsid w:val="001E7FFB"/>
    <w:rsid w:val="001F068B"/>
    <w:rsid w:val="001F07C0"/>
    <w:rsid w:val="001F0C58"/>
    <w:rsid w:val="001F1A15"/>
    <w:rsid w:val="001F1BAF"/>
    <w:rsid w:val="001F253F"/>
    <w:rsid w:val="001F25FE"/>
    <w:rsid w:val="001F2F56"/>
    <w:rsid w:val="001F38A0"/>
    <w:rsid w:val="001F412E"/>
    <w:rsid w:val="001F42CE"/>
    <w:rsid w:val="001F578A"/>
    <w:rsid w:val="001F59BD"/>
    <w:rsid w:val="001F5AF4"/>
    <w:rsid w:val="001F5D91"/>
    <w:rsid w:val="001F7C48"/>
    <w:rsid w:val="00200BB6"/>
    <w:rsid w:val="00200EBE"/>
    <w:rsid w:val="002012F2"/>
    <w:rsid w:val="00201341"/>
    <w:rsid w:val="002016E1"/>
    <w:rsid w:val="00201BC4"/>
    <w:rsid w:val="00203CD2"/>
    <w:rsid w:val="00203D35"/>
    <w:rsid w:val="00203D7A"/>
    <w:rsid w:val="002047A2"/>
    <w:rsid w:val="002055C4"/>
    <w:rsid w:val="00205874"/>
    <w:rsid w:val="00205BBA"/>
    <w:rsid w:val="002065C3"/>
    <w:rsid w:val="002103F9"/>
    <w:rsid w:val="002107A6"/>
    <w:rsid w:val="002107D0"/>
    <w:rsid w:val="00210C76"/>
    <w:rsid w:val="00210C95"/>
    <w:rsid w:val="002112B2"/>
    <w:rsid w:val="0021171C"/>
    <w:rsid w:val="0021248A"/>
    <w:rsid w:val="0021272A"/>
    <w:rsid w:val="002127C8"/>
    <w:rsid w:val="002133C4"/>
    <w:rsid w:val="00213499"/>
    <w:rsid w:val="0021385C"/>
    <w:rsid w:val="00214351"/>
    <w:rsid w:val="0021461C"/>
    <w:rsid w:val="002147C8"/>
    <w:rsid w:val="00214A44"/>
    <w:rsid w:val="00215201"/>
    <w:rsid w:val="002161EC"/>
    <w:rsid w:val="0021645B"/>
    <w:rsid w:val="0021649B"/>
    <w:rsid w:val="00216DAE"/>
    <w:rsid w:val="002172FC"/>
    <w:rsid w:val="00220007"/>
    <w:rsid w:val="00220246"/>
    <w:rsid w:val="0022055E"/>
    <w:rsid w:val="00221171"/>
    <w:rsid w:val="002212D9"/>
    <w:rsid w:val="002216B5"/>
    <w:rsid w:val="002223BD"/>
    <w:rsid w:val="002224C9"/>
    <w:rsid w:val="00223791"/>
    <w:rsid w:val="002238A0"/>
    <w:rsid w:val="002239AE"/>
    <w:rsid w:val="00223C0E"/>
    <w:rsid w:val="002240E0"/>
    <w:rsid w:val="00224ED4"/>
    <w:rsid w:val="00225007"/>
    <w:rsid w:val="00226625"/>
    <w:rsid w:val="00226ED4"/>
    <w:rsid w:val="0022757F"/>
    <w:rsid w:val="002276A0"/>
    <w:rsid w:val="002314CE"/>
    <w:rsid w:val="002317AB"/>
    <w:rsid w:val="00231D15"/>
    <w:rsid w:val="00231D3F"/>
    <w:rsid w:val="00231D7A"/>
    <w:rsid w:val="00232082"/>
    <w:rsid w:val="002324DE"/>
    <w:rsid w:val="002332A1"/>
    <w:rsid w:val="00233E5D"/>
    <w:rsid w:val="00234450"/>
    <w:rsid w:val="00234E33"/>
    <w:rsid w:val="002352D9"/>
    <w:rsid w:val="00235B95"/>
    <w:rsid w:val="00235C5A"/>
    <w:rsid w:val="00236893"/>
    <w:rsid w:val="00237074"/>
    <w:rsid w:val="0024189B"/>
    <w:rsid w:val="00241BF9"/>
    <w:rsid w:val="00242169"/>
    <w:rsid w:val="002423A4"/>
    <w:rsid w:val="00243D24"/>
    <w:rsid w:val="00244DAC"/>
    <w:rsid w:val="00245337"/>
    <w:rsid w:val="00245545"/>
    <w:rsid w:val="0024559C"/>
    <w:rsid w:val="00245F48"/>
    <w:rsid w:val="002461A6"/>
    <w:rsid w:val="00246A19"/>
    <w:rsid w:val="00246B57"/>
    <w:rsid w:val="00246EAA"/>
    <w:rsid w:val="00247552"/>
    <w:rsid w:val="00247611"/>
    <w:rsid w:val="002500D9"/>
    <w:rsid w:val="00250177"/>
    <w:rsid w:val="00251355"/>
    <w:rsid w:val="002515E3"/>
    <w:rsid w:val="00251DEE"/>
    <w:rsid w:val="00254090"/>
    <w:rsid w:val="002544BD"/>
    <w:rsid w:val="002547D0"/>
    <w:rsid w:val="00254AED"/>
    <w:rsid w:val="00256099"/>
    <w:rsid w:val="00256D06"/>
    <w:rsid w:val="00256D17"/>
    <w:rsid w:val="00257200"/>
    <w:rsid w:val="00257498"/>
    <w:rsid w:val="00257A5C"/>
    <w:rsid w:val="00257D50"/>
    <w:rsid w:val="00257E2C"/>
    <w:rsid w:val="00260E13"/>
    <w:rsid w:val="002612D4"/>
    <w:rsid w:val="00261D87"/>
    <w:rsid w:val="0026207A"/>
    <w:rsid w:val="002621E4"/>
    <w:rsid w:val="002624F8"/>
    <w:rsid w:val="00262B96"/>
    <w:rsid w:val="00262D8F"/>
    <w:rsid w:val="00263AEA"/>
    <w:rsid w:val="00263EE8"/>
    <w:rsid w:val="00264CCB"/>
    <w:rsid w:val="00264DC9"/>
    <w:rsid w:val="002657B3"/>
    <w:rsid w:val="002659EB"/>
    <w:rsid w:val="00265DB2"/>
    <w:rsid w:val="0026610A"/>
    <w:rsid w:val="00266971"/>
    <w:rsid w:val="00266DC5"/>
    <w:rsid w:val="00270100"/>
    <w:rsid w:val="0027024B"/>
    <w:rsid w:val="002702E9"/>
    <w:rsid w:val="00270EA0"/>
    <w:rsid w:val="002719DC"/>
    <w:rsid w:val="00271C9F"/>
    <w:rsid w:val="00271D35"/>
    <w:rsid w:val="00273304"/>
    <w:rsid w:val="0027442B"/>
    <w:rsid w:val="002746E5"/>
    <w:rsid w:val="00274D9C"/>
    <w:rsid w:val="0027581B"/>
    <w:rsid w:val="00275820"/>
    <w:rsid w:val="00276E84"/>
    <w:rsid w:val="002771F2"/>
    <w:rsid w:val="002772FE"/>
    <w:rsid w:val="0027740A"/>
    <w:rsid w:val="002776C4"/>
    <w:rsid w:val="002776D1"/>
    <w:rsid w:val="002809A4"/>
    <w:rsid w:val="00280AAB"/>
    <w:rsid w:val="00281800"/>
    <w:rsid w:val="00281B6B"/>
    <w:rsid w:val="00281F28"/>
    <w:rsid w:val="00281F7C"/>
    <w:rsid w:val="00282568"/>
    <w:rsid w:val="002828C8"/>
    <w:rsid w:val="002843C7"/>
    <w:rsid w:val="002853C7"/>
    <w:rsid w:val="0028540C"/>
    <w:rsid w:val="0028583B"/>
    <w:rsid w:val="00285E25"/>
    <w:rsid w:val="002861DB"/>
    <w:rsid w:val="002867DF"/>
    <w:rsid w:val="0028736D"/>
    <w:rsid w:val="0028759E"/>
    <w:rsid w:val="00287DEB"/>
    <w:rsid w:val="00287DF9"/>
    <w:rsid w:val="00287FDD"/>
    <w:rsid w:val="00290053"/>
    <w:rsid w:val="00290E89"/>
    <w:rsid w:val="0029127B"/>
    <w:rsid w:val="00291357"/>
    <w:rsid w:val="00291370"/>
    <w:rsid w:val="0029333C"/>
    <w:rsid w:val="00293BE3"/>
    <w:rsid w:val="00294F91"/>
    <w:rsid w:val="002959B4"/>
    <w:rsid w:val="00296151"/>
    <w:rsid w:val="002A0437"/>
    <w:rsid w:val="002A0BFC"/>
    <w:rsid w:val="002A17E2"/>
    <w:rsid w:val="002A1C0E"/>
    <w:rsid w:val="002A1CAB"/>
    <w:rsid w:val="002A229D"/>
    <w:rsid w:val="002A2551"/>
    <w:rsid w:val="002A25CA"/>
    <w:rsid w:val="002A2637"/>
    <w:rsid w:val="002A2A24"/>
    <w:rsid w:val="002A2ADF"/>
    <w:rsid w:val="002A376A"/>
    <w:rsid w:val="002A37E1"/>
    <w:rsid w:val="002A3967"/>
    <w:rsid w:val="002A3F7B"/>
    <w:rsid w:val="002A40A9"/>
    <w:rsid w:val="002A4BE3"/>
    <w:rsid w:val="002A4E2C"/>
    <w:rsid w:val="002A507F"/>
    <w:rsid w:val="002A550D"/>
    <w:rsid w:val="002A568A"/>
    <w:rsid w:val="002A5834"/>
    <w:rsid w:val="002A5C98"/>
    <w:rsid w:val="002A637A"/>
    <w:rsid w:val="002A67F6"/>
    <w:rsid w:val="002A682C"/>
    <w:rsid w:val="002A6C2B"/>
    <w:rsid w:val="002A6E40"/>
    <w:rsid w:val="002A70FD"/>
    <w:rsid w:val="002A759B"/>
    <w:rsid w:val="002A77AC"/>
    <w:rsid w:val="002A7955"/>
    <w:rsid w:val="002A7ABC"/>
    <w:rsid w:val="002A7F39"/>
    <w:rsid w:val="002B07DB"/>
    <w:rsid w:val="002B0A35"/>
    <w:rsid w:val="002B0AD5"/>
    <w:rsid w:val="002B0EAA"/>
    <w:rsid w:val="002B1C3D"/>
    <w:rsid w:val="002B20B4"/>
    <w:rsid w:val="002B2A48"/>
    <w:rsid w:val="002B2D6C"/>
    <w:rsid w:val="002B3110"/>
    <w:rsid w:val="002B347E"/>
    <w:rsid w:val="002B3BE6"/>
    <w:rsid w:val="002B4462"/>
    <w:rsid w:val="002B46A0"/>
    <w:rsid w:val="002B4C3F"/>
    <w:rsid w:val="002B4E26"/>
    <w:rsid w:val="002B50B9"/>
    <w:rsid w:val="002B5510"/>
    <w:rsid w:val="002B6244"/>
    <w:rsid w:val="002B64A3"/>
    <w:rsid w:val="002B7BA4"/>
    <w:rsid w:val="002C03D9"/>
    <w:rsid w:val="002C03FB"/>
    <w:rsid w:val="002C0900"/>
    <w:rsid w:val="002C0D1B"/>
    <w:rsid w:val="002C2329"/>
    <w:rsid w:val="002C2814"/>
    <w:rsid w:val="002C388E"/>
    <w:rsid w:val="002C3AC9"/>
    <w:rsid w:val="002C3BCC"/>
    <w:rsid w:val="002C47B2"/>
    <w:rsid w:val="002C512D"/>
    <w:rsid w:val="002C652D"/>
    <w:rsid w:val="002C708D"/>
    <w:rsid w:val="002C77DC"/>
    <w:rsid w:val="002D0076"/>
    <w:rsid w:val="002D06A2"/>
    <w:rsid w:val="002D0AC2"/>
    <w:rsid w:val="002D1548"/>
    <w:rsid w:val="002D1682"/>
    <w:rsid w:val="002D17B6"/>
    <w:rsid w:val="002D28B8"/>
    <w:rsid w:val="002D29D3"/>
    <w:rsid w:val="002D42E1"/>
    <w:rsid w:val="002D5234"/>
    <w:rsid w:val="002D5889"/>
    <w:rsid w:val="002D5BC6"/>
    <w:rsid w:val="002D61A1"/>
    <w:rsid w:val="002D62A9"/>
    <w:rsid w:val="002D62F3"/>
    <w:rsid w:val="002D6490"/>
    <w:rsid w:val="002D6491"/>
    <w:rsid w:val="002D6503"/>
    <w:rsid w:val="002D6520"/>
    <w:rsid w:val="002E09DD"/>
    <w:rsid w:val="002E0A26"/>
    <w:rsid w:val="002E0E5B"/>
    <w:rsid w:val="002E1FB6"/>
    <w:rsid w:val="002E21BB"/>
    <w:rsid w:val="002E22C5"/>
    <w:rsid w:val="002E2A49"/>
    <w:rsid w:val="002E2CDA"/>
    <w:rsid w:val="002E2DC1"/>
    <w:rsid w:val="002E32A7"/>
    <w:rsid w:val="002E33E6"/>
    <w:rsid w:val="002E3F4D"/>
    <w:rsid w:val="002E5118"/>
    <w:rsid w:val="002E56ED"/>
    <w:rsid w:val="002E58CE"/>
    <w:rsid w:val="002E5C31"/>
    <w:rsid w:val="002E6F09"/>
    <w:rsid w:val="002E74FE"/>
    <w:rsid w:val="002E7B1A"/>
    <w:rsid w:val="002E7B90"/>
    <w:rsid w:val="002F05F7"/>
    <w:rsid w:val="002F0C2F"/>
    <w:rsid w:val="002F0F5C"/>
    <w:rsid w:val="002F1653"/>
    <w:rsid w:val="002F26F1"/>
    <w:rsid w:val="002F29D5"/>
    <w:rsid w:val="002F2B63"/>
    <w:rsid w:val="002F34F7"/>
    <w:rsid w:val="002F39AF"/>
    <w:rsid w:val="002F3ACB"/>
    <w:rsid w:val="002F3E92"/>
    <w:rsid w:val="002F5248"/>
    <w:rsid w:val="002F6D49"/>
    <w:rsid w:val="002F725F"/>
    <w:rsid w:val="002F73C8"/>
    <w:rsid w:val="0030014D"/>
    <w:rsid w:val="0030021E"/>
    <w:rsid w:val="00300433"/>
    <w:rsid w:val="003005F5"/>
    <w:rsid w:val="00300618"/>
    <w:rsid w:val="003006C2"/>
    <w:rsid w:val="00300B15"/>
    <w:rsid w:val="00300D10"/>
    <w:rsid w:val="00300E34"/>
    <w:rsid w:val="00300EDE"/>
    <w:rsid w:val="00300F0B"/>
    <w:rsid w:val="003017BC"/>
    <w:rsid w:val="00301A79"/>
    <w:rsid w:val="00301AC4"/>
    <w:rsid w:val="00302459"/>
    <w:rsid w:val="00302FA9"/>
    <w:rsid w:val="003032D9"/>
    <w:rsid w:val="00303B00"/>
    <w:rsid w:val="00303F3D"/>
    <w:rsid w:val="00304DDB"/>
    <w:rsid w:val="00305183"/>
    <w:rsid w:val="00305B8C"/>
    <w:rsid w:val="00305F33"/>
    <w:rsid w:val="00305FBA"/>
    <w:rsid w:val="003062BC"/>
    <w:rsid w:val="00306393"/>
    <w:rsid w:val="003068F4"/>
    <w:rsid w:val="0030710D"/>
    <w:rsid w:val="00307398"/>
    <w:rsid w:val="0030761B"/>
    <w:rsid w:val="00307E25"/>
    <w:rsid w:val="003100E0"/>
    <w:rsid w:val="00310395"/>
    <w:rsid w:val="0031120D"/>
    <w:rsid w:val="00312664"/>
    <w:rsid w:val="0031279E"/>
    <w:rsid w:val="003128D7"/>
    <w:rsid w:val="00312AF4"/>
    <w:rsid w:val="00312D2A"/>
    <w:rsid w:val="00313407"/>
    <w:rsid w:val="00313B0F"/>
    <w:rsid w:val="00314E39"/>
    <w:rsid w:val="003164C7"/>
    <w:rsid w:val="0031651C"/>
    <w:rsid w:val="00316F7E"/>
    <w:rsid w:val="0031731A"/>
    <w:rsid w:val="00317A7A"/>
    <w:rsid w:val="00317F0B"/>
    <w:rsid w:val="00320070"/>
    <w:rsid w:val="003202AF"/>
    <w:rsid w:val="00321ED4"/>
    <w:rsid w:val="003223BD"/>
    <w:rsid w:val="003229FA"/>
    <w:rsid w:val="00322AFC"/>
    <w:rsid w:val="003231D2"/>
    <w:rsid w:val="003235D9"/>
    <w:rsid w:val="00323F43"/>
    <w:rsid w:val="00324625"/>
    <w:rsid w:val="00324B17"/>
    <w:rsid w:val="0032569F"/>
    <w:rsid w:val="00325AC4"/>
    <w:rsid w:val="0032616D"/>
    <w:rsid w:val="003265B5"/>
    <w:rsid w:val="00326B93"/>
    <w:rsid w:val="00326FFE"/>
    <w:rsid w:val="0032708E"/>
    <w:rsid w:val="00330161"/>
    <w:rsid w:val="003307D9"/>
    <w:rsid w:val="00331004"/>
    <w:rsid w:val="00331085"/>
    <w:rsid w:val="003314D0"/>
    <w:rsid w:val="003322C8"/>
    <w:rsid w:val="003326E5"/>
    <w:rsid w:val="00334113"/>
    <w:rsid w:val="003341C2"/>
    <w:rsid w:val="0033438D"/>
    <w:rsid w:val="00334605"/>
    <w:rsid w:val="00334DA6"/>
    <w:rsid w:val="003354BF"/>
    <w:rsid w:val="00335973"/>
    <w:rsid w:val="003359DA"/>
    <w:rsid w:val="00335AF4"/>
    <w:rsid w:val="00335D2D"/>
    <w:rsid w:val="0033675C"/>
    <w:rsid w:val="003367E2"/>
    <w:rsid w:val="003368D0"/>
    <w:rsid w:val="0033733C"/>
    <w:rsid w:val="003377B0"/>
    <w:rsid w:val="00337FAE"/>
    <w:rsid w:val="00341A9F"/>
    <w:rsid w:val="00342242"/>
    <w:rsid w:val="00342D4C"/>
    <w:rsid w:val="003436B6"/>
    <w:rsid w:val="00344F79"/>
    <w:rsid w:val="003459CF"/>
    <w:rsid w:val="00345C63"/>
    <w:rsid w:val="003465C1"/>
    <w:rsid w:val="00346F56"/>
    <w:rsid w:val="0034784A"/>
    <w:rsid w:val="00347B8E"/>
    <w:rsid w:val="00347BF9"/>
    <w:rsid w:val="00347F24"/>
    <w:rsid w:val="00350998"/>
    <w:rsid w:val="00350A10"/>
    <w:rsid w:val="00350C98"/>
    <w:rsid w:val="003517EC"/>
    <w:rsid w:val="00351C4A"/>
    <w:rsid w:val="003531ED"/>
    <w:rsid w:val="00353AEC"/>
    <w:rsid w:val="00354249"/>
    <w:rsid w:val="00354285"/>
    <w:rsid w:val="00355830"/>
    <w:rsid w:val="0035583A"/>
    <w:rsid w:val="00355A83"/>
    <w:rsid w:val="00355C96"/>
    <w:rsid w:val="00355D35"/>
    <w:rsid w:val="00355F81"/>
    <w:rsid w:val="00356208"/>
    <w:rsid w:val="00360135"/>
    <w:rsid w:val="0036039F"/>
    <w:rsid w:val="00360913"/>
    <w:rsid w:val="00360FDD"/>
    <w:rsid w:val="0036104F"/>
    <w:rsid w:val="00361613"/>
    <w:rsid w:val="00361C2A"/>
    <w:rsid w:val="00361E32"/>
    <w:rsid w:val="00361F61"/>
    <w:rsid w:val="003622D1"/>
    <w:rsid w:val="0036294D"/>
    <w:rsid w:val="0036309B"/>
    <w:rsid w:val="003634FB"/>
    <w:rsid w:val="003636DD"/>
    <w:rsid w:val="00363EBC"/>
    <w:rsid w:val="00364362"/>
    <w:rsid w:val="003649B2"/>
    <w:rsid w:val="003651DC"/>
    <w:rsid w:val="00365996"/>
    <w:rsid w:val="00367CA0"/>
    <w:rsid w:val="003709F3"/>
    <w:rsid w:val="00370C1E"/>
    <w:rsid w:val="00371BB3"/>
    <w:rsid w:val="003721CD"/>
    <w:rsid w:val="00372473"/>
    <w:rsid w:val="0037495B"/>
    <w:rsid w:val="00374A47"/>
    <w:rsid w:val="00374A59"/>
    <w:rsid w:val="00374E33"/>
    <w:rsid w:val="003750BB"/>
    <w:rsid w:val="00375BF3"/>
    <w:rsid w:val="003761ED"/>
    <w:rsid w:val="0037646F"/>
    <w:rsid w:val="003769FB"/>
    <w:rsid w:val="00376EA7"/>
    <w:rsid w:val="00377475"/>
    <w:rsid w:val="00377706"/>
    <w:rsid w:val="003778CD"/>
    <w:rsid w:val="00380299"/>
    <w:rsid w:val="00380764"/>
    <w:rsid w:val="00380915"/>
    <w:rsid w:val="00380E2C"/>
    <w:rsid w:val="0038123E"/>
    <w:rsid w:val="00381C84"/>
    <w:rsid w:val="0038272B"/>
    <w:rsid w:val="00382E20"/>
    <w:rsid w:val="00383D7C"/>
    <w:rsid w:val="003840FE"/>
    <w:rsid w:val="00384521"/>
    <w:rsid w:val="00384FA5"/>
    <w:rsid w:val="00385810"/>
    <w:rsid w:val="0038599E"/>
    <w:rsid w:val="00387041"/>
    <w:rsid w:val="00387D70"/>
    <w:rsid w:val="00390109"/>
    <w:rsid w:val="003901EB"/>
    <w:rsid w:val="00390D2A"/>
    <w:rsid w:val="00390E53"/>
    <w:rsid w:val="00391D63"/>
    <w:rsid w:val="003920DA"/>
    <w:rsid w:val="0039319F"/>
    <w:rsid w:val="003937F8"/>
    <w:rsid w:val="003938D8"/>
    <w:rsid w:val="0039391D"/>
    <w:rsid w:val="003945FF"/>
    <w:rsid w:val="00394BC9"/>
    <w:rsid w:val="00395232"/>
    <w:rsid w:val="00395270"/>
    <w:rsid w:val="003955E2"/>
    <w:rsid w:val="00396949"/>
    <w:rsid w:val="003A01E3"/>
    <w:rsid w:val="003A112F"/>
    <w:rsid w:val="003A11FD"/>
    <w:rsid w:val="003A19DE"/>
    <w:rsid w:val="003A1C2E"/>
    <w:rsid w:val="003A23EA"/>
    <w:rsid w:val="003A2FD0"/>
    <w:rsid w:val="003A37FC"/>
    <w:rsid w:val="003A3BB3"/>
    <w:rsid w:val="003A3CA2"/>
    <w:rsid w:val="003A3EED"/>
    <w:rsid w:val="003A41A2"/>
    <w:rsid w:val="003A431E"/>
    <w:rsid w:val="003A47E2"/>
    <w:rsid w:val="003A4C7F"/>
    <w:rsid w:val="003A506A"/>
    <w:rsid w:val="003A5824"/>
    <w:rsid w:val="003A5DBB"/>
    <w:rsid w:val="003A5FB5"/>
    <w:rsid w:val="003A6158"/>
    <w:rsid w:val="003A6943"/>
    <w:rsid w:val="003A754E"/>
    <w:rsid w:val="003B1BBC"/>
    <w:rsid w:val="003B1D5C"/>
    <w:rsid w:val="003B3000"/>
    <w:rsid w:val="003B30D3"/>
    <w:rsid w:val="003B3493"/>
    <w:rsid w:val="003B4B5C"/>
    <w:rsid w:val="003B5496"/>
    <w:rsid w:val="003B5967"/>
    <w:rsid w:val="003B5D20"/>
    <w:rsid w:val="003B64CE"/>
    <w:rsid w:val="003B7851"/>
    <w:rsid w:val="003C0912"/>
    <w:rsid w:val="003C0D59"/>
    <w:rsid w:val="003C1829"/>
    <w:rsid w:val="003C1A07"/>
    <w:rsid w:val="003C1E6D"/>
    <w:rsid w:val="003C2120"/>
    <w:rsid w:val="003C2726"/>
    <w:rsid w:val="003C3A58"/>
    <w:rsid w:val="003C3B59"/>
    <w:rsid w:val="003C473E"/>
    <w:rsid w:val="003C48BE"/>
    <w:rsid w:val="003C4C20"/>
    <w:rsid w:val="003C5D64"/>
    <w:rsid w:val="003C6D38"/>
    <w:rsid w:val="003C6DE8"/>
    <w:rsid w:val="003C73D8"/>
    <w:rsid w:val="003D1205"/>
    <w:rsid w:val="003D18DA"/>
    <w:rsid w:val="003D1D4D"/>
    <w:rsid w:val="003D1DD5"/>
    <w:rsid w:val="003D27E4"/>
    <w:rsid w:val="003D28AB"/>
    <w:rsid w:val="003D2CD8"/>
    <w:rsid w:val="003D3378"/>
    <w:rsid w:val="003D339E"/>
    <w:rsid w:val="003D371E"/>
    <w:rsid w:val="003D3FA1"/>
    <w:rsid w:val="003D427A"/>
    <w:rsid w:val="003D4429"/>
    <w:rsid w:val="003D4FEB"/>
    <w:rsid w:val="003D53C4"/>
    <w:rsid w:val="003D6802"/>
    <w:rsid w:val="003D6899"/>
    <w:rsid w:val="003D736E"/>
    <w:rsid w:val="003D751F"/>
    <w:rsid w:val="003D7734"/>
    <w:rsid w:val="003D7DE4"/>
    <w:rsid w:val="003E1225"/>
    <w:rsid w:val="003E14FE"/>
    <w:rsid w:val="003E188D"/>
    <w:rsid w:val="003E1C80"/>
    <w:rsid w:val="003E276B"/>
    <w:rsid w:val="003E3240"/>
    <w:rsid w:val="003E3383"/>
    <w:rsid w:val="003E35A5"/>
    <w:rsid w:val="003E3C04"/>
    <w:rsid w:val="003E41EF"/>
    <w:rsid w:val="003E4391"/>
    <w:rsid w:val="003E4630"/>
    <w:rsid w:val="003E4740"/>
    <w:rsid w:val="003E4E93"/>
    <w:rsid w:val="003E5099"/>
    <w:rsid w:val="003E50BD"/>
    <w:rsid w:val="003E50D0"/>
    <w:rsid w:val="003E6BD4"/>
    <w:rsid w:val="003E7042"/>
    <w:rsid w:val="003E72D1"/>
    <w:rsid w:val="003E74CE"/>
    <w:rsid w:val="003E7DFC"/>
    <w:rsid w:val="003F018A"/>
    <w:rsid w:val="003F0775"/>
    <w:rsid w:val="003F0DA0"/>
    <w:rsid w:val="003F1695"/>
    <w:rsid w:val="003F1C0F"/>
    <w:rsid w:val="003F2F8A"/>
    <w:rsid w:val="003F5CEE"/>
    <w:rsid w:val="003F5E3C"/>
    <w:rsid w:val="003F662E"/>
    <w:rsid w:val="003F6B03"/>
    <w:rsid w:val="003F777A"/>
    <w:rsid w:val="0040067A"/>
    <w:rsid w:val="0040076D"/>
    <w:rsid w:val="00400CE8"/>
    <w:rsid w:val="0040102A"/>
    <w:rsid w:val="004021C1"/>
    <w:rsid w:val="004025A5"/>
    <w:rsid w:val="0040391B"/>
    <w:rsid w:val="00403D38"/>
    <w:rsid w:val="0040446E"/>
    <w:rsid w:val="00404669"/>
    <w:rsid w:val="004047FA"/>
    <w:rsid w:val="00404A4B"/>
    <w:rsid w:val="00404D8A"/>
    <w:rsid w:val="0040546B"/>
    <w:rsid w:val="004056B2"/>
    <w:rsid w:val="0040618E"/>
    <w:rsid w:val="0040716F"/>
    <w:rsid w:val="00410055"/>
    <w:rsid w:val="0041014D"/>
    <w:rsid w:val="0041038F"/>
    <w:rsid w:val="00410C27"/>
    <w:rsid w:val="00411110"/>
    <w:rsid w:val="00411361"/>
    <w:rsid w:val="00411412"/>
    <w:rsid w:val="00411FF1"/>
    <w:rsid w:val="00411FF8"/>
    <w:rsid w:val="004124CD"/>
    <w:rsid w:val="0041330F"/>
    <w:rsid w:val="0041450A"/>
    <w:rsid w:val="00415A6A"/>
    <w:rsid w:val="00416499"/>
    <w:rsid w:val="004173E0"/>
    <w:rsid w:val="00417496"/>
    <w:rsid w:val="00417B3B"/>
    <w:rsid w:val="00420009"/>
    <w:rsid w:val="00421307"/>
    <w:rsid w:val="00421A6B"/>
    <w:rsid w:val="00421BBB"/>
    <w:rsid w:val="00421DCC"/>
    <w:rsid w:val="004220B9"/>
    <w:rsid w:val="00422F9B"/>
    <w:rsid w:val="004243B3"/>
    <w:rsid w:val="004247B8"/>
    <w:rsid w:val="00424B11"/>
    <w:rsid w:val="004260F0"/>
    <w:rsid w:val="004265D3"/>
    <w:rsid w:val="00426AF7"/>
    <w:rsid w:val="00426BE3"/>
    <w:rsid w:val="00427271"/>
    <w:rsid w:val="00427F50"/>
    <w:rsid w:val="00427F7A"/>
    <w:rsid w:val="004309F7"/>
    <w:rsid w:val="0043143C"/>
    <w:rsid w:val="004320F1"/>
    <w:rsid w:val="0043221E"/>
    <w:rsid w:val="004327D6"/>
    <w:rsid w:val="00433A46"/>
    <w:rsid w:val="00434799"/>
    <w:rsid w:val="0043525A"/>
    <w:rsid w:val="00435863"/>
    <w:rsid w:val="00437A9E"/>
    <w:rsid w:val="00437B08"/>
    <w:rsid w:val="00437BEA"/>
    <w:rsid w:val="00437CB8"/>
    <w:rsid w:val="00437DBA"/>
    <w:rsid w:val="00437F25"/>
    <w:rsid w:val="00440788"/>
    <w:rsid w:val="00440BA7"/>
    <w:rsid w:val="004415E2"/>
    <w:rsid w:val="0044178A"/>
    <w:rsid w:val="00441EC9"/>
    <w:rsid w:val="004421C2"/>
    <w:rsid w:val="00442D73"/>
    <w:rsid w:val="00443126"/>
    <w:rsid w:val="0044332E"/>
    <w:rsid w:val="00443D27"/>
    <w:rsid w:val="00443DB5"/>
    <w:rsid w:val="0044417F"/>
    <w:rsid w:val="00444181"/>
    <w:rsid w:val="0044536A"/>
    <w:rsid w:val="00445C38"/>
    <w:rsid w:val="00445DA4"/>
    <w:rsid w:val="00445FDD"/>
    <w:rsid w:val="004460D8"/>
    <w:rsid w:val="0044715B"/>
    <w:rsid w:val="004475B0"/>
    <w:rsid w:val="00447C68"/>
    <w:rsid w:val="00447D0D"/>
    <w:rsid w:val="0045077B"/>
    <w:rsid w:val="004508ED"/>
    <w:rsid w:val="004509D3"/>
    <w:rsid w:val="00450A5B"/>
    <w:rsid w:val="00450AC4"/>
    <w:rsid w:val="00450DD1"/>
    <w:rsid w:val="004533AC"/>
    <w:rsid w:val="004534E3"/>
    <w:rsid w:val="00453FCD"/>
    <w:rsid w:val="0045446B"/>
    <w:rsid w:val="00454BA0"/>
    <w:rsid w:val="00455305"/>
    <w:rsid w:val="004553DF"/>
    <w:rsid w:val="00455F2C"/>
    <w:rsid w:val="00456592"/>
    <w:rsid w:val="00456786"/>
    <w:rsid w:val="00456C0D"/>
    <w:rsid w:val="004604D3"/>
    <w:rsid w:val="004606C7"/>
    <w:rsid w:val="0046076B"/>
    <w:rsid w:val="004609DD"/>
    <w:rsid w:val="0046137A"/>
    <w:rsid w:val="00462702"/>
    <w:rsid w:val="004633BD"/>
    <w:rsid w:val="0046376C"/>
    <w:rsid w:val="00463DAB"/>
    <w:rsid w:val="004644EF"/>
    <w:rsid w:val="004645DF"/>
    <w:rsid w:val="00464909"/>
    <w:rsid w:val="00465045"/>
    <w:rsid w:val="00465334"/>
    <w:rsid w:val="0046555C"/>
    <w:rsid w:val="004667A7"/>
    <w:rsid w:val="004675E6"/>
    <w:rsid w:val="00467ECA"/>
    <w:rsid w:val="0047005F"/>
    <w:rsid w:val="004706B8"/>
    <w:rsid w:val="004720D3"/>
    <w:rsid w:val="0047256A"/>
    <w:rsid w:val="0047361A"/>
    <w:rsid w:val="004737C7"/>
    <w:rsid w:val="00473B67"/>
    <w:rsid w:val="0047456F"/>
    <w:rsid w:val="00474AF9"/>
    <w:rsid w:val="004758A4"/>
    <w:rsid w:val="004810F2"/>
    <w:rsid w:val="00481830"/>
    <w:rsid w:val="004829DB"/>
    <w:rsid w:val="00482FAD"/>
    <w:rsid w:val="00483509"/>
    <w:rsid w:val="00483E1E"/>
    <w:rsid w:val="00483EE0"/>
    <w:rsid w:val="004840FA"/>
    <w:rsid w:val="004844B1"/>
    <w:rsid w:val="00484EFA"/>
    <w:rsid w:val="00485617"/>
    <w:rsid w:val="004858E3"/>
    <w:rsid w:val="00485A32"/>
    <w:rsid w:val="00485A37"/>
    <w:rsid w:val="0048604A"/>
    <w:rsid w:val="0048661E"/>
    <w:rsid w:val="0048672D"/>
    <w:rsid w:val="004873B1"/>
    <w:rsid w:val="004877FB"/>
    <w:rsid w:val="00487F17"/>
    <w:rsid w:val="00487FB6"/>
    <w:rsid w:val="004900CF"/>
    <w:rsid w:val="00491575"/>
    <w:rsid w:val="0049176C"/>
    <w:rsid w:val="004917CF"/>
    <w:rsid w:val="0049193D"/>
    <w:rsid w:val="00491EFD"/>
    <w:rsid w:val="0049268D"/>
    <w:rsid w:val="00493402"/>
    <w:rsid w:val="0049365F"/>
    <w:rsid w:val="004939E2"/>
    <w:rsid w:val="00493A40"/>
    <w:rsid w:val="00493AC1"/>
    <w:rsid w:val="00493C3A"/>
    <w:rsid w:val="004956BD"/>
    <w:rsid w:val="00495DA8"/>
    <w:rsid w:val="004964BA"/>
    <w:rsid w:val="00496FE9"/>
    <w:rsid w:val="004973B1"/>
    <w:rsid w:val="00497567"/>
    <w:rsid w:val="004976B0"/>
    <w:rsid w:val="004A0A60"/>
    <w:rsid w:val="004A0BC0"/>
    <w:rsid w:val="004A1D45"/>
    <w:rsid w:val="004A2582"/>
    <w:rsid w:val="004A2950"/>
    <w:rsid w:val="004A2D73"/>
    <w:rsid w:val="004A38A9"/>
    <w:rsid w:val="004A3B95"/>
    <w:rsid w:val="004A40AA"/>
    <w:rsid w:val="004A4248"/>
    <w:rsid w:val="004A43B1"/>
    <w:rsid w:val="004A4B5D"/>
    <w:rsid w:val="004A4F6F"/>
    <w:rsid w:val="004A5AF1"/>
    <w:rsid w:val="004A5BCA"/>
    <w:rsid w:val="004A5EAC"/>
    <w:rsid w:val="004A64C7"/>
    <w:rsid w:val="004A6607"/>
    <w:rsid w:val="004A6F7A"/>
    <w:rsid w:val="004A7146"/>
    <w:rsid w:val="004A7D67"/>
    <w:rsid w:val="004B009C"/>
    <w:rsid w:val="004B09BE"/>
    <w:rsid w:val="004B0B21"/>
    <w:rsid w:val="004B1189"/>
    <w:rsid w:val="004B129A"/>
    <w:rsid w:val="004B1DF8"/>
    <w:rsid w:val="004B2074"/>
    <w:rsid w:val="004B24B6"/>
    <w:rsid w:val="004B28C0"/>
    <w:rsid w:val="004B39B6"/>
    <w:rsid w:val="004B3FAF"/>
    <w:rsid w:val="004B48B5"/>
    <w:rsid w:val="004B5038"/>
    <w:rsid w:val="004B60B0"/>
    <w:rsid w:val="004B645E"/>
    <w:rsid w:val="004B64B3"/>
    <w:rsid w:val="004B658C"/>
    <w:rsid w:val="004B6601"/>
    <w:rsid w:val="004B6C5B"/>
    <w:rsid w:val="004B7ABC"/>
    <w:rsid w:val="004C00F8"/>
    <w:rsid w:val="004C093F"/>
    <w:rsid w:val="004C1FD9"/>
    <w:rsid w:val="004C2BA1"/>
    <w:rsid w:val="004C3679"/>
    <w:rsid w:val="004C3E48"/>
    <w:rsid w:val="004C4932"/>
    <w:rsid w:val="004C4DDA"/>
    <w:rsid w:val="004C573E"/>
    <w:rsid w:val="004C580A"/>
    <w:rsid w:val="004C5BD5"/>
    <w:rsid w:val="004C71D4"/>
    <w:rsid w:val="004C750D"/>
    <w:rsid w:val="004C79D5"/>
    <w:rsid w:val="004C7ADB"/>
    <w:rsid w:val="004C7BE1"/>
    <w:rsid w:val="004C7E2A"/>
    <w:rsid w:val="004C7F0D"/>
    <w:rsid w:val="004D0603"/>
    <w:rsid w:val="004D09C9"/>
    <w:rsid w:val="004D0DF5"/>
    <w:rsid w:val="004D0E3D"/>
    <w:rsid w:val="004D10D9"/>
    <w:rsid w:val="004D1187"/>
    <w:rsid w:val="004D133B"/>
    <w:rsid w:val="004D17B1"/>
    <w:rsid w:val="004D2657"/>
    <w:rsid w:val="004D424E"/>
    <w:rsid w:val="004D4459"/>
    <w:rsid w:val="004D4ED6"/>
    <w:rsid w:val="004D4F10"/>
    <w:rsid w:val="004D5A84"/>
    <w:rsid w:val="004D5CE9"/>
    <w:rsid w:val="004D5ED3"/>
    <w:rsid w:val="004D641E"/>
    <w:rsid w:val="004D6422"/>
    <w:rsid w:val="004D6E36"/>
    <w:rsid w:val="004D7118"/>
    <w:rsid w:val="004D777B"/>
    <w:rsid w:val="004D781B"/>
    <w:rsid w:val="004E0282"/>
    <w:rsid w:val="004E071F"/>
    <w:rsid w:val="004E080C"/>
    <w:rsid w:val="004E0F2A"/>
    <w:rsid w:val="004E1C81"/>
    <w:rsid w:val="004E1F0E"/>
    <w:rsid w:val="004E2A09"/>
    <w:rsid w:val="004E3F5E"/>
    <w:rsid w:val="004E4193"/>
    <w:rsid w:val="004E4210"/>
    <w:rsid w:val="004E427D"/>
    <w:rsid w:val="004E4599"/>
    <w:rsid w:val="004E4B62"/>
    <w:rsid w:val="004E4DBE"/>
    <w:rsid w:val="004E57D7"/>
    <w:rsid w:val="004E61A1"/>
    <w:rsid w:val="004E636A"/>
    <w:rsid w:val="004E640D"/>
    <w:rsid w:val="004E7178"/>
    <w:rsid w:val="004E77A0"/>
    <w:rsid w:val="004F003A"/>
    <w:rsid w:val="004F052D"/>
    <w:rsid w:val="004F1021"/>
    <w:rsid w:val="004F21CE"/>
    <w:rsid w:val="004F3891"/>
    <w:rsid w:val="004F3BAD"/>
    <w:rsid w:val="004F4412"/>
    <w:rsid w:val="004F4DDE"/>
    <w:rsid w:val="004F4F6C"/>
    <w:rsid w:val="004F588E"/>
    <w:rsid w:val="004F6313"/>
    <w:rsid w:val="004F69B8"/>
    <w:rsid w:val="004F75E3"/>
    <w:rsid w:val="004F7B61"/>
    <w:rsid w:val="004F7FD6"/>
    <w:rsid w:val="0050062B"/>
    <w:rsid w:val="00500E78"/>
    <w:rsid w:val="0050113F"/>
    <w:rsid w:val="005017B7"/>
    <w:rsid w:val="00501972"/>
    <w:rsid w:val="00501CD7"/>
    <w:rsid w:val="00502D84"/>
    <w:rsid w:val="005039C6"/>
    <w:rsid w:val="00503E6D"/>
    <w:rsid w:val="005040CB"/>
    <w:rsid w:val="005042DD"/>
    <w:rsid w:val="00504507"/>
    <w:rsid w:val="00504CAA"/>
    <w:rsid w:val="00504FD3"/>
    <w:rsid w:val="005052C6"/>
    <w:rsid w:val="00505E1E"/>
    <w:rsid w:val="0050635E"/>
    <w:rsid w:val="005076B5"/>
    <w:rsid w:val="0050771D"/>
    <w:rsid w:val="005078E2"/>
    <w:rsid w:val="00507FFB"/>
    <w:rsid w:val="00511234"/>
    <w:rsid w:val="00511E6D"/>
    <w:rsid w:val="00512077"/>
    <w:rsid w:val="005123EF"/>
    <w:rsid w:val="005124DB"/>
    <w:rsid w:val="005126DD"/>
    <w:rsid w:val="0051326B"/>
    <w:rsid w:val="005132B9"/>
    <w:rsid w:val="00513700"/>
    <w:rsid w:val="00513768"/>
    <w:rsid w:val="00513BEB"/>
    <w:rsid w:val="0051475F"/>
    <w:rsid w:val="005152A1"/>
    <w:rsid w:val="00515D43"/>
    <w:rsid w:val="00516584"/>
    <w:rsid w:val="00516610"/>
    <w:rsid w:val="00516D29"/>
    <w:rsid w:val="005204FC"/>
    <w:rsid w:val="00520F3F"/>
    <w:rsid w:val="00521362"/>
    <w:rsid w:val="005217CD"/>
    <w:rsid w:val="00521864"/>
    <w:rsid w:val="00521EA2"/>
    <w:rsid w:val="00522419"/>
    <w:rsid w:val="00522629"/>
    <w:rsid w:val="00522B9D"/>
    <w:rsid w:val="00522EE8"/>
    <w:rsid w:val="00523160"/>
    <w:rsid w:val="0052393B"/>
    <w:rsid w:val="00523A31"/>
    <w:rsid w:val="005245CE"/>
    <w:rsid w:val="00524C16"/>
    <w:rsid w:val="00524DC2"/>
    <w:rsid w:val="00524E64"/>
    <w:rsid w:val="0052531A"/>
    <w:rsid w:val="00525500"/>
    <w:rsid w:val="00525AAE"/>
    <w:rsid w:val="00525BA5"/>
    <w:rsid w:val="00525C24"/>
    <w:rsid w:val="00525C99"/>
    <w:rsid w:val="0052605D"/>
    <w:rsid w:val="0052631C"/>
    <w:rsid w:val="0052635D"/>
    <w:rsid w:val="005263F1"/>
    <w:rsid w:val="00527068"/>
    <w:rsid w:val="00527564"/>
    <w:rsid w:val="005276DB"/>
    <w:rsid w:val="00530489"/>
    <w:rsid w:val="00530B7D"/>
    <w:rsid w:val="00530EA5"/>
    <w:rsid w:val="00531425"/>
    <w:rsid w:val="00531D30"/>
    <w:rsid w:val="0053233B"/>
    <w:rsid w:val="00532C27"/>
    <w:rsid w:val="00533871"/>
    <w:rsid w:val="00533E9A"/>
    <w:rsid w:val="00534A24"/>
    <w:rsid w:val="00535014"/>
    <w:rsid w:val="00535C97"/>
    <w:rsid w:val="005364CC"/>
    <w:rsid w:val="00537211"/>
    <w:rsid w:val="0053769C"/>
    <w:rsid w:val="00537D88"/>
    <w:rsid w:val="00540536"/>
    <w:rsid w:val="00540808"/>
    <w:rsid w:val="00541708"/>
    <w:rsid w:val="00541CA9"/>
    <w:rsid w:val="00542A1A"/>
    <w:rsid w:val="0054433E"/>
    <w:rsid w:val="0054499E"/>
    <w:rsid w:val="0054578B"/>
    <w:rsid w:val="00545C91"/>
    <w:rsid w:val="00545CE1"/>
    <w:rsid w:val="00545F99"/>
    <w:rsid w:val="005463AB"/>
    <w:rsid w:val="00546C8C"/>
    <w:rsid w:val="00550861"/>
    <w:rsid w:val="0055141A"/>
    <w:rsid w:val="005515A6"/>
    <w:rsid w:val="00551C3E"/>
    <w:rsid w:val="005522E1"/>
    <w:rsid w:val="00552725"/>
    <w:rsid w:val="00553022"/>
    <w:rsid w:val="005539B6"/>
    <w:rsid w:val="00555AAE"/>
    <w:rsid w:val="00555C00"/>
    <w:rsid w:val="00555D55"/>
    <w:rsid w:val="00556E54"/>
    <w:rsid w:val="0055711A"/>
    <w:rsid w:val="00557848"/>
    <w:rsid w:val="00560885"/>
    <w:rsid w:val="00560BA8"/>
    <w:rsid w:val="00561442"/>
    <w:rsid w:val="0056147D"/>
    <w:rsid w:val="0056165E"/>
    <w:rsid w:val="00561865"/>
    <w:rsid w:val="0056241C"/>
    <w:rsid w:val="00562760"/>
    <w:rsid w:val="005634D1"/>
    <w:rsid w:val="0056375E"/>
    <w:rsid w:val="00563A4B"/>
    <w:rsid w:val="00565125"/>
    <w:rsid w:val="0056539C"/>
    <w:rsid w:val="00565B2D"/>
    <w:rsid w:val="00565FD9"/>
    <w:rsid w:val="0056600D"/>
    <w:rsid w:val="00566572"/>
    <w:rsid w:val="005668A8"/>
    <w:rsid w:val="00566ED7"/>
    <w:rsid w:val="00567902"/>
    <w:rsid w:val="00567C97"/>
    <w:rsid w:val="0057155A"/>
    <w:rsid w:val="00571570"/>
    <w:rsid w:val="00571A52"/>
    <w:rsid w:val="00571C4F"/>
    <w:rsid w:val="00571EE5"/>
    <w:rsid w:val="0057200C"/>
    <w:rsid w:val="005725CC"/>
    <w:rsid w:val="00574916"/>
    <w:rsid w:val="00574AEF"/>
    <w:rsid w:val="00574F16"/>
    <w:rsid w:val="00575C08"/>
    <w:rsid w:val="0057700B"/>
    <w:rsid w:val="00577B71"/>
    <w:rsid w:val="00577C9C"/>
    <w:rsid w:val="00580286"/>
    <w:rsid w:val="00580C69"/>
    <w:rsid w:val="00582077"/>
    <w:rsid w:val="0058278B"/>
    <w:rsid w:val="005828B7"/>
    <w:rsid w:val="00582A26"/>
    <w:rsid w:val="005834F0"/>
    <w:rsid w:val="00583851"/>
    <w:rsid w:val="00583A75"/>
    <w:rsid w:val="0058405D"/>
    <w:rsid w:val="0058528A"/>
    <w:rsid w:val="00585297"/>
    <w:rsid w:val="00585B56"/>
    <w:rsid w:val="00586466"/>
    <w:rsid w:val="0058666E"/>
    <w:rsid w:val="00586ADE"/>
    <w:rsid w:val="0058716D"/>
    <w:rsid w:val="00587CC7"/>
    <w:rsid w:val="00591ED6"/>
    <w:rsid w:val="0059201A"/>
    <w:rsid w:val="00592161"/>
    <w:rsid w:val="005924FD"/>
    <w:rsid w:val="00592589"/>
    <w:rsid w:val="005925C5"/>
    <w:rsid w:val="0059427F"/>
    <w:rsid w:val="00595457"/>
    <w:rsid w:val="0059649B"/>
    <w:rsid w:val="00596B1E"/>
    <w:rsid w:val="0059761D"/>
    <w:rsid w:val="005A0285"/>
    <w:rsid w:val="005A062C"/>
    <w:rsid w:val="005A063C"/>
    <w:rsid w:val="005A06CA"/>
    <w:rsid w:val="005A13A4"/>
    <w:rsid w:val="005A1C13"/>
    <w:rsid w:val="005A236D"/>
    <w:rsid w:val="005A2D2A"/>
    <w:rsid w:val="005A2D44"/>
    <w:rsid w:val="005A3FF1"/>
    <w:rsid w:val="005A4686"/>
    <w:rsid w:val="005A55DB"/>
    <w:rsid w:val="005A5F2E"/>
    <w:rsid w:val="005A60AB"/>
    <w:rsid w:val="005A631E"/>
    <w:rsid w:val="005A632E"/>
    <w:rsid w:val="005A63B1"/>
    <w:rsid w:val="005A6B8C"/>
    <w:rsid w:val="005A6DB0"/>
    <w:rsid w:val="005A78AD"/>
    <w:rsid w:val="005A7969"/>
    <w:rsid w:val="005B10A7"/>
    <w:rsid w:val="005B1219"/>
    <w:rsid w:val="005B17A5"/>
    <w:rsid w:val="005B19C1"/>
    <w:rsid w:val="005B1D17"/>
    <w:rsid w:val="005B1FD9"/>
    <w:rsid w:val="005B24FC"/>
    <w:rsid w:val="005B28D9"/>
    <w:rsid w:val="005B2DD8"/>
    <w:rsid w:val="005B304E"/>
    <w:rsid w:val="005B3714"/>
    <w:rsid w:val="005B438C"/>
    <w:rsid w:val="005B43BF"/>
    <w:rsid w:val="005B549F"/>
    <w:rsid w:val="005B5564"/>
    <w:rsid w:val="005B5BE6"/>
    <w:rsid w:val="005B5CEE"/>
    <w:rsid w:val="005B6750"/>
    <w:rsid w:val="005B74E7"/>
    <w:rsid w:val="005B762F"/>
    <w:rsid w:val="005B7C7A"/>
    <w:rsid w:val="005C061C"/>
    <w:rsid w:val="005C08D5"/>
    <w:rsid w:val="005C0DBA"/>
    <w:rsid w:val="005C122D"/>
    <w:rsid w:val="005C1248"/>
    <w:rsid w:val="005C1372"/>
    <w:rsid w:val="005C1A5E"/>
    <w:rsid w:val="005C2252"/>
    <w:rsid w:val="005C289C"/>
    <w:rsid w:val="005C2D6F"/>
    <w:rsid w:val="005C375F"/>
    <w:rsid w:val="005C3E98"/>
    <w:rsid w:val="005C4555"/>
    <w:rsid w:val="005C4A79"/>
    <w:rsid w:val="005C4BE2"/>
    <w:rsid w:val="005C4D78"/>
    <w:rsid w:val="005C54E8"/>
    <w:rsid w:val="005C6D15"/>
    <w:rsid w:val="005C6D18"/>
    <w:rsid w:val="005C72F1"/>
    <w:rsid w:val="005C779F"/>
    <w:rsid w:val="005D0A88"/>
    <w:rsid w:val="005D0DFB"/>
    <w:rsid w:val="005D1309"/>
    <w:rsid w:val="005D17A2"/>
    <w:rsid w:val="005D1ABE"/>
    <w:rsid w:val="005D1BFA"/>
    <w:rsid w:val="005D1CF3"/>
    <w:rsid w:val="005D2090"/>
    <w:rsid w:val="005D2322"/>
    <w:rsid w:val="005D235C"/>
    <w:rsid w:val="005D2886"/>
    <w:rsid w:val="005D2F4F"/>
    <w:rsid w:val="005D3A2A"/>
    <w:rsid w:val="005D3B25"/>
    <w:rsid w:val="005D4A7B"/>
    <w:rsid w:val="005D53D5"/>
    <w:rsid w:val="005D5724"/>
    <w:rsid w:val="005D59CF"/>
    <w:rsid w:val="005D5A15"/>
    <w:rsid w:val="005D5A9B"/>
    <w:rsid w:val="005D772A"/>
    <w:rsid w:val="005D7809"/>
    <w:rsid w:val="005E023A"/>
    <w:rsid w:val="005E0660"/>
    <w:rsid w:val="005E0F2A"/>
    <w:rsid w:val="005E2356"/>
    <w:rsid w:val="005E28CF"/>
    <w:rsid w:val="005E2DC3"/>
    <w:rsid w:val="005E3720"/>
    <w:rsid w:val="005E3800"/>
    <w:rsid w:val="005E4B6D"/>
    <w:rsid w:val="005E4D3D"/>
    <w:rsid w:val="005E5E86"/>
    <w:rsid w:val="005E64A4"/>
    <w:rsid w:val="005E79CB"/>
    <w:rsid w:val="005E7C0F"/>
    <w:rsid w:val="005F00B4"/>
    <w:rsid w:val="005F12C9"/>
    <w:rsid w:val="005F204D"/>
    <w:rsid w:val="005F20A5"/>
    <w:rsid w:val="005F36FB"/>
    <w:rsid w:val="005F3807"/>
    <w:rsid w:val="005F3AC9"/>
    <w:rsid w:val="005F41B7"/>
    <w:rsid w:val="005F510E"/>
    <w:rsid w:val="005F523A"/>
    <w:rsid w:val="005F54FF"/>
    <w:rsid w:val="005F56E6"/>
    <w:rsid w:val="005F5A1F"/>
    <w:rsid w:val="005F6687"/>
    <w:rsid w:val="005F668E"/>
    <w:rsid w:val="005F6BEC"/>
    <w:rsid w:val="00600A51"/>
    <w:rsid w:val="00601561"/>
    <w:rsid w:val="00601BC6"/>
    <w:rsid w:val="00601BF5"/>
    <w:rsid w:val="0060220B"/>
    <w:rsid w:val="00602348"/>
    <w:rsid w:val="00602469"/>
    <w:rsid w:val="00602D6D"/>
    <w:rsid w:val="00602F09"/>
    <w:rsid w:val="00603325"/>
    <w:rsid w:val="006041C6"/>
    <w:rsid w:val="00604AC6"/>
    <w:rsid w:val="006057BE"/>
    <w:rsid w:val="00606D07"/>
    <w:rsid w:val="0060752E"/>
    <w:rsid w:val="0061000A"/>
    <w:rsid w:val="0061089A"/>
    <w:rsid w:val="00610ADF"/>
    <w:rsid w:val="00610C61"/>
    <w:rsid w:val="00610C75"/>
    <w:rsid w:val="00610D98"/>
    <w:rsid w:val="0061105B"/>
    <w:rsid w:val="0061201F"/>
    <w:rsid w:val="006124BA"/>
    <w:rsid w:val="00612599"/>
    <w:rsid w:val="0061279E"/>
    <w:rsid w:val="00612A2F"/>
    <w:rsid w:val="00612AED"/>
    <w:rsid w:val="00612C41"/>
    <w:rsid w:val="006130DC"/>
    <w:rsid w:val="00613280"/>
    <w:rsid w:val="00613EF6"/>
    <w:rsid w:val="0061428A"/>
    <w:rsid w:val="00614512"/>
    <w:rsid w:val="00614526"/>
    <w:rsid w:val="006146EC"/>
    <w:rsid w:val="006153B9"/>
    <w:rsid w:val="00615916"/>
    <w:rsid w:val="00616162"/>
    <w:rsid w:val="00616B76"/>
    <w:rsid w:val="00617845"/>
    <w:rsid w:val="00617B3A"/>
    <w:rsid w:val="00617B56"/>
    <w:rsid w:val="006201E3"/>
    <w:rsid w:val="0062086F"/>
    <w:rsid w:val="00620B91"/>
    <w:rsid w:val="00620FEB"/>
    <w:rsid w:val="00621049"/>
    <w:rsid w:val="006216CB"/>
    <w:rsid w:val="00621966"/>
    <w:rsid w:val="00621EAB"/>
    <w:rsid w:val="00621EEB"/>
    <w:rsid w:val="00623CDD"/>
    <w:rsid w:val="006241F9"/>
    <w:rsid w:val="0062461B"/>
    <w:rsid w:val="006248F5"/>
    <w:rsid w:val="006252E1"/>
    <w:rsid w:val="00625D42"/>
    <w:rsid w:val="0062610F"/>
    <w:rsid w:val="00626122"/>
    <w:rsid w:val="006267B1"/>
    <w:rsid w:val="006267EA"/>
    <w:rsid w:val="00627033"/>
    <w:rsid w:val="00627A19"/>
    <w:rsid w:val="0063090C"/>
    <w:rsid w:val="00630CCA"/>
    <w:rsid w:val="006310D7"/>
    <w:rsid w:val="00631493"/>
    <w:rsid w:val="00631815"/>
    <w:rsid w:val="00631CEF"/>
    <w:rsid w:val="00632191"/>
    <w:rsid w:val="0063281E"/>
    <w:rsid w:val="00632EEB"/>
    <w:rsid w:val="0063319A"/>
    <w:rsid w:val="006335CB"/>
    <w:rsid w:val="00633AAE"/>
    <w:rsid w:val="00633AE8"/>
    <w:rsid w:val="00633C61"/>
    <w:rsid w:val="0063430F"/>
    <w:rsid w:val="00634E0D"/>
    <w:rsid w:val="006352F9"/>
    <w:rsid w:val="00635DD2"/>
    <w:rsid w:val="00635DFC"/>
    <w:rsid w:val="00635E14"/>
    <w:rsid w:val="0063612A"/>
    <w:rsid w:val="006365F2"/>
    <w:rsid w:val="00637AA1"/>
    <w:rsid w:val="00637B8D"/>
    <w:rsid w:val="00637CAB"/>
    <w:rsid w:val="00640375"/>
    <w:rsid w:val="006403D1"/>
    <w:rsid w:val="006407A3"/>
    <w:rsid w:val="006409E4"/>
    <w:rsid w:val="00641E0A"/>
    <w:rsid w:val="00641F6B"/>
    <w:rsid w:val="006424BE"/>
    <w:rsid w:val="006431CB"/>
    <w:rsid w:val="0064321F"/>
    <w:rsid w:val="0064352F"/>
    <w:rsid w:val="00643D01"/>
    <w:rsid w:val="00644087"/>
    <w:rsid w:val="00644755"/>
    <w:rsid w:val="006448BB"/>
    <w:rsid w:val="006464F2"/>
    <w:rsid w:val="006465ED"/>
    <w:rsid w:val="00647322"/>
    <w:rsid w:val="00647410"/>
    <w:rsid w:val="006474D9"/>
    <w:rsid w:val="006477F8"/>
    <w:rsid w:val="00647CD5"/>
    <w:rsid w:val="00647FCC"/>
    <w:rsid w:val="006507A5"/>
    <w:rsid w:val="0065080F"/>
    <w:rsid w:val="0065113F"/>
    <w:rsid w:val="00651573"/>
    <w:rsid w:val="0065179C"/>
    <w:rsid w:val="00652E37"/>
    <w:rsid w:val="00652ED9"/>
    <w:rsid w:val="0065302E"/>
    <w:rsid w:val="00653EAA"/>
    <w:rsid w:val="00654C7B"/>
    <w:rsid w:val="006553DB"/>
    <w:rsid w:val="00655FF4"/>
    <w:rsid w:val="00656DD7"/>
    <w:rsid w:val="0065705F"/>
    <w:rsid w:val="006571B9"/>
    <w:rsid w:val="006579B9"/>
    <w:rsid w:val="00657D1C"/>
    <w:rsid w:val="006604CE"/>
    <w:rsid w:val="00660570"/>
    <w:rsid w:val="006612F5"/>
    <w:rsid w:val="00661372"/>
    <w:rsid w:val="00661669"/>
    <w:rsid w:val="00661ACF"/>
    <w:rsid w:val="00661DE2"/>
    <w:rsid w:val="00662BC6"/>
    <w:rsid w:val="00663628"/>
    <w:rsid w:val="00663CD1"/>
    <w:rsid w:val="00663D84"/>
    <w:rsid w:val="00664AB0"/>
    <w:rsid w:val="00666560"/>
    <w:rsid w:val="0066682A"/>
    <w:rsid w:val="00666EBF"/>
    <w:rsid w:val="00666F61"/>
    <w:rsid w:val="00666F91"/>
    <w:rsid w:val="00670880"/>
    <w:rsid w:val="0067142D"/>
    <w:rsid w:val="00671CE3"/>
    <w:rsid w:val="00672124"/>
    <w:rsid w:val="00672D6C"/>
    <w:rsid w:val="00673095"/>
    <w:rsid w:val="0067328E"/>
    <w:rsid w:val="006736E9"/>
    <w:rsid w:val="0067426A"/>
    <w:rsid w:val="00675015"/>
    <w:rsid w:val="00676131"/>
    <w:rsid w:val="00676286"/>
    <w:rsid w:val="00676C20"/>
    <w:rsid w:val="0067762E"/>
    <w:rsid w:val="00677B24"/>
    <w:rsid w:val="0068099A"/>
    <w:rsid w:val="00681554"/>
    <w:rsid w:val="0068179F"/>
    <w:rsid w:val="006818AD"/>
    <w:rsid w:val="00681B1E"/>
    <w:rsid w:val="00682107"/>
    <w:rsid w:val="00682D56"/>
    <w:rsid w:val="006838D7"/>
    <w:rsid w:val="006839E5"/>
    <w:rsid w:val="00683C44"/>
    <w:rsid w:val="00683EA2"/>
    <w:rsid w:val="006844E1"/>
    <w:rsid w:val="00684779"/>
    <w:rsid w:val="006857A0"/>
    <w:rsid w:val="006860B4"/>
    <w:rsid w:val="00686708"/>
    <w:rsid w:val="00686AA4"/>
    <w:rsid w:val="00686B9B"/>
    <w:rsid w:val="00686C0D"/>
    <w:rsid w:val="00686FE1"/>
    <w:rsid w:val="00687A43"/>
    <w:rsid w:val="006909C8"/>
    <w:rsid w:val="00690C1A"/>
    <w:rsid w:val="00691C0E"/>
    <w:rsid w:val="006920E8"/>
    <w:rsid w:val="00692E7E"/>
    <w:rsid w:val="00693F2E"/>
    <w:rsid w:val="0069433D"/>
    <w:rsid w:val="00694832"/>
    <w:rsid w:val="0069527C"/>
    <w:rsid w:val="006953C0"/>
    <w:rsid w:val="0069589A"/>
    <w:rsid w:val="00696091"/>
    <w:rsid w:val="00696994"/>
    <w:rsid w:val="006973D3"/>
    <w:rsid w:val="006974C7"/>
    <w:rsid w:val="00697FD6"/>
    <w:rsid w:val="006A05E5"/>
    <w:rsid w:val="006A0F23"/>
    <w:rsid w:val="006A1273"/>
    <w:rsid w:val="006A143E"/>
    <w:rsid w:val="006A18A5"/>
    <w:rsid w:val="006A1C75"/>
    <w:rsid w:val="006A1FD8"/>
    <w:rsid w:val="006A2CEA"/>
    <w:rsid w:val="006A37DC"/>
    <w:rsid w:val="006A39C3"/>
    <w:rsid w:val="006A3D63"/>
    <w:rsid w:val="006A3F58"/>
    <w:rsid w:val="006A43BD"/>
    <w:rsid w:val="006A49AF"/>
    <w:rsid w:val="006A49FD"/>
    <w:rsid w:val="006A5788"/>
    <w:rsid w:val="006A5A02"/>
    <w:rsid w:val="006A5A8F"/>
    <w:rsid w:val="006A5C94"/>
    <w:rsid w:val="006A5E8E"/>
    <w:rsid w:val="006A5ED6"/>
    <w:rsid w:val="006A6003"/>
    <w:rsid w:val="006A6AD8"/>
    <w:rsid w:val="006A73C9"/>
    <w:rsid w:val="006A79A1"/>
    <w:rsid w:val="006A7C74"/>
    <w:rsid w:val="006A7CFF"/>
    <w:rsid w:val="006B01EC"/>
    <w:rsid w:val="006B02AF"/>
    <w:rsid w:val="006B06C7"/>
    <w:rsid w:val="006B088A"/>
    <w:rsid w:val="006B1073"/>
    <w:rsid w:val="006B26C6"/>
    <w:rsid w:val="006B281A"/>
    <w:rsid w:val="006B3986"/>
    <w:rsid w:val="006B3D24"/>
    <w:rsid w:val="006B4A29"/>
    <w:rsid w:val="006B515A"/>
    <w:rsid w:val="006B5948"/>
    <w:rsid w:val="006B598C"/>
    <w:rsid w:val="006B5A7F"/>
    <w:rsid w:val="006B5D66"/>
    <w:rsid w:val="006B6058"/>
    <w:rsid w:val="006B6728"/>
    <w:rsid w:val="006B6DD8"/>
    <w:rsid w:val="006B6E16"/>
    <w:rsid w:val="006B708E"/>
    <w:rsid w:val="006B70F7"/>
    <w:rsid w:val="006B7583"/>
    <w:rsid w:val="006B7932"/>
    <w:rsid w:val="006B7E05"/>
    <w:rsid w:val="006C04DB"/>
    <w:rsid w:val="006C1329"/>
    <w:rsid w:val="006C15AD"/>
    <w:rsid w:val="006C2438"/>
    <w:rsid w:val="006C2F33"/>
    <w:rsid w:val="006C3647"/>
    <w:rsid w:val="006C4B35"/>
    <w:rsid w:val="006C75DE"/>
    <w:rsid w:val="006D082A"/>
    <w:rsid w:val="006D115A"/>
    <w:rsid w:val="006D17B6"/>
    <w:rsid w:val="006D1E92"/>
    <w:rsid w:val="006D2249"/>
    <w:rsid w:val="006D29B2"/>
    <w:rsid w:val="006D2B12"/>
    <w:rsid w:val="006D5335"/>
    <w:rsid w:val="006D5D13"/>
    <w:rsid w:val="006D6285"/>
    <w:rsid w:val="006D62C4"/>
    <w:rsid w:val="006D6477"/>
    <w:rsid w:val="006D692C"/>
    <w:rsid w:val="006D78E3"/>
    <w:rsid w:val="006E0653"/>
    <w:rsid w:val="006E08EF"/>
    <w:rsid w:val="006E0EFA"/>
    <w:rsid w:val="006E14A3"/>
    <w:rsid w:val="006E1562"/>
    <w:rsid w:val="006E15BB"/>
    <w:rsid w:val="006E1F17"/>
    <w:rsid w:val="006E206F"/>
    <w:rsid w:val="006E2099"/>
    <w:rsid w:val="006E2521"/>
    <w:rsid w:val="006E2ABC"/>
    <w:rsid w:val="006E2F41"/>
    <w:rsid w:val="006E3095"/>
    <w:rsid w:val="006E327B"/>
    <w:rsid w:val="006E3D92"/>
    <w:rsid w:val="006E4EC2"/>
    <w:rsid w:val="006E52B8"/>
    <w:rsid w:val="006E5D77"/>
    <w:rsid w:val="006E622D"/>
    <w:rsid w:val="006E6798"/>
    <w:rsid w:val="006E6C7E"/>
    <w:rsid w:val="006E7120"/>
    <w:rsid w:val="006E723D"/>
    <w:rsid w:val="006E7A33"/>
    <w:rsid w:val="006F0752"/>
    <w:rsid w:val="006F18D1"/>
    <w:rsid w:val="006F1CF0"/>
    <w:rsid w:val="006F2178"/>
    <w:rsid w:val="006F24E5"/>
    <w:rsid w:val="006F253A"/>
    <w:rsid w:val="006F25EE"/>
    <w:rsid w:val="006F2D48"/>
    <w:rsid w:val="006F3119"/>
    <w:rsid w:val="006F3322"/>
    <w:rsid w:val="006F374A"/>
    <w:rsid w:val="006F4098"/>
    <w:rsid w:val="006F45FD"/>
    <w:rsid w:val="006F50F1"/>
    <w:rsid w:val="006F51DC"/>
    <w:rsid w:val="006F61E5"/>
    <w:rsid w:val="006F68BE"/>
    <w:rsid w:val="006F68E5"/>
    <w:rsid w:val="006F6B3A"/>
    <w:rsid w:val="006F7001"/>
    <w:rsid w:val="006F76B4"/>
    <w:rsid w:val="006F7868"/>
    <w:rsid w:val="006F78AF"/>
    <w:rsid w:val="0070106A"/>
    <w:rsid w:val="00701432"/>
    <w:rsid w:val="00701948"/>
    <w:rsid w:val="007019A8"/>
    <w:rsid w:val="00701C92"/>
    <w:rsid w:val="007023C7"/>
    <w:rsid w:val="00702538"/>
    <w:rsid w:val="00702732"/>
    <w:rsid w:val="00702E35"/>
    <w:rsid w:val="0070365D"/>
    <w:rsid w:val="007039AF"/>
    <w:rsid w:val="00703D7D"/>
    <w:rsid w:val="00704557"/>
    <w:rsid w:val="00704744"/>
    <w:rsid w:val="00704847"/>
    <w:rsid w:val="007052E5"/>
    <w:rsid w:val="007054DE"/>
    <w:rsid w:val="00705896"/>
    <w:rsid w:val="00705D27"/>
    <w:rsid w:val="0070608F"/>
    <w:rsid w:val="0070631B"/>
    <w:rsid w:val="007068CE"/>
    <w:rsid w:val="0070721C"/>
    <w:rsid w:val="00707AFC"/>
    <w:rsid w:val="00707C92"/>
    <w:rsid w:val="00707F9F"/>
    <w:rsid w:val="00710212"/>
    <w:rsid w:val="007108C6"/>
    <w:rsid w:val="00711FE4"/>
    <w:rsid w:val="0071229A"/>
    <w:rsid w:val="007122C2"/>
    <w:rsid w:val="00712D0A"/>
    <w:rsid w:val="007133B6"/>
    <w:rsid w:val="007134B6"/>
    <w:rsid w:val="00714461"/>
    <w:rsid w:val="0071460D"/>
    <w:rsid w:val="00714C49"/>
    <w:rsid w:val="0071560A"/>
    <w:rsid w:val="00716186"/>
    <w:rsid w:val="00717377"/>
    <w:rsid w:val="00717548"/>
    <w:rsid w:val="00717915"/>
    <w:rsid w:val="00720204"/>
    <w:rsid w:val="007204B2"/>
    <w:rsid w:val="0072050A"/>
    <w:rsid w:val="00720AE5"/>
    <w:rsid w:val="00720BA7"/>
    <w:rsid w:val="00720D41"/>
    <w:rsid w:val="00721846"/>
    <w:rsid w:val="007218B8"/>
    <w:rsid w:val="00721F9A"/>
    <w:rsid w:val="0072336D"/>
    <w:rsid w:val="00723CB2"/>
    <w:rsid w:val="007241CD"/>
    <w:rsid w:val="007244E1"/>
    <w:rsid w:val="00724CB0"/>
    <w:rsid w:val="007252FE"/>
    <w:rsid w:val="00726B47"/>
    <w:rsid w:val="00726B9A"/>
    <w:rsid w:val="00726C0B"/>
    <w:rsid w:val="00726E96"/>
    <w:rsid w:val="0072702A"/>
    <w:rsid w:val="0072738F"/>
    <w:rsid w:val="007273CF"/>
    <w:rsid w:val="007274C2"/>
    <w:rsid w:val="00730558"/>
    <w:rsid w:val="007308FC"/>
    <w:rsid w:val="00731192"/>
    <w:rsid w:val="007320DE"/>
    <w:rsid w:val="007322CC"/>
    <w:rsid w:val="007331BB"/>
    <w:rsid w:val="007336CE"/>
    <w:rsid w:val="007338F8"/>
    <w:rsid w:val="00733C18"/>
    <w:rsid w:val="00733CCC"/>
    <w:rsid w:val="007347F8"/>
    <w:rsid w:val="00734D3F"/>
    <w:rsid w:val="007350FA"/>
    <w:rsid w:val="007357AA"/>
    <w:rsid w:val="00735BEB"/>
    <w:rsid w:val="0073660A"/>
    <w:rsid w:val="0073674A"/>
    <w:rsid w:val="00736E66"/>
    <w:rsid w:val="007375CE"/>
    <w:rsid w:val="00737D0E"/>
    <w:rsid w:val="00740609"/>
    <w:rsid w:val="00740BC0"/>
    <w:rsid w:val="00740C16"/>
    <w:rsid w:val="00741967"/>
    <w:rsid w:val="0074273F"/>
    <w:rsid w:val="00742929"/>
    <w:rsid w:val="007431D7"/>
    <w:rsid w:val="00743FCC"/>
    <w:rsid w:val="007441C7"/>
    <w:rsid w:val="00744FC1"/>
    <w:rsid w:val="00745104"/>
    <w:rsid w:val="00745531"/>
    <w:rsid w:val="00745A06"/>
    <w:rsid w:val="00745C89"/>
    <w:rsid w:val="0074600D"/>
    <w:rsid w:val="00746E49"/>
    <w:rsid w:val="0074713A"/>
    <w:rsid w:val="00750202"/>
    <w:rsid w:val="00750226"/>
    <w:rsid w:val="00750363"/>
    <w:rsid w:val="00750681"/>
    <w:rsid w:val="007506BE"/>
    <w:rsid w:val="00750A7F"/>
    <w:rsid w:val="00751557"/>
    <w:rsid w:val="00752365"/>
    <w:rsid w:val="00752B11"/>
    <w:rsid w:val="00753CEC"/>
    <w:rsid w:val="0075489D"/>
    <w:rsid w:val="00754EEE"/>
    <w:rsid w:val="00755264"/>
    <w:rsid w:val="00755A52"/>
    <w:rsid w:val="00756CA4"/>
    <w:rsid w:val="00757B3A"/>
    <w:rsid w:val="00757C89"/>
    <w:rsid w:val="00757C9E"/>
    <w:rsid w:val="00760468"/>
    <w:rsid w:val="00760491"/>
    <w:rsid w:val="007606D7"/>
    <w:rsid w:val="00760721"/>
    <w:rsid w:val="00760B2A"/>
    <w:rsid w:val="00760F0F"/>
    <w:rsid w:val="0076171D"/>
    <w:rsid w:val="007619E1"/>
    <w:rsid w:val="00761C8E"/>
    <w:rsid w:val="007625F4"/>
    <w:rsid w:val="00762807"/>
    <w:rsid w:val="00763137"/>
    <w:rsid w:val="0076313A"/>
    <w:rsid w:val="007634A7"/>
    <w:rsid w:val="00763577"/>
    <w:rsid w:val="00763824"/>
    <w:rsid w:val="00763CC8"/>
    <w:rsid w:val="007647E9"/>
    <w:rsid w:val="00764D75"/>
    <w:rsid w:val="00766BA2"/>
    <w:rsid w:val="00766E9C"/>
    <w:rsid w:val="00767324"/>
    <w:rsid w:val="00767439"/>
    <w:rsid w:val="00767586"/>
    <w:rsid w:val="00767956"/>
    <w:rsid w:val="0077030C"/>
    <w:rsid w:val="007706B2"/>
    <w:rsid w:val="00770C26"/>
    <w:rsid w:val="00770EAA"/>
    <w:rsid w:val="00770FD5"/>
    <w:rsid w:val="00772766"/>
    <w:rsid w:val="00772FD6"/>
    <w:rsid w:val="007732FF"/>
    <w:rsid w:val="00773630"/>
    <w:rsid w:val="00773DB1"/>
    <w:rsid w:val="00773F13"/>
    <w:rsid w:val="00774004"/>
    <w:rsid w:val="007743FE"/>
    <w:rsid w:val="00774709"/>
    <w:rsid w:val="007754BC"/>
    <w:rsid w:val="00776B88"/>
    <w:rsid w:val="00777402"/>
    <w:rsid w:val="0078193D"/>
    <w:rsid w:val="00781CA2"/>
    <w:rsid w:val="00781EA2"/>
    <w:rsid w:val="0078258A"/>
    <w:rsid w:val="007829C6"/>
    <w:rsid w:val="00782D63"/>
    <w:rsid w:val="00783158"/>
    <w:rsid w:val="00783758"/>
    <w:rsid w:val="00783D2B"/>
    <w:rsid w:val="00784A50"/>
    <w:rsid w:val="00784C7F"/>
    <w:rsid w:val="007855B9"/>
    <w:rsid w:val="00785695"/>
    <w:rsid w:val="00785963"/>
    <w:rsid w:val="007864A5"/>
    <w:rsid w:val="00786A57"/>
    <w:rsid w:val="00790C87"/>
    <w:rsid w:val="00791849"/>
    <w:rsid w:val="00791BD4"/>
    <w:rsid w:val="0079256F"/>
    <w:rsid w:val="00792670"/>
    <w:rsid w:val="00792D43"/>
    <w:rsid w:val="007935FE"/>
    <w:rsid w:val="00793D14"/>
    <w:rsid w:val="00794045"/>
    <w:rsid w:val="007944FB"/>
    <w:rsid w:val="00795A11"/>
    <w:rsid w:val="00796BB7"/>
    <w:rsid w:val="00797FC0"/>
    <w:rsid w:val="007A09C8"/>
    <w:rsid w:val="007A0C66"/>
    <w:rsid w:val="007A1395"/>
    <w:rsid w:val="007A1AD8"/>
    <w:rsid w:val="007A1C38"/>
    <w:rsid w:val="007A1F4A"/>
    <w:rsid w:val="007A23DC"/>
    <w:rsid w:val="007A32D0"/>
    <w:rsid w:val="007A3562"/>
    <w:rsid w:val="007A3A93"/>
    <w:rsid w:val="007A4860"/>
    <w:rsid w:val="007A49E6"/>
    <w:rsid w:val="007A4FA4"/>
    <w:rsid w:val="007A5E9D"/>
    <w:rsid w:val="007A60E4"/>
    <w:rsid w:val="007A6156"/>
    <w:rsid w:val="007A6356"/>
    <w:rsid w:val="007A78AA"/>
    <w:rsid w:val="007A79F6"/>
    <w:rsid w:val="007B023B"/>
    <w:rsid w:val="007B0370"/>
    <w:rsid w:val="007B08D5"/>
    <w:rsid w:val="007B0D04"/>
    <w:rsid w:val="007B0D22"/>
    <w:rsid w:val="007B15D7"/>
    <w:rsid w:val="007B1FC7"/>
    <w:rsid w:val="007B275F"/>
    <w:rsid w:val="007B32AA"/>
    <w:rsid w:val="007B351C"/>
    <w:rsid w:val="007B3697"/>
    <w:rsid w:val="007B3B84"/>
    <w:rsid w:val="007B447C"/>
    <w:rsid w:val="007B482E"/>
    <w:rsid w:val="007B4FA4"/>
    <w:rsid w:val="007B61D1"/>
    <w:rsid w:val="007B684B"/>
    <w:rsid w:val="007B7450"/>
    <w:rsid w:val="007B7536"/>
    <w:rsid w:val="007C0597"/>
    <w:rsid w:val="007C121A"/>
    <w:rsid w:val="007C1C40"/>
    <w:rsid w:val="007C2CF1"/>
    <w:rsid w:val="007C306F"/>
    <w:rsid w:val="007C327D"/>
    <w:rsid w:val="007C367E"/>
    <w:rsid w:val="007C36C8"/>
    <w:rsid w:val="007C3B85"/>
    <w:rsid w:val="007C47FD"/>
    <w:rsid w:val="007C4AC5"/>
    <w:rsid w:val="007C574E"/>
    <w:rsid w:val="007C57D8"/>
    <w:rsid w:val="007C5801"/>
    <w:rsid w:val="007C645B"/>
    <w:rsid w:val="007C6C45"/>
    <w:rsid w:val="007C6D21"/>
    <w:rsid w:val="007C774C"/>
    <w:rsid w:val="007C797D"/>
    <w:rsid w:val="007D011D"/>
    <w:rsid w:val="007D0A36"/>
    <w:rsid w:val="007D0F48"/>
    <w:rsid w:val="007D108D"/>
    <w:rsid w:val="007D1091"/>
    <w:rsid w:val="007D21E9"/>
    <w:rsid w:val="007D26F6"/>
    <w:rsid w:val="007D2C1F"/>
    <w:rsid w:val="007D31B4"/>
    <w:rsid w:val="007D3D85"/>
    <w:rsid w:val="007D4CB8"/>
    <w:rsid w:val="007D4F14"/>
    <w:rsid w:val="007D5102"/>
    <w:rsid w:val="007D5489"/>
    <w:rsid w:val="007D5922"/>
    <w:rsid w:val="007D5AC7"/>
    <w:rsid w:val="007D5D9A"/>
    <w:rsid w:val="007D5DA9"/>
    <w:rsid w:val="007D5F68"/>
    <w:rsid w:val="007D60C0"/>
    <w:rsid w:val="007D6B92"/>
    <w:rsid w:val="007D70DB"/>
    <w:rsid w:val="007D71E3"/>
    <w:rsid w:val="007E0261"/>
    <w:rsid w:val="007E11FB"/>
    <w:rsid w:val="007E12DD"/>
    <w:rsid w:val="007E2026"/>
    <w:rsid w:val="007E258C"/>
    <w:rsid w:val="007E2776"/>
    <w:rsid w:val="007E2A01"/>
    <w:rsid w:val="007E2A57"/>
    <w:rsid w:val="007E32D8"/>
    <w:rsid w:val="007E4052"/>
    <w:rsid w:val="007E45C2"/>
    <w:rsid w:val="007E49FD"/>
    <w:rsid w:val="007E58D1"/>
    <w:rsid w:val="007E5C2D"/>
    <w:rsid w:val="007E647E"/>
    <w:rsid w:val="007E7590"/>
    <w:rsid w:val="007E7C57"/>
    <w:rsid w:val="007F018B"/>
    <w:rsid w:val="007F036E"/>
    <w:rsid w:val="007F1197"/>
    <w:rsid w:val="007F1E0E"/>
    <w:rsid w:val="007F24B7"/>
    <w:rsid w:val="007F2614"/>
    <w:rsid w:val="007F26D5"/>
    <w:rsid w:val="007F297A"/>
    <w:rsid w:val="007F2C74"/>
    <w:rsid w:val="007F2DAF"/>
    <w:rsid w:val="007F3436"/>
    <w:rsid w:val="007F3520"/>
    <w:rsid w:val="007F3A4A"/>
    <w:rsid w:val="007F3ACD"/>
    <w:rsid w:val="007F4045"/>
    <w:rsid w:val="007F4AB9"/>
    <w:rsid w:val="007F4C80"/>
    <w:rsid w:val="007F4E06"/>
    <w:rsid w:val="007F5093"/>
    <w:rsid w:val="007F56DD"/>
    <w:rsid w:val="007F5EE3"/>
    <w:rsid w:val="007F5FA7"/>
    <w:rsid w:val="007F60AC"/>
    <w:rsid w:val="007F63B1"/>
    <w:rsid w:val="007F6C89"/>
    <w:rsid w:val="007F6D1D"/>
    <w:rsid w:val="007F737B"/>
    <w:rsid w:val="007F7708"/>
    <w:rsid w:val="007F78FB"/>
    <w:rsid w:val="007F7AA3"/>
    <w:rsid w:val="007F7F7B"/>
    <w:rsid w:val="00801531"/>
    <w:rsid w:val="0080158B"/>
    <w:rsid w:val="00801E09"/>
    <w:rsid w:val="00801F74"/>
    <w:rsid w:val="0080344A"/>
    <w:rsid w:val="0080351E"/>
    <w:rsid w:val="00803DBA"/>
    <w:rsid w:val="0080418A"/>
    <w:rsid w:val="0080452E"/>
    <w:rsid w:val="008049CA"/>
    <w:rsid w:val="00804B76"/>
    <w:rsid w:val="00804E5F"/>
    <w:rsid w:val="008053EA"/>
    <w:rsid w:val="0080567C"/>
    <w:rsid w:val="008057DA"/>
    <w:rsid w:val="00806426"/>
    <w:rsid w:val="008068F1"/>
    <w:rsid w:val="00806A6E"/>
    <w:rsid w:val="00807246"/>
    <w:rsid w:val="0080795A"/>
    <w:rsid w:val="00807EF9"/>
    <w:rsid w:val="0081011B"/>
    <w:rsid w:val="00810520"/>
    <w:rsid w:val="00810ECB"/>
    <w:rsid w:val="00810FF1"/>
    <w:rsid w:val="00811013"/>
    <w:rsid w:val="00811286"/>
    <w:rsid w:val="00811402"/>
    <w:rsid w:val="00811527"/>
    <w:rsid w:val="00811E04"/>
    <w:rsid w:val="00812272"/>
    <w:rsid w:val="00812D62"/>
    <w:rsid w:val="0081311B"/>
    <w:rsid w:val="00813280"/>
    <w:rsid w:val="0081352A"/>
    <w:rsid w:val="00813AF0"/>
    <w:rsid w:val="008147BB"/>
    <w:rsid w:val="00814A64"/>
    <w:rsid w:val="00814BA4"/>
    <w:rsid w:val="00814DE9"/>
    <w:rsid w:val="00815324"/>
    <w:rsid w:val="00815640"/>
    <w:rsid w:val="00815796"/>
    <w:rsid w:val="0081656F"/>
    <w:rsid w:val="00816B4E"/>
    <w:rsid w:val="00816CC8"/>
    <w:rsid w:val="00817980"/>
    <w:rsid w:val="00817999"/>
    <w:rsid w:val="008209C3"/>
    <w:rsid w:val="00820D94"/>
    <w:rsid w:val="00821228"/>
    <w:rsid w:val="00821A91"/>
    <w:rsid w:val="0082235F"/>
    <w:rsid w:val="0082264A"/>
    <w:rsid w:val="008229FC"/>
    <w:rsid w:val="00823256"/>
    <w:rsid w:val="00823BE7"/>
    <w:rsid w:val="00824273"/>
    <w:rsid w:val="00824361"/>
    <w:rsid w:val="00824A82"/>
    <w:rsid w:val="00824C4E"/>
    <w:rsid w:val="00826214"/>
    <w:rsid w:val="00826A11"/>
    <w:rsid w:val="008276AE"/>
    <w:rsid w:val="00827756"/>
    <w:rsid w:val="008279BD"/>
    <w:rsid w:val="00827B4A"/>
    <w:rsid w:val="00830CF5"/>
    <w:rsid w:val="00830FE5"/>
    <w:rsid w:val="00831029"/>
    <w:rsid w:val="00832120"/>
    <w:rsid w:val="00832563"/>
    <w:rsid w:val="0083380C"/>
    <w:rsid w:val="00833B15"/>
    <w:rsid w:val="00834795"/>
    <w:rsid w:val="00835D89"/>
    <w:rsid w:val="00836A81"/>
    <w:rsid w:val="008401A9"/>
    <w:rsid w:val="00840338"/>
    <w:rsid w:val="00840672"/>
    <w:rsid w:val="00840B40"/>
    <w:rsid w:val="00840CEC"/>
    <w:rsid w:val="0084209E"/>
    <w:rsid w:val="00842156"/>
    <w:rsid w:val="0084350F"/>
    <w:rsid w:val="00843ED6"/>
    <w:rsid w:val="00844171"/>
    <w:rsid w:val="00844251"/>
    <w:rsid w:val="00844431"/>
    <w:rsid w:val="00844509"/>
    <w:rsid w:val="00844A35"/>
    <w:rsid w:val="00844AE6"/>
    <w:rsid w:val="00845511"/>
    <w:rsid w:val="0084621F"/>
    <w:rsid w:val="008464FE"/>
    <w:rsid w:val="008466E1"/>
    <w:rsid w:val="00846836"/>
    <w:rsid w:val="00847682"/>
    <w:rsid w:val="00847DA6"/>
    <w:rsid w:val="00850D20"/>
    <w:rsid w:val="00850DD4"/>
    <w:rsid w:val="00851409"/>
    <w:rsid w:val="00851734"/>
    <w:rsid w:val="00851891"/>
    <w:rsid w:val="00851F1E"/>
    <w:rsid w:val="00853024"/>
    <w:rsid w:val="00853A7E"/>
    <w:rsid w:val="00853AC7"/>
    <w:rsid w:val="008540D0"/>
    <w:rsid w:val="00854E09"/>
    <w:rsid w:val="008553C1"/>
    <w:rsid w:val="00855501"/>
    <w:rsid w:val="008559FE"/>
    <w:rsid w:val="00855C40"/>
    <w:rsid w:val="00855EFD"/>
    <w:rsid w:val="00856528"/>
    <w:rsid w:val="008566DF"/>
    <w:rsid w:val="00856F29"/>
    <w:rsid w:val="00857134"/>
    <w:rsid w:val="00857D23"/>
    <w:rsid w:val="00857D65"/>
    <w:rsid w:val="00857E29"/>
    <w:rsid w:val="008603D8"/>
    <w:rsid w:val="00860E55"/>
    <w:rsid w:val="008618F3"/>
    <w:rsid w:val="00861EE3"/>
    <w:rsid w:val="00864199"/>
    <w:rsid w:val="00864736"/>
    <w:rsid w:val="00865450"/>
    <w:rsid w:val="00865534"/>
    <w:rsid w:val="00865567"/>
    <w:rsid w:val="00865582"/>
    <w:rsid w:val="008655E9"/>
    <w:rsid w:val="00865685"/>
    <w:rsid w:val="00865DEE"/>
    <w:rsid w:val="00865FF8"/>
    <w:rsid w:val="00866051"/>
    <w:rsid w:val="0086634A"/>
    <w:rsid w:val="00866807"/>
    <w:rsid w:val="00866EB8"/>
    <w:rsid w:val="008677F7"/>
    <w:rsid w:val="008700A5"/>
    <w:rsid w:val="0087061B"/>
    <w:rsid w:val="00870644"/>
    <w:rsid w:val="008706C8"/>
    <w:rsid w:val="008712AC"/>
    <w:rsid w:val="008721FF"/>
    <w:rsid w:val="00872242"/>
    <w:rsid w:val="008724AA"/>
    <w:rsid w:val="008726FC"/>
    <w:rsid w:val="00872DC5"/>
    <w:rsid w:val="0087425E"/>
    <w:rsid w:val="00874527"/>
    <w:rsid w:val="00874682"/>
    <w:rsid w:val="00874C2D"/>
    <w:rsid w:val="00875E52"/>
    <w:rsid w:val="00875E5F"/>
    <w:rsid w:val="00875FBB"/>
    <w:rsid w:val="008764B7"/>
    <w:rsid w:val="008777F4"/>
    <w:rsid w:val="008779B3"/>
    <w:rsid w:val="00877EA6"/>
    <w:rsid w:val="00880690"/>
    <w:rsid w:val="00880C20"/>
    <w:rsid w:val="00881260"/>
    <w:rsid w:val="00881FFA"/>
    <w:rsid w:val="00882753"/>
    <w:rsid w:val="00882BBD"/>
    <w:rsid w:val="00882D86"/>
    <w:rsid w:val="00883A55"/>
    <w:rsid w:val="0088400C"/>
    <w:rsid w:val="00884018"/>
    <w:rsid w:val="0088421F"/>
    <w:rsid w:val="008844DE"/>
    <w:rsid w:val="0088508E"/>
    <w:rsid w:val="00885AB2"/>
    <w:rsid w:val="008860E3"/>
    <w:rsid w:val="00886100"/>
    <w:rsid w:val="008861BF"/>
    <w:rsid w:val="00887081"/>
    <w:rsid w:val="00887566"/>
    <w:rsid w:val="0088793D"/>
    <w:rsid w:val="0089039C"/>
    <w:rsid w:val="00890AAD"/>
    <w:rsid w:val="00891984"/>
    <w:rsid w:val="00891F74"/>
    <w:rsid w:val="00892154"/>
    <w:rsid w:val="0089219C"/>
    <w:rsid w:val="008929FA"/>
    <w:rsid w:val="00893206"/>
    <w:rsid w:val="00893230"/>
    <w:rsid w:val="00893454"/>
    <w:rsid w:val="0089347B"/>
    <w:rsid w:val="00893A28"/>
    <w:rsid w:val="00893B32"/>
    <w:rsid w:val="0089419E"/>
    <w:rsid w:val="00894462"/>
    <w:rsid w:val="00894464"/>
    <w:rsid w:val="0089483A"/>
    <w:rsid w:val="00894A08"/>
    <w:rsid w:val="00895D7E"/>
    <w:rsid w:val="00895E79"/>
    <w:rsid w:val="00896594"/>
    <w:rsid w:val="008968FF"/>
    <w:rsid w:val="008978FF"/>
    <w:rsid w:val="008A040D"/>
    <w:rsid w:val="008A08C4"/>
    <w:rsid w:val="008A11FD"/>
    <w:rsid w:val="008A155C"/>
    <w:rsid w:val="008A161A"/>
    <w:rsid w:val="008A1999"/>
    <w:rsid w:val="008A1AC6"/>
    <w:rsid w:val="008A276B"/>
    <w:rsid w:val="008A279E"/>
    <w:rsid w:val="008A2A9A"/>
    <w:rsid w:val="008A3155"/>
    <w:rsid w:val="008A3DBA"/>
    <w:rsid w:val="008A62F5"/>
    <w:rsid w:val="008A71FA"/>
    <w:rsid w:val="008B0868"/>
    <w:rsid w:val="008B0AE0"/>
    <w:rsid w:val="008B11BB"/>
    <w:rsid w:val="008B120C"/>
    <w:rsid w:val="008B12CA"/>
    <w:rsid w:val="008B1A1E"/>
    <w:rsid w:val="008B2A42"/>
    <w:rsid w:val="008B2BE1"/>
    <w:rsid w:val="008B2D6A"/>
    <w:rsid w:val="008B34DF"/>
    <w:rsid w:val="008B3F39"/>
    <w:rsid w:val="008B4C45"/>
    <w:rsid w:val="008B648F"/>
    <w:rsid w:val="008B67A8"/>
    <w:rsid w:val="008B773C"/>
    <w:rsid w:val="008C0BA1"/>
    <w:rsid w:val="008C2037"/>
    <w:rsid w:val="008C20AF"/>
    <w:rsid w:val="008C24BE"/>
    <w:rsid w:val="008C25EC"/>
    <w:rsid w:val="008C328B"/>
    <w:rsid w:val="008C3BE5"/>
    <w:rsid w:val="008C3D1D"/>
    <w:rsid w:val="008C440C"/>
    <w:rsid w:val="008C4600"/>
    <w:rsid w:val="008C4ED7"/>
    <w:rsid w:val="008C6A14"/>
    <w:rsid w:val="008C6E3B"/>
    <w:rsid w:val="008C7ADE"/>
    <w:rsid w:val="008C7CCA"/>
    <w:rsid w:val="008D0BB5"/>
    <w:rsid w:val="008D0E32"/>
    <w:rsid w:val="008D10D0"/>
    <w:rsid w:val="008D14B0"/>
    <w:rsid w:val="008D1DAC"/>
    <w:rsid w:val="008D1F55"/>
    <w:rsid w:val="008D235B"/>
    <w:rsid w:val="008D260E"/>
    <w:rsid w:val="008D2DBA"/>
    <w:rsid w:val="008D37EE"/>
    <w:rsid w:val="008D3A80"/>
    <w:rsid w:val="008D3EDF"/>
    <w:rsid w:val="008D41DE"/>
    <w:rsid w:val="008D4751"/>
    <w:rsid w:val="008D4D80"/>
    <w:rsid w:val="008D4FB7"/>
    <w:rsid w:val="008D6D2D"/>
    <w:rsid w:val="008D756A"/>
    <w:rsid w:val="008D76C8"/>
    <w:rsid w:val="008D785B"/>
    <w:rsid w:val="008D7DFD"/>
    <w:rsid w:val="008E0DDD"/>
    <w:rsid w:val="008E102B"/>
    <w:rsid w:val="008E1A47"/>
    <w:rsid w:val="008E1FC1"/>
    <w:rsid w:val="008E345E"/>
    <w:rsid w:val="008E34BE"/>
    <w:rsid w:val="008E394C"/>
    <w:rsid w:val="008E41FC"/>
    <w:rsid w:val="008E4C09"/>
    <w:rsid w:val="008E546D"/>
    <w:rsid w:val="008E5A4B"/>
    <w:rsid w:val="008E5DC3"/>
    <w:rsid w:val="008E60E5"/>
    <w:rsid w:val="008E698E"/>
    <w:rsid w:val="008E6C49"/>
    <w:rsid w:val="008F01C3"/>
    <w:rsid w:val="008F137A"/>
    <w:rsid w:val="008F1481"/>
    <w:rsid w:val="008F14CB"/>
    <w:rsid w:val="008F1E7B"/>
    <w:rsid w:val="008F1F7E"/>
    <w:rsid w:val="008F2CF4"/>
    <w:rsid w:val="008F37F7"/>
    <w:rsid w:val="008F3E5A"/>
    <w:rsid w:val="008F432F"/>
    <w:rsid w:val="008F44AE"/>
    <w:rsid w:val="008F4504"/>
    <w:rsid w:val="008F45A8"/>
    <w:rsid w:val="008F4DE1"/>
    <w:rsid w:val="008F4F09"/>
    <w:rsid w:val="008F55A1"/>
    <w:rsid w:val="008F5632"/>
    <w:rsid w:val="008F5945"/>
    <w:rsid w:val="008F5B2A"/>
    <w:rsid w:val="008F5EF7"/>
    <w:rsid w:val="008F66CC"/>
    <w:rsid w:val="008F675C"/>
    <w:rsid w:val="008F6BB8"/>
    <w:rsid w:val="008F6D50"/>
    <w:rsid w:val="008F7822"/>
    <w:rsid w:val="008F79DB"/>
    <w:rsid w:val="009012F1"/>
    <w:rsid w:val="00901526"/>
    <w:rsid w:val="00901A37"/>
    <w:rsid w:val="00901DC8"/>
    <w:rsid w:val="00901FB6"/>
    <w:rsid w:val="009023D0"/>
    <w:rsid w:val="00902880"/>
    <w:rsid w:val="00902EB9"/>
    <w:rsid w:val="0090325C"/>
    <w:rsid w:val="0090380C"/>
    <w:rsid w:val="00903B4F"/>
    <w:rsid w:val="00903E31"/>
    <w:rsid w:val="009045A0"/>
    <w:rsid w:val="009054F5"/>
    <w:rsid w:val="0090564A"/>
    <w:rsid w:val="00905836"/>
    <w:rsid w:val="009058FD"/>
    <w:rsid w:val="00906026"/>
    <w:rsid w:val="00907067"/>
    <w:rsid w:val="00907358"/>
    <w:rsid w:val="00907576"/>
    <w:rsid w:val="00907B14"/>
    <w:rsid w:val="00907D0D"/>
    <w:rsid w:val="00907FD4"/>
    <w:rsid w:val="00910390"/>
    <w:rsid w:val="0091069E"/>
    <w:rsid w:val="00910B5C"/>
    <w:rsid w:val="00911542"/>
    <w:rsid w:val="00911AAE"/>
    <w:rsid w:val="00911B12"/>
    <w:rsid w:val="00912709"/>
    <w:rsid w:val="009127E6"/>
    <w:rsid w:val="00912877"/>
    <w:rsid w:val="0091291A"/>
    <w:rsid w:val="00912CCB"/>
    <w:rsid w:val="009133FC"/>
    <w:rsid w:val="0091366C"/>
    <w:rsid w:val="009136CF"/>
    <w:rsid w:val="00913AD5"/>
    <w:rsid w:val="009145CE"/>
    <w:rsid w:val="00914C26"/>
    <w:rsid w:val="00915233"/>
    <w:rsid w:val="009156ED"/>
    <w:rsid w:val="00915815"/>
    <w:rsid w:val="00916D0C"/>
    <w:rsid w:val="009170A0"/>
    <w:rsid w:val="009170A5"/>
    <w:rsid w:val="009173E4"/>
    <w:rsid w:val="00917C7F"/>
    <w:rsid w:val="00921076"/>
    <w:rsid w:val="00921144"/>
    <w:rsid w:val="0092123B"/>
    <w:rsid w:val="00921835"/>
    <w:rsid w:val="00921883"/>
    <w:rsid w:val="00921A19"/>
    <w:rsid w:val="00921A90"/>
    <w:rsid w:val="00921DFD"/>
    <w:rsid w:val="009222CC"/>
    <w:rsid w:val="009228AC"/>
    <w:rsid w:val="00922B5D"/>
    <w:rsid w:val="00923597"/>
    <w:rsid w:val="00924078"/>
    <w:rsid w:val="0092439E"/>
    <w:rsid w:val="009246B3"/>
    <w:rsid w:val="00925ACA"/>
    <w:rsid w:val="00925C97"/>
    <w:rsid w:val="00925D92"/>
    <w:rsid w:val="00926575"/>
    <w:rsid w:val="00926848"/>
    <w:rsid w:val="00927C8E"/>
    <w:rsid w:val="009303D2"/>
    <w:rsid w:val="009305EA"/>
    <w:rsid w:val="00930BE1"/>
    <w:rsid w:val="00931533"/>
    <w:rsid w:val="00931E66"/>
    <w:rsid w:val="0093343B"/>
    <w:rsid w:val="0093344C"/>
    <w:rsid w:val="0093388A"/>
    <w:rsid w:val="00933BAD"/>
    <w:rsid w:val="00934637"/>
    <w:rsid w:val="00934CE1"/>
    <w:rsid w:val="00935A3C"/>
    <w:rsid w:val="00936024"/>
    <w:rsid w:val="0093681A"/>
    <w:rsid w:val="00937758"/>
    <w:rsid w:val="0093793A"/>
    <w:rsid w:val="0093796A"/>
    <w:rsid w:val="00940014"/>
    <w:rsid w:val="00940672"/>
    <w:rsid w:val="00940A20"/>
    <w:rsid w:val="00941729"/>
    <w:rsid w:val="009417BD"/>
    <w:rsid w:val="009418FE"/>
    <w:rsid w:val="00942715"/>
    <w:rsid w:val="00942A98"/>
    <w:rsid w:val="00943C63"/>
    <w:rsid w:val="00943F6F"/>
    <w:rsid w:val="00944EFD"/>
    <w:rsid w:val="00944F35"/>
    <w:rsid w:val="00945551"/>
    <w:rsid w:val="00945A03"/>
    <w:rsid w:val="00945CCB"/>
    <w:rsid w:val="00945E52"/>
    <w:rsid w:val="0094607D"/>
    <w:rsid w:val="00946524"/>
    <w:rsid w:val="00946924"/>
    <w:rsid w:val="009477FE"/>
    <w:rsid w:val="00947F38"/>
    <w:rsid w:val="0095040A"/>
    <w:rsid w:val="00950455"/>
    <w:rsid w:val="00950EFD"/>
    <w:rsid w:val="00951025"/>
    <w:rsid w:val="009514DC"/>
    <w:rsid w:val="009524CB"/>
    <w:rsid w:val="0095290B"/>
    <w:rsid w:val="009531D2"/>
    <w:rsid w:val="009534D6"/>
    <w:rsid w:val="00953A18"/>
    <w:rsid w:val="00953ABA"/>
    <w:rsid w:val="00953C19"/>
    <w:rsid w:val="00953D7A"/>
    <w:rsid w:val="00954EEA"/>
    <w:rsid w:val="00954FCA"/>
    <w:rsid w:val="00955D17"/>
    <w:rsid w:val="00956496"/>
    <w:rsid w:val="0095711D"/>
    <w:rsid w:val="009573A7"/>
    <w:rsid w:val="0095783E"/>
    <w:rsid w:val="0096071E"/>
    <w:rsid w:val="00960B87"/>
    <w:rsid w:val="00960CDB"/>
    <w:rsid w:val="009616BB"/>
    <w:rsid w:val="00961ED8"/>
    <w:rsid w:val="00962398"/>
    <w:rsid w:val="0096322D"/>
    <w:rsid w:val="00963243"/>
    <w:rsid w:val="00963424"/>
    <w:rsid w:val="009635EE"/>
    <w:rsid w:val="0096366B"/>
    <w:rsid w:val="009637C3"/>
    <w:rsid w:val="00963947"/>
    <w:rsid w:val="009647F4"/>
    <w:rsid w:val="00965756"/>
    <w:rsid w:val="00965A9C"/>
    <w:rsid w:val="00965FCE"/>
    <w:rsid w:val="00966884"/>
    <w:rsid w:val="00967018"/>
    <w:rsid w:val="0096709E"/>
    <w:rsid w:val="009708A9"/>
    <w:rsid w:val="00970C7B"/>
    <w:rsid w:val="00970DB2"/>
    <w:rsid w:val="00970E74"/>
    <w:rsid w:val="00970F26"/>
    <w:rsid w:val="00971A48"/>
    <w:rsid w:val="00971AC4"/>
    <w:rsid w:val="00971BDD"/>
    <w:rsid w:val="00971C62"/>
    <w:rsid w:val="00971F46"/>
    <w:rsid w:val="00972344"/>
    <w:rsid w:val="00972787"/>
    <w:rsid w:val="00972C52"/>
    <w:rsid w:val="009734F8"/>
    <w:rsid w:val="00973558"/>
    <w:rsid w:val="0097396E"/>
    <w:rsid w:val="009741AD"/>
    <w:rsid w:val="009741CE"/>
    <w:rsid w:val="009743ED"/>
    <w:rsid w:val="00974D5F"/>
    <w:rsid w:val="00975326"/>
    <w:rsid w:val="00975C57"/>
    <w:rsid w:val="00975F5B"/>
    <w:rsid w:val="00976DBA"/>
    <w:rsid w:val="00976E16"/>
    <w:rsid w:val="009774DD"/>
    <w:rsid w:val="009777FC"/>
    <w:rsid w:val="009806AF"/>
    <w:rsid w:val="00980ABC"/>
    <w:rsid w:val="00980E6F"/>
    <w:rsid w:val="0098193A"/>
    <w:rsid w:val="00981A63"/>
    <w:rsid w:val="0098300C"/>
    <w:rsid w:val="009832B5"/>
    <w:rsid w:val="00983F37"/>
    <w:rsid w:val="009849F6"/>
    <w:rsid w:val="009851CE"/>
    <w:rsid w:val="0098537E"/>
    <w:rsid w:val="00985520"/>
    <w:rsid w:val="0098664A"/>
    <w:rsid w:val="009869E2"/>
    <w:rsid w:val="009877E9"/>
    <w:rsid w:val="00987ADB"/>
    <w:rsid w:val="009909F6"/>
    <w:rsid w:val="00990BFD"/>
    <w:rsid w:val="00990E79"/>
    <w:rsid w:val="0099271C"/>
    <w:rsid w:val="00992B27"/>
    <w:rsid w:val="00992FE4"/>
    <w:rsid w:val="00993239"/>
    <w:rsid w:val="00993497"/>
    <w:rsid w:val="00993AA7"/>
    <w:rsid w:val="009941E9"/>
    <w:rsid w:val="009946E0"/>
    <w:rsid w:val="00994BC3"/>
    <w:rsid w:val="00994BF0"/>
    <w:rsid w:val="00994CA4"/>
    <w:rsid w:val="00994F04"/>
    <w:rsid w:val="0099536D"/>
    <w:rsid w:val="00995BC1"/>
    <w:rsid w:val="00996177"/>
    <w:rsid w:val="009964AC"/>
    <w:rsid w:val="009966BF"/>
    <w:rsid w:val="0099695D"/>
    <w:rsid w:val="00997368"/>
    <w:rsid w:val="009973BD"/>
    <w:rsid w:val="009976EB"/>
    <w:rsid w:val="00997764"/>
    <w:rsid w:val="00997820"/>
    <w:rsid w:val="009A07B8"/>
    <w:rsid w:val="009A0EF9"/>
    <w:rsid w:val="009A1882"/>
    <w:rsid w:val="009A1D73"/>
    <w:rsid w:val="009A1F9E"/>
    <w:rsid w:val="009A22B6"/>
    <w:rsid w:val="009A35ED"/>
    <w:rsid w:val="009A3C43"/>
    <w:rsid w:val="009A4834"/>
    <w:rsid w:val="009A52E2"/>
    <w:rsid w:val="009A5AB6"/>
    <w:rsid w:val="009A5D89"/>
    <w:rsid w:val="009A647F"/>
    <w:rsid w:val="009A64C6"/>
    <w:rsid w:val="009A7A09"/>
    <w:rsid w:val="009B0ACA"/>
    <w:rsid w:val="009B0CE5"/>
    <w:rsid w:val="009B1018"/>
    <w:rsid w:val="009B2A25"/>
    <w:rsid w:val="009B2A2A"/>
    <w:rsid w:val="009B372D"/>
    <w:rsid w:val="009B38BD"/>
    <w:rsid w:val="009B3A0E"/>
    <w:rsid w:val="009B41AF"/>
    <w:rsid w:val="009B4A71"/>
    <w:rsid w:val="009B550F"/>
    <w:rsid w:val="009B596D"/>
    <w:rsid w:val="009B5C46"/>
    <w:rsid w:val="009B5D9C"/>
    <w:rsid w:val="009B6B22"/>
    <w:rsid w:val="009B6BEF"/>
    <w:rsid w:val="009B6C08"/>
    <w:rsid w:val="009B6F0D"/>
    <w:rsid w:val="009C0152"/>
    <w:rsid w:val="009C023E"/>
    <w:rsid w:val="009C0CE1"/>
    <w:rsid w:val="009C1FD4"/>
    <w:rsid w:val="009C2767"/>
    <w:rsid w:val="009C2F65"/>
    <w:rsid w:val="009C369C"/>
    <w:rsid w:val="009C4315"/>
    <w:rsid w:val="009C4344"/>
    <w:rsid w:val="009C44AF"/>
    <w:rsid w:val="009C47C6"/>
    <w:rsid w:val="009C47FD"/>
    <w:rsid w:val="009C4C41"/>
    <w:rsid w:val="009C5570"/>
    <w:rsid w:val="009C580C"/>
    <w:rsid w:val="009C68F6"/>
    <w:rsid w:val="009C69DA"/>
    <w:rsid w:val="009D0A9C"/>
    <w:rsid w:val="009D0DA5"/>
    <w:rsid w:val="009D1040"/>
    <w:rsid w:val="009D15C7"/>
    <w:rsid w:val="009D20B4"/>
    <w:rsid w:val="009D23C9"/>
    <w:rsid w:val="009D2482"/>
    <w:rsid w:val="009D27E7"/>
    <w:rsid w:val="009D316E"/>
    <w:rsid w:val="009D3709"/>
    <w:rsid w:val="009D3868"/>
    <w:rsid w:val="009D42AF"/>
    <w:rsid w:val="009D4878"/>
    <w:rsid w:val="009D5CA9"/>
    <w:rsid w:val="009D65CE"/>
    <w:rsid w:val="009D6A86"/>
    <w:rsid w:val="009D7759"/>
    <w:rsid w:val="009E022F"/>
    <w:rsid w:val="009E04D6"/>
    <w:rsid w:val="009E0936"/>
    <w:rsid w:val="009E0940"/>
    <w:rsid w:val="009E0BCD"/>
    <w:rsid w:val="009E126B"/>
    <w:rsid w:val="009E15C0"/>
    <w:rsid w:val="009E1620"/>
    <w:rsid w:val="009E1952"/>
    <w:rsid w:val="009E199A"/>
    <w:rsid w:val="009E1BBE"/>
    <w:rsid w:val="009E1E2F"/>
    <w:rsid w:val="009E1FCC"/>
    <w:rsid w:val="009E27F8"/>
    <w:rsid w:val="009E2A94"/>
    <w:rsid w:val="009E2AE7"/>
    <w:rsid w:val="009E35CA"/>
    <w:rsid w:val="009E4073"/>
    <w:rsid w:val="009E44C5"/>
    <w:rsid w:val="009E508C"/>
    <w:rsid w:val="009E5176"/>
    <w:rsid w:val="009E5E22"/>
    <w:rsid w:val="009E6433"/>
    <w:rsid w:val="009E662C"/>
    <w:rsid w:val="009E6CCD"/>
    <w:rsid w:val="009E75D2"/>
    <w:rsid w:val="009F00CB"/>
    <w:rsid w:val="009F0658"/>
    <w:rsid w:val="009F09FE"/>
    <w:rsid w:val="009F0ECF"/>
    <w:rsid w:val="009F109B"/>
    <w:rsid w:val="009F131C"/>
    <w:rsid w:val="009F3023"/>
    <w:rsid w:val="009F415C"/>
    <w:rsid w:val="009F43FB"/>
    <w:rsid w:val="009F4522"/>
    <w:rsid w:val="009F4811"/>
    <w:rsid w:val="009F53FF"/>
    <w:rsid w:val="009F5608"/>
    <w:rsid w:val="009F5BDB"/>
    <w:rsid w:val="009F63B7"/>
    <w:rsid w:val="009F6759"/>
    <w:rsid w:val="009F7002"/>
    <w:rsid w:val="009F703B"/>
    <w:rsid w:val="009F7063"/>
    <w:rsid w:val="00A000C4"/>
    <w:rsid w:val="00A00CB1"/>
    <w:rsid w:val="00A01087"/>
    <w:rsid w:val="00A0161E"/>
    <w:rsid w:val="00A019DA"/>
    <w:rsid w:val="00A02031"/>
    <w:rsid w:val="00A026A2"/>
    <w:rsid w:val="00A03606"/>
    <w:rsid w:val="00A03E93"/>
    <w:rsid w:val="00A03FFD"/>
    <w:rsid w:val="00A050B3"/>
    <w:rsid w:val="00A06449"/>
    <w:rsid w:val="00A0670B"/>
    <w:rsid w:val="00A0683A"/>
    <w:rsid w:val="00A06B0E"/>
    <w:rsid w:val="00A06E98"/>
    <w:rsid w:val="00A06F2F"/>
    <w:rsid w:val="00A072AC"/>
    <w:rsid w:val="00A079A0"/>
    <w:rsid w:val="00A109B0"/>
    <w:rsid w:val="00A110E6"/>
    <w:rsid w:val="00A11243"/>
    <w:rsid w:val="00A11BC9"/>
    <w:rsid w:val="00A11E68"/>
    <w:rsid w:val="00A1232C"/>
    <w:rsid w:val="00A12435"/>
    <w:rsid w:val="00A1265B"/>
    <w:rsid w:val="00A126A3"/>
    <w:rsid w:val="00A13693"/>
    <w:rsid w:val="00A1458A"/>
    <w:rsid w:val="00A147AC"/>
    <w:rsid w:val="00A14C88"/>
    <w:rsid w:val="00A15424"/>
    <w:rsid w:val="00A154F1"/>
    <w:rsid w:val="00A156A1"/>
    <w:rsid w:val="00A157D6"/>
    <w:rsid w:val="00A15C0B"/>
    <w:rsid w:val="00A164A5"/>
    <w:rsid w:val="00A1672B"/>
    <w:rsid w:val="00A16F7D"/>
    <w:rsid w:val="00A16FB7"/>
    <w:rsid w:val="00A1716F"/>
    <w:rsid w:val="00A17335"/>
    <w:rsid w:val="00A178D5"/>
    <w:rsid w:val="00A17E0B"/>
    <w:rsid w:val="00A208BA"/>
    <w:rsid w:val="00A2130F"/>
    <w:rsid w:val="00A213C8"/>
    <w:rsid w:val="00A213F3"/>
    <w:rsid w:val="00A236B8"/>
    <w:rsid w:val="00A2390A"/>
    <w:rsid w:val="00A2395B"/>
    <w:rsid w:val="00A23DAE"/>
    <w:rsid w:val="00A23E3C"/>
    <w:rsid w:val="00A24566"/>
    <w:rsid w:val="00A24C74"/>
    <w:rsid w:val="00A24E4C"/>
    <w:rsid w:val="00A25017"/>
    <w:rsid w:val="00A2561D"/>
    <w:rsid w:val="00A25C84"/>
    <w:rsid w:val="00A25CEE"/>
    <w:rsid w:val="00A262A4"/>
    <w:rsid w:val="00A2655B"/>
    <w:rsid w:val="00A270CF"/>
    <w:rsid w:val="00A27B14"/>
    <w:rsid w:val="00A27BAE"/>
    <w:rsid w:val="00A30A1D"/>
    <w:rsid w:val="00A30CA7"/>
    <w:rsid w:val="00A31710"/>
    <w:rsid w:val="00A31792"/>
    <w:rsid w:val="00A31DCE"/>
    <w:rsid w:val="00A31E21"/>
    <w:rsid w:val="00A31F45"/>
    <w:rsid w:val="00A33332"/>
    <w:rsid w:val="00A3357B"/>
    <w:rsid w:val="00A336DD"/>
    <w:rsid w:val="00A337A9"/>
    <w:rsid w:val="00A33EE1"/>
    <w:rsid w:val="00A3441F"/>
    <w:rsid w:val="00A344F1"/>
    <w:rsid w:val="00A34FA9"/>
    <w:rsid w:val="00A350BF"/>
    <w:rsid w:val="00A35215"/>
    <w:rsid w:val="00A355F6"/>
    <w:rsid w:val="00A3631B"/>
    <w:rsid w:val="00A36910"/>
    <w:rsid w:val="00A375A9"/>
    <w:rsid w:val="00A37FA3"/>
    <w:rsid w:val="00A408AE"/>
    <w:rsid w:val="00A40A9B"/>
    <w:rsid w:val="00A424AB"/>
    <w:rsid w:val="00A43241"/>
    <w:rsid w:val="00A443F8"/>
    <w:rsid w:val="00A44F61"/>
    <w:rsid w:val="00A46045"/>
    <w:rsid w:val="00A463D7"/>
    <w:rsid w:val="00A470E7"/>
    <w:rsid w:val="00A4741A"/>
    <w:rsid w:val="00A47559"/>
    <w:rsid w:val="00A47D53"/>
    <w:rsid w:val="00A47F5B"/>
    <w:rsid w:val="00A50D92"/>
    <w:rsid w:val="00A51291"/>
    <w:rsid w:val="00A5241A"/>
    <w:rsid w:val="00A52A8B"/>
    <w:rsid w:val="00A52BA3"/>
    <w:rsid w:val="00A53181"/>
    <w:rsid w:val="00A537D3"/>
    <w:rsid w:val="00A542DC"/>
    <w:rsid w:val="00A54BDF"/>
    <w:rsid w:val="00A54BF3"/>
    <w:rsid w:val="00A54DB3"/>
    <w:rsid w:val="00A54E8A"/>
    <w:rsid w:val="00A55626"/>
    <w:rsid w:val="00A55D7B"/>
    <w:rsid w:val="00A55EF9"/>
    <w:rsid w:val="00A563C6"/>
    <w:rsid w:val="00A567CC"/>
    <w:rsid w:val="00A56B0D"/>
    <w:rsid w:val="00A56DD1"/>
    <w:rsid w:val="00A56EB2"/>
    <w:rsid w:val="00A5769F"/>
    <w:rsid w:val="00A60B3C"/>
    <w:rsid w:val="00A612D8"/>
    <w:rsid w:val="00A619BA"/>
    <w:rsid w:val="00A61C65"/>
    <w:rsid w:val="00A61FAD"/>
    <w:rsid w:val="00A61FC3"/>
    <w:rsid w:val="00A62213"/>
    <w:rsid w:val="00A62AB4"/>
    <w:rsid w:val="00A62BBB"/>
    <w:rsid w:val="00A62D62"/>
    <w:rsid w:val="00A631F4"/>
    <w:rsid w:val="00A63A00"/>
    <w:rsid w:val="00A63D4F"/>
    <w:rsid w:val="00A63F79"/>
    <w:rsid w:val="00A64284"/>
    <w:rsid w:val="00A6433B"/>
    <w:rsid w:val="00A645E0"/>
    <w:rsid w:val="00A64BF9"/>
    <w:rsid w:val="00A652D3"/>
    <w:rsid w:val="00A65454"/>
    <w:rsid w:val="00A65484"/>
    <w:rsid w:val="00A654BC"/>
    <w:rsid w:val="00A6684C"/>
    <w:rsid w:val="00A6707F"/>
    <w:rsid w:val="00A6772F"/>
    <w:rsid w:val="00A71900"/>
    <w:rsid w:val="00A72377"/>
    <w:rsid w:val="00A72B7D"/>
    <w:rsid w:val="00A7317F"/>
    <w:rsid w:val="00A7350A"/>
    <w:rsid w:val="00A74268"/>
    <w:rsid w:val="00A746C6"/>
    <w:rsid w:val="00A748ED"/>
    <w:rsid w:val="00A74A86"/>
    <w:rsid w:val="00A76234"/>
    <w:rsid w:val="00A7731F"/>
    <w:rsid w:val="00A773FD"/>
    <w:rsid w:val="00A775D2"/>
    <w:rsid w:val="00A77639"/>
    <w:rsid w:val="00A77875"/>
    <w:rsid w:val="00A77BDA"/>
    <w:rsid w:val="00A77C89"/>
    <w:rsid w:val="00A77D3B"/>
    <w:rsid w:val="00A80595"/>
    <w:rsid w:val="00A806AE"/>
    <w:rsid w:val="00A80BA9"/>
    <w:rsid w:val="00A81700"/>
    <w:rsid w:val="00A81897"/>
    <w:rsid w:val="00A8227D"/>
    <w:rsid w:val="00A843D7"/>
    <w:rsid w:val="00A845EA"/>
    <w:rsid w:val="00A861B5"/>
    <w:rsid w:val="00A90214"/>
    <w:rsid w:val="00A903A7"/>
    <w:rsid w:val="00A90B17"/>
    <w:rsid w:val="00A91FFF"/>
    <w:rsid w:val="00A92057"/>
    <w:rsid w:val="00A92133"/>
    <w:rsid w:val="00A92276"/>
    <w:rsid w:val="00A92DA1"/>
    <w:rsid w:val="00A93289"/>
    <w:rsid w:val="00A93A7A"/>
    <w:rsid w:val="00A94204"/>
    <w:rsid w:val="00A944EB"/>
    <w:rsid w:val="00A94D3F"/>
    <w:rsid w:val="00A95160"/>
    <w:rsid w:val="00A95394"/>
    <w:rsid w:val="00A959C7"/>
    <w:rsid w:val="00A965D5"/>
    <w:rsid w:val="00A96CCA"/>
    <w:rsid w:val="00A96D01"/>
    <w:rsid w:val="00AA0AB5"/>
    <w:rsid w:val="00AA11FD"/>
    <w:rsid w:val="00AA18F9"/>
    <w:rsid w:val="00AA1C93"/>
    <w:rsid w:val="00AA1F3E"/>
    <w:rsid w:val="00AA2029"/>
    <w:rsid w:val="00AA216C"/>
    <w:rsid w:val="00AA38DF"/>
    <w:rsid w:val="00AA3A40"/>
    <w:rsid w:val="00AA3DE0"/>
    <w:rsid w:val="00AA4307"/>
    <w:rsid w:val="00AA4942"/>
    <w:rsid w:val="00AA49E5"/>
    <w:rsid w:val="00AA4A06"/>
    <w:rsid w:val="00AA50FF"/>
    <w:rsid w:val="00AA5D84"/>
    <w:rsid w:val="00AA5DE8"/>
    <w:rsid w:val="00AA647D"/>
    <w:rsid w:val="00AA6704"/>
    <w:rsid w:val="00AA67BE"/>
    <w:rsid w:val="00AA6E54"/>
    <w:rsid w:val="00AA70EE"/>
    <w:rsid w:val="00AA7D06"/>
    <w:rsid w:val="00AA7D6F"/>
    <w:rsid w:val="00AB01E8"/>
    <w:rsid w:val="00AB0388"/>
    <w:rsid w:val="00AB0C63"/>
    <w:rsid w:val="00AB0DA9"/>
    <w:rsid w:val="00AB0E4F"/>
    <w:rsid w:val="00AB2845"/>
    <w:rsid w:val="00AB2ED4"/>
    <w:rsid w:val="00AB3767"/>
    <w:rsid w:val="00AB384A"/>
    <w:rsid w:val="00AB3BE6"/>
    <w:rsid w:val="00AB4277"/>
    <w:rsid w:val="00AB4414"/>
    <w:rsid w:val="00AB457A"/>
    <w:rsid w:val="00AB489D"/>
    <w:rsid w:val="00AB4C97"/>
    <w:rsid w:val="00AB513C"/>
    <w:rsid w:val="00AB5249"/>
    <w:rsid w:val="00AB52CB"/>
    <w:rsid w:val="00AB5600"/>
    <w:rsid w:val="00AB59A8"/>
    <w:rsid w:val="00AB59FA"/>
    <w:rsid w:val="00AB608E"/>
    <w:rsid w:val="00AB62BF"/>
    <w:rsid w:val="00AB6541"/>
    <w:rsid w:val="00AB67AA"/>
    <w:rsid w:val="00AB71E8"/>
    <w:rsid w:val="00AB7AAD"/>
    <w:rsid w:val="00AB7FD6"/>
    <w:rsid w:val="00AC08C2"/>
    <w:rsid w:val="00AC175E"/>
    <w:rsid w:val="00AC1F42"/>
    <w:rsid w:val="00AC309F"/>
    <w:rsid w:val="00AC3689"/>
    <w:rsid w:val="00AC3CE6"/>
    <w:rsid w:val="00AC4431"/>
    <w:rsid w:val="00AC5133"/>
    <w:rsid w:val="00AC56D9"/>
    <w:rsid w:val="00AC5B2F"/>
    <w:rsid w:val="00AC6255"/>
    <w:rsid w:val="00AD0936"/>
    <w:rsid w:val="00AD0ED9"/>
    <w:rsid w:val="00AD1928"/>
    <w:rsid w:val="00AD194B"/>
    <w:rsid w:val="00AD1A38"/>
    <w:rsid w:val="00AD1DA3"/>
    <w:rsid w:val="00AD2658"/>
    <w:rsid w:val="00AD2E7F"/>
    <w:rsid w:val="00AD3072"/>
    <w:rsid w:val="00AD30F0"/>
    <w:rsid w:val="00AD3431"/>
    <w:rsid w:val="00AD346F"/>
    <w:rsid w:val="00AD3569"/>
    <w:rsid w:val="00AD3C10"/>
    <w:rsid w:val="00AD447C"/>
    <w:rsid w:val="00AD47AB"/>
    <w:rsid w:val="00AD4CE4"/>
    <w:rsid w:val="00AD4EF5"/>
    <w:rsid w:val="00AD59C8"/>
    <w:rsid w:val="00AD60CA"/>
    <w:rsid w:val="00AD6EE8"/>
    <w:rsid w:val="00AD7971"/>
    <w:rsid w:val="00AD7D2D"/>
    <w:rsid w:val="00AE0DBE"/>
    <w:rsid w:val="00AE116A"/>
    <w:rsid w:val="00AE1BF5"/>
    <w:rsid w:val="00AE2143"/>
    <w:rsid w:val="00AE248D"/>
    <w:rsid w:val="00AE25C2"/>
    <w:rsid w:val="00AE2A26"/>
    <w:rsid w:val="00AE2D99"/>
    <w:rsid w:val="00AE3042"/>
    <w:rsid w:val="00AE3A5B"/>
    <w:rsid w:val="00AE4146"/>
    <w:rsid w:val="00AE4B9B"/>
    <w:rsid w:val="00AE60A3"/>
    <w:rsid w:val="00AE6117"/>
    <w:rsid w:val="00AE672E"/>
    <w:rsid w:val="00AE6935"/>
    <w:rsid w:val="00AE6949"/>
    <w:rsid w:val="00AE79A3"/>
    <w:rsid w:val="00AE7C0E"/>
    <w:rsid w:val="00AF09BC"/>
    <w:rsid w:val="00AF18CC"/>
    <w:rsid w:val="00AF1D13"/>
    <w:rsid w:val="00AF248A"/>
    <w:rsid w:val="00AF2AC6"/>
    <w:rsid w:val="00AF309D"/>
    <w:rsid w:val="00AF3184"/>
    <w:rsid w:val="00AF41D9"/>
    <w:rsid w:val="00AF500D"/>
    <w:rsid w:val="00AF5474"/>
    <w:rsid w:val="00AF5719"/>
    <w:rsid w:val="00AF6E35"/>
    <w:rsid w:val="00AF6EC7"/>
    <w:rsid w:val="00AF6F87"/>
    <w:rsid w:val="00AF7185"/>
    <w:rsid w:val="00AF7936"/>
    <w:rsid w:val="00AF7A05"/>
    <w:rsid w:val="00AF7E71"/>
    <w:rsid w:val="00B00473"/>
    <w:rsid w:val="00B00B27"/>
    <w:rsid w:val="00B00F6A"/>
    <w:rsid w:val="00B00F77"/>
    <w:rsid w:val="00B01D1D"/>
    <w:rsid w:val="00B025C9"/>
    <w:rsid w:val="00B0269E"/>
    <w:rsid w:val="00B03CBC"/>
    <w:rsid w:val="00B044E8"/>
    <w:rsid w:val="00B0511E"/>
    <w:rsid w:val="00B06290"/>
    <w:rsid w:val="00B068B2"/>
    <w:rsid w:val="00B06983"/>
    <w:rsid w:val="00B06DAC"/>
    <w:rsid w:val="00B073CD"/>
    <w:rsid w:val="00B076E5"/>
    <w:rsid w:val="00B07D12"/>
    <w:rsid w:val="00B07F22"/>
    <w:rsid w:val="00B1024D"/>
    <w:rsid w:val="00B1041A"/>
    <w:rsid w:val="00B110F2"/>
    <w:rsid w:val="00B11433"/>
    <w:rsid w:val="00B114A7"/>
    <w:rsid w:val="00B11FB7"/>
    <w:rsid w:val="00B12B08"/>
    <w:rsid w:val="00B12FE4"/>
    <w:rsid w:val="00B13EB9"/>
    <w:rsid w:val="00B13F01"/>
    <w:rsid w:val="00B14312"/>
    <w:rsid w:val="00B143D1"/>
    <w:rsid w:val="00B1481D"/>
    <w:rsid w:val="00B154C2"/>
    <w:rsid w:val="00B15C45"/>
    <w:rsid w:val="00B165AC"/>
    <w:rsid w:val="00B165FB"/>
    <w:rsid w:val="00B1690E"/>
    <w:rsid w:val="00B16A72"/>
    <w:rsid w:val="00B170F4"/>
    <w:rsid w:val="00B20078"/>
    <w:rsid w:val="00B2042D"/>
    <w:rsid w:val="00B21F29"/>
    <w:rsid w:val="00B2210F"/>
    <w:rsid w:val="00B2234A"/>
    <w:rsid w:val="00B2309D"/>
    <w:rsid w:val="00B23D25"/>
    <w:rsid w:val="00B23EDE"/>
    <w:rsid w:val="00B25088"/>
    <w:rsid w:val="00B25205"/>
    <w:rsid w:val="00B25625"/>
    <w:rsid w:val="00B25806"/>
    <w:rsid w:val="00B25B30"/>
    <w:rsid w:val="00B26007"/>
    <w:rsid w:val="00B26232"/>
    <w:rsid w:val="00B2659C"/>
    <w:rsid w:val="00B26DE7"/>
    <w:rsid w:val="00B277B3"/>
    <w:rsid w:val="00B3011F"/>
    <w:rsid w:val="00B30A3B"/>
    <w:rsid w:val="00B31347"/>
    <w:rsid w:val="00B32C16"/>
    <w:rsid w:val="00B330FD"/>
    <w:rsid w:val="00B33866"/>
    <w:rsid w:val="00B3387D"/>
    <w:rsid w:val="00B33A4E"/>
    <w:rsid w:val="00B33E2E"/>
    <w:rsid w:val="00B352FA"/>
    <w:rsid w:val="00B35426"/>
    <w:rsid w:val="00B3577A"/>
    <w:rsid w:val="00B366A6"/>
    <w:rsid w:val="00B36726"/>
    <w:rsid w:val="00B36F14"/>
    <w:rsid w:val="00B37473"/>
    <w:rsid w:val="00B379B3"/>
    <w:rsid w:val="00B37CB9"/>
    <w:rsid w:val="00B400E9"/>
    <w:rsid w:val="00B41B1B"/>
    <w:rsid w:val="00B42175"/>
    <w:rsid w:val="00B4245E"/>
    <w:rsid w:val="00B42465"/>
    <w:rsid w:val="00B42902"/>
    <w:rsid w:val="00B432E5"/>
    <w:rsid w:val="00B437ED"/>
    <w:rsid w:val="00B438F1"/>
    <w:rsid w:val="00B44099"/>
    <w:rsid w:val="00B4511E"/>
    <w:rsid w:val="00B45B93"/>
    <w:rsid w:val="00B45EAC"/>
    <w:rsid w:val="00B45F20"/>
    <w:rsid w:val="00B45F85"/>
    <w:rsid w:val="00B46059"/>
    <w:rsid w:val="00B46282"/>
    <w:rsid w:val="00B4710F"/>
    <w:rsid w:val="00B4745A"/>
    <w:rsid w:val="00B4775C"/>
    <w:rsid w:val="00B479F6"/>
    <w:rsid w:val="00B47E7C"/>
    <w:rsid w:val="00B47F61"/>
    <w:rsid w:val="00B5101B"/>
    <w:rsid w:val="00B5143B"/>
    <w:rsid w:val="00B52158"/>
    <w:rsid w:val="00B524A9"/>
    <w:rsid w:val="00B52D68"/>
    <w:rsid w:val="00B53218"/>
    <w:rsid w:val="00B53CD1"/>
    <w:rsid w:val="00B53F19"/>
    <w:rsid w:val="00B54384"/>
    <w:rsid w:val="00B5466A"/>
    <w:rsid w:val="00B55023"/>
    <w:rsid w:val="00B5559D"/>
    <w:rsid w:val="00B55AAE"/>
    <w:rsid w:val="00B56702"/>
    <w:rsid w:val="00B56B6A"/>
    <w:rsid w:val="00B57359"/>
    <w:rsid w:val="00B57497"/>
    <w:rsid w:val="00B57BEF"/>
    <w:rsid w:val="00B57E3B"/>
    <w:rsid w:val="00B603EF"/>
    <w:rsid w:val="00B60707"/>
    <w:rsid w:val="00B60F85"/>
    <w:rsid w:val="00B617E4"/>
    <w:rsid w:val="00B61A71"/>
    <w:rsid w:val="00B627A6"/>
    <w:rsid w:val="00B63185"/>
    <w:rsid w:val="00B63A67"/>
    <w:rsid w:val="00B645E3"/>
    <w:rsid w:val="00B655A1"/>
    <w:rsid w:val="00B65739"/>
    <w:rsid w:val="00B65FA2"/>
    <w:rsid w:val="00B66DA3"/>
    <w:rsid w:val="00B67015"/>
    <w:rsid w:val="00B678E6"/>
    <w:rsid w:val="00B67BAC"/>
    <w:rsid w:val="00B67CF9"/>
    <w:rsid w:val="00B7065D"/>
    <w:rsid w:val="00B711B5"/>
    <w:rsid w:val="00B71741"/>
    <w:rsid w:val="00B71D2B"/>
    <w:rsid w:val="00B725B1"/>
    <w:rsid w:val="00B72C54"/>
    <w:rsid w:val="00B73A76"/>
    <w:rsid w:val="00B73C98"/>
    <w:rsid w:val="00B73E39"/>
    <w:rsid w:val="00B73F23"/>
    <w:rsid w:val="00B74078"/>
    <w:rsid w:val="00B7484E"/>
    <w:rsid w:val="00B748C3"/>
    <w:rsid w:val="00B748DB"/>
    <w:rsid w:val="00B7495D"/>
    <w:rsid w:val="00B75059"/>
    <w:rsid w:val="00B75CE1"/>
    <w:rsid w:val="00B76449"/>
    <w:rsid w:val="00B76899"/>
    <w:rsid w:val="00B76A4E"/>
    <w:rsid w:val="00B76E3C"/>
    <w:rsid w:val="00B7707F"/>
    <w:rsid w:val="00B77FDE"/>
    <w:rsid w:val="00B802AE"/>
    <w:rsid w:val="00B802E4"/>
    <w:rsid w:val="00B8030B"/>
    <w:rsid w:val="00B805A2"/>
    <w:rsid w:val="00B80619"/>
    <w:rsid w:val="00B812AF"/>
    <w:rsid w:val="00B81FA5"/>
    <w:rsid w:val="00B82807"/>
    <w:rsid w:val="00B82CF4"/>
    <w:rsid w:val="00B838FF"/>
    <w:rsid w:val="00B83FBB"/>
    <w:rsid w:val="00B8489E"/>
    <w:rsid w:val="00B84BE6"/>
    <w:rsid w:val="00B84EDD"/>
    <w:rsid w:val="00B8759C"/>
    <w:rsid w:val="00B87CD9"/>
    <w:rsid w:val="00B87EA3"/>
    <w:rsid w:val="00B90085"/>
    <w:rsid w:val="00B900A1"/>
    <w:rsid w:val="00B90869"/>
    <w:rsid w:val="00B9087D"/>
    <w:rsid w:val="00B90AFF"/>
    <w:rsid w:val="00B9178B"/>
    <w:rsid w:val="00B91865"/>
    <w:rsid w:val="00B9278F"/>
    <w:rsid w:val="00B9362A"/>
    <w:rsid w:val="00B940A6"/>
    <w:rsid w:val="00B94118"/>
    <w:rsid w:val="00B94E35"/>
    <w:rsid w:val="00B951B6"/>
    <w:rsid w:val="00B95691"/>
    <w:rsid w:val="00B958DA"/>
    <w:rsid w:val="00B962CF"/>
    <w:rsid w:val="00B9648A"/>
    <w:rsid w:val="00B96C20"/>
    <w:rsid w:val="00B97397"/>
    <w:rsid w:val="00B97454"/>
    <w:rsid w:val="00BA00B1"/>
    <w:rsid w:val="00BA14D0"/>
    <w:rsid w:val="00BA158A"/>
    <w:rsid w:val="00BA19AE"/>
    <w:rsid w:val="00BA1B2E"/>
    <w:rsid w:val="00BA1EBA"/>
    <w:rsid w:val="00BA1FCA"/>
    <w:rsid w:val="00BA229A"/>
    <w:rsid w:val="00BA3677"/>
    <w:rsid w:val="00BA3C1C"/>
    <w:rsid w:val="00BA3F14"/>
    <w:rsid w:val="00BA571B"/>
    <w:rsid w:val="00BA642E"/>
    <w:rsid w:val="00BA7A21"/>
    <w:rsid w:val="00BA7DFD"/>
    <w:rsid w:val="00BB07A0"/>
    <w:rsid w:val="00BB0A0F"/>
    <w:rsid w:val="00BB129A"/>
    <w:rsid w:val="00BB197E"/>
    <w:rsid w:val="00BB1D53"/>
    <w:rsid w:val="00BB25AF"/>
    <w:rsid w:val="00BB2A61"/>
    <w:rsid w:val="00BB3B31"/>
    <w:rsid w:val="00BB3D7A"/>
    <w:rsid w:val="00BB4395"/>
    <w:rsid w:val="00BB450E"/>
    <w:rsid w:val="00BB4AB8"/>
    <w:rsid w:val="00BB4CE8"/>
    <w:rsid w:val="00BB5AB4"/>
    <w:rsid w:val="00BB60B3"/>
    <w:rsid w:val="00BB6539"/>
    <w:rsid w:val="00BB701D"/>
    <w:rsid w:val="00BB71DD"/>
    <w:rsid w:val="00BC0263"/>
    <w:rsid w:val="00BC0A00"/>
    <w:rsid w:val="00BC0C92"/>
    <w:rsid w:val="00BC1710"/>
    <w:rsid w:val="00BC1C2B"/>
    <w:rsid w:val="00BC2380"/>
    <w:rsid w:val="00BC23A4"/>
    <w:rsid w:val="00BC2D9F"/>
    <w:rsid w:val="00BC3AB0"/>
    <w:rsid w:val="00BC4022"/>
    <w:rsid w:val="00BC4157"/>
    <w:rsid w:val="00BC4B7A"/>
    <w:rsid w:val="00BC4D6D"/>
    <w:rsid w:val="00BC50BF"/>
    <w:rsid w:val="00BC5320"/>
    <w:rsid w:val="00BC54FD"/>
    <w:rsid w:val="00BC5FCB"/>
    <w:rsid w:val="00BC61FE"/>
    <w:rsid w:val="00BC6949"/>
    <w:rsid w:val="00BC6AC6"/>
    <w:rsid w:val="00BC6D6F"/>
    <w:rsid w:val="00BC7704"/>
    <w:rsid w:val="00BD0182"/>
    <w:rsid w:val="00BD0B0C"/>
    <w:rsid w:val="00BD0D5A"/>
    <w:rsid w:val="00BD1547"/>
    <w:rsid w:val="00BD161F"/>
    <w:rsid w:val="00BD2676"/>
    <w:rsid w:val="00BD2C97"/>
    <w:rsid w:val="00BD337B"/>
    <w:rsid w:val="00BD34B8"/>
    <w:rsid w:val="00BD3528"/>
    <w:rsid w:val="00BD3A84"/>
    <w:rsid w:val="00BD3C74"/>
    <w:rsid w:val="00BD40CA"/>
    <w:rsid w:val="00BD41CA"/>
    <w:rsid w:val="00BD4E44"/>
    <w:rsid w:val="00BD5940"/>
    <w:rsid w:val="00BD5ACC"/>
    <w:rsid w:val="00BE0138"/>
    <w:rsid w:val="00BE056B"/>
    <w:rsid w:val="00BE089E"/>
    <w:rsid w:val="00BE2018"/>
    <w:rsid w:val="00BE28E4"/>
    <w:rsid w:val="00BE2F24"/>
    <w:rsid w:val="00BE30A1"/>
    <w:rsid w:val="00BE32AF"/>
    <w:rsid w:val="00BE3458"/>
    <w:rsid w:val="00BE361A"/>
    <w:rsid w:val="00BE36C7"/>
    <w:rsid w:val="00BE38A0"/>
    <w:rsid w:val="00BE4282"/>
    <w:rsid w:val="00BE4375"/>
    <w:rsid w:val="00BE45FB"/>
    <w:rsid w:val="00BE4C89"/>
    <w:rsid w:val="00BE5590"/>
    <w:rsid w:val="00BE5FEC"/>
    <w:rsid w:val="00BE6466"/>
    <w:rsid w:val="00BE648C"/>
    <w:rsid w:val="00BE6645"/>
    <w:rsid w:val="00BE6E58"/>
    <w:rsid w:val="00BE70C5"/>
    <w:rsid w:val="00BF0049"/>
    <w:rsid w:val="00BF0098"/>
    <w:rsid w:val="00BF06A4"/>
    <w:rsid w:val="00BF079E"/>
    <w:rsid w:val="00BF08E4"/>
    <w:rsid w:val="00BF0E5E"/>
    <w:rsid w:val="00BF14AB"/>
    <w:rsid w:val="00BF187B"/>
    <w:rsid w:val="00BF19FA"/>
    <w:rsid w:val="00BF2042"/>
    <w:rsid w:val="00BF20F4"/>
    <w:rsid w:val="00BF25A0"/>
    <w:rsid w:val="00BF2A84"/>
    <w:rsid w:val="00BF2B66"/>
    <w:rsid w:val="00BF3118"/>
    <w:rsid w:val="00BF32E6"/>
    <w:rsid w:val="00BF4740"/>
    <w:rsid w:val="00BF4C9A"/>
    <w:rsid w:val="00BF500F"/>
    <w:rsid w:val="00BF59F2"/>
    <w:rsid w:val="00BF68CA"/>
    <w:rsid w:val="00BF6EEE"/>
    <w:rsid w:val="00BF7138"/>
    <w:rsid w:val="00C002CF"/>
    <w:rsid w:val="00C003AF"/>
    <w:rsid w:val="00C0103F"/>
    <w:rsid w:val="00C01949"/>
    <w:rsid w:val="00C019AC"/>
    <w:rsid w:val="00C0206E"/>
    <w:rsid w:val="00C022B0"/>
    <w:rsid w:val="00C02889"/>
    <w:rsid w:val="00C02FDA"/>
    <w:rsid w:val="00C03FC0"/>
    <w:rsid w:val="00C046D5"/>
    <w:rsid w:val="00C047C1"/>
    <w:rsid w:val="00C05AAF"/>
    <w:rsid w:val="00C05D57"/>
    <w:rsid w:val="00C05F38"/>
    <w:rsid w:val="00C06DB1"/>
    <w:rsid w:val="00C072F3"/>
    <w:rsid w:val="00C0752C"/>
    <w:rsid w:val="00C0772D"/>
    <w:rsid w:val="00C07A40"/>
    <w:rsid w:val="00C07A5F"/>
    <w:rsid w:val="00C07BEE"/>
    <w:rsid w:val="00C07D93"/>
    <w:rsid w:val="00C110A9"/>
    <w:rsid w:val="00C111A0"/>
    <w:rsid w:val="00C132D2"/>
    <w:rsid w:val="00C139FD"/>
    <w:rsid w:val="00C14A9A"/>
    <w:rsid w:val="00C14AD7"/>
    <w:rsid w:val="00C14DB2"/>
    <w:rsid w:val="00C15380"/>
    <w:rsid w:val="00C15646"/>
    <w:rsid w:val="00C16E0E"/>
    <w:rsid w:val="00C16FA7"/>
    <w:rsid w:val="00C176EC"/>
    <w:rsid w:val="00C1779A"/>
    <w:rsid w:val="00C17B74"/>
    <w:rsid w:val="00C2025D"/>
    <w:rsid w:val="00C20368"/>
    <w:rsid w:val="00C207BF"/>
    <w:rsid w:val="00C2128D"/>
    <w:rsid w:val="00C21F19"/>
    <w:rsid w:val="00C22B95"/>
    <w:rsid w:val="00C230E2"/>
    <w:rsid w:val="00C23FC7"/>
    <w:rsid w:val="00C241F3"/>
    <w:rsid w:val="00C24601"/>
    <w:rsid w:val="00C2470A"/>
    <w:rsid w:val="00C24835"/>
    <w:rsid w:val="00C2491F"/>
    <w:rsid w:val="00C24931"/>
    <w:rsid w:val="00C24976"/>
    <w:rsid w:val="00C24E1F"/>
    <w:rsid w:val="00C2539B"/>
    <w:rsid w:val="00C261DB"/>
    <w:rsid w:val="00C26584"/>
    <w:rsid w:val="00C2669C"/>
    <w:rsid w:val="00C26CC2"/>
    <w:rsid w:val="00C27896"/>
    <w:rsid w:val="00C27B38"/>
    <w:rsid w:val="00C30CE1"/>
    <w:rsid w:val="00C30D05"/>
    <w:rsid w:val="00C3188B"/>
    <w:rsid w:val="00C31951"/>
    <w:rsid w:val="00C31E08"/>
    <w:rsid w:val="00C31E5F"/>
    <w:rsid w:val="00C31FCA"/>
    <w:rsid w:val="00C33059"/>
    <w:rsid w:val="00C33794"/>
    <w:rsid w:val="00C33C97"/>
    <w:rsid w:val="00C33E30"/>
    <w:rsid w:val="00C34295"/>
    <w:rsid w:val="00C34700"/>
    <w:rsid w:val="00C34EEF"/>
    <w:rsid w:val="00C35630"/>
    <w:rsid w:val="00C3575E"/>
    <w:rsid w:val="00C3690C"/>
    <w:rsid w:val="00C36B56"/>
    <w:rsid w:val="00C37063"/>
    <w:rsid w:val="00C40C87"/>
    <w:rsid w:val="00C40ED0"/>
    <w:rsid w:val="00C412C7"/>
    <w:rsid w:val="00C4210F"/>
    <w:rsid w:val="00C43A75"/>
    <w:rsid w:val="00C44250"/>
    <w:rsid w:val="00C44C21"/>
    <w:rsid w:val="00C44C88"/>
    <w:rsid w:val="00C460B0"/>
    <w:rsid w:val="00C469A4"/>
    <w:rsid w:val="00C46BBD"/>
    <w:rsid w:val="00C47577"/>
    <w:rsid w:val="00C506F8"/>
    <w:rsid w:val="00C508AD"/>
    <w:rsid w:val="00C50A53"/>
    <w:rsid w:val="00C50D5A"/>
    <w:rsid w:val="00C50DCA"/>
    <w:rsid w:val="00C511BC"/>
    <w:rsid w:val="00C51AF0"/>
    <w:rsid w:val="00C524A7"/>
    <w:rsid w:val="00C52FD0"/>
    <w:rsid w:val="00C53581"/>
    <w:rsid w:val="00C53DF1"/>
    <w:rsid w:val="00C540D2"/>
    <w:rsid w:val="00C54B3E"/>
    <w:rsid w:val="00C54EEF"/>
    <w:rsid w:val="00C54EFA"/>
    <w:rsid w:val="00C55353"/>
    <w:rsid w:val="00C555B1"/>
    <w:rsid w:val="00C55A85"/>
    <w:rsid w:val="00C56447"/>
    <w:rsid w:val="00C567C6"/>
    <w:rsid w:val="00C569F9"/>
    <w:rsid w:val="00C56B99"/>
    <w:rsid w:val="00C56F81"/>
    <w:rsid w:val="00C576DB"/>
    <w:rsid w:val="00C60007"/>
    <w:rsid w:val="00C60161"/>
    <w:rsid w:val="00C60FC4"/>
    <w:rsid w:val="00C61231"/>
    <w:rsid w:val="00C61F7B"/>
    <w:rsid w:val="00C62343"/>
    <w:rsid w:val="00C63015"/>
    <w:rsid w:val="00C631B1"/>
    <w:rsid w:val="00C6321E"/>
    <w:rsid w:val="00C641F0"/>
    <w:rsid w:val="00C64C09"/>
    <w:rsid w:val="00C65196"/>
    <w:rsid w:val="00C66702"/>
    <w:rsid w:val="00C67C2B"/>
    <w:rsid w:val="00C706ED"/>
    <w:rsid w:val="00C707EC"/>
    <w:rsid w:val="00C70A35"/>
    <w:rsid w:val="00C71058"/>
    <w:rsid w:val="00C7134A"/>
    <w:rsid w:val="00C71741"/>
    <w:rsid w:val="00C72033"/>
    <w:rsid w:val="00C722FA"/>
    <w:rsid w:val="00C731BB"/>
    <w:rsid w:val="00C7343B"/>
    <w:rsid w:val="00C73B54"/>
    <w:rsid w:val="00C73C0F"/>
    <w:rsid w:val="00C74D56"/>
    <w:rsid w:val="00C74F86"/>
    <w:rsid w:val="00C7515B"/>
    <w:rsid w:val="00C75A4F"/>
    <w:rsid w:val="00C76038"/>
    <w:rsid w:val="00C764DD"/>
    <w:rsid w:val="00C7699F"/>
    <w:rsid w:val="00C7755F"/>
    <w:rsid w:val="00C778D8"/>
    <w:rsid w:val="00C77A33"/>
    <w:rsid w:val="00C77AEF"/>
    <w:rsid w:val="00C77C29"/>
    <w:rsid w:val="00C8016B"/>
    <w:rsid w:val="00C80567"/>
    <w:rsid w:val="00C80747"/>
    <w:rsid w:val="00C81E3E"/>
    <w:rsid w:val="00C827E4"/>
    <w:rsid w:val="00C82A65"/>
    <w:rsid w:val="00C82BC5"/>
    <w:rsid w:val="00C8348B"/>
    <w:rsid w:val="00C8353A"/>
    <w:rsid w:val="00C8412A"/>
    <w:rsid w:val="00C8475A"/>
    <w:rsid w:val="00C850C1"/>
    <w:rsid w:val="00C85462"/>
    <w:rsid w:val="00C86C1E"/>
    <w:rsid w:val="00C86C88"/>
    <w:rsid w:val="00C877DD"/>
    <w:rsid w:val="00C9043D"/>
    <w:rsid w:val="00C90935"/>
    <w:rsid w:val="00C90AB6"/>
    <w:rsid w:val="00C917EF"/>
    <w:rsid w:val="00C91CD2"/>
    <w:rsid w:val="00C91DE0"/>
    <w:rsid w:val="00C92166"/>
    <w:rsid w:val="00C92B74"/>
    <w:rsid w:val="00C93777"/>
    <w:rsid w:val="00C93A01"/>
    <w:rsid w:val="00C94FA6"/>
    <w:rsid w:val="00C94FD7"/>
    <w:rsid w:val="00C95498"/>
    <w:rsid w:val="00C96696"/>
    <w:rsid w:val="00C96A25"/>
    <w:rsid w:val="00C97905"/>
    <w:rsid w:val="00CA06AC"/>
    <w:rsid w:val="00CA0880"/>
    <w:rsid w:val="00CA0FE5"/>
    <w:rsid w:val="00CA1D31"/>
    <w:rsid w:val="00CA3D1B"/>
    <w:rsid w:val="00CA4BC1"/>
    <w:rsid w:val="00CA512D"/>
    <w:rsid w:val="00CA5886"/>
    <w:rsid w:val="00CA6D07"/>
    <w:rsid w:val="00CB0137"/>
    <w:rsid w:val="00CB1282"/>
    <w:rsid w:val="00CB1447"/>
    <w:rsid w:val="00CB1F5B"/>
    <w:rsid w:val="00CB23AB"/>
    <w:rsid w:val="00CB2435"/>
    <w:rsid w:val="00CB2A46"/>
    <w:rsid w:val="00CB2F34"/>
    <w:rsid w:val="00CB3462"/>
    <w:rsid w:val="00CB3D16"/>
    <w:rsid w:val="00CB44B9"/>
    <w:rsid w:val="00CB5545"/>
    <w:rsid w:val="00CB6243"/>
    <w:rsid w:val="00CB6581"/>
    <w:rsid w:val="00CB6FC7"/>
    <w:rsid w:val="00CB7803"/>
    <w:rsid w:val="00CB7DBC"/>
    <w:rsid w:val="00CC1121"/>
    <w:rsid w:val="00CC1173"/>
    <w:rsid w:val="00CC1344"/>
    <w:rsid w:val="00CC1835"/>
    <w:rsid w:val="00CC2298"/>
    <w:rsid w:val="00CC243B"/>
    <w:rsid w:val="00CC2486"/>
    <w:rsid w:val="00CC2824"/>
    <w:rsid w:val="00CC2C80"/>
    <w:rsid w:val="00CC3212"/>
    <w:rsid w:val="00CC3BBF"/>
    <w:rsid w:val="00CC3BD7"/>
    <w:rsid w:val="00CC3DF2"/>
    <w:rsid w:val="00CC4654"/>
    <w:rsid w:val="00CC4E0C"/>
    <w:rsid w:val="00CC510A"/>
    <w:rsid w:val="00CC59C4"/>
    <w:rsid w:val="00CC5F80"/>
    <w:rsid w:val="00CC615D"/>
    <w:rsid w:val="00CC6284"/>
    <w:rsid w:val="00CC75B5"/>
    <w:rsid w:val="00CC75F3"/>
    <w:rsid w:val="00CD0105"/>
    <w:rsid w:val="00CD09CC"/>
    <w:rsid w:val="00CD22A7"/>
    <w:rsid w:val="00CD22CA"/>
    <w:rsid w:val="00CD2596"/>
    <w:rsid w:val="00CD2BCD"/>
    <w:rsid w:val="00CD2D83"/>
    <w:rsid w:val="00CD31E5"/>
    <w:rsid w:val="00CD35D9"/>
    <w:rsid w:val="00CD3E25"/>
    <w:rsid w:val="00CD4D65"/>
    <w:rsid w:val="00CD4E0F"/>
    <w:rsid w:val="00CD4E43"/>
    <w:rsid w:val="00CD5099"/>
    <w:rsid w:val="00CD56DB"/>
    <w:rsid w:val="00CD57B8"/>
    <w:rsid w:val="00CD6D56"/>
    <w:rsid w:val="00CE0604"/>
    <w:rsid w:val="00CE06F9"/>
    <w:rsid w:val="00CE0A83"/>
    <w:rsid w:val="00CE0AA1"/>
    <w:rsid w:val="00CE14A9"/>
    <w:rsid w:val="00CE1532"/>
    <w:rsid w:val="00CE1629"/>
    <w:rsid w:val="00CE24F3"/>
    <w:rsid w:val="00CE2BC7"/>
    <w:rsid w:val="00CE3528"/>
    <w:rsid w:val="00CE3E76"/>
    <w:rsid w:val="00CE42EC"/>
    <w:rsid w:val="00CE47E8"/>
    <w:rsid w:val="00CE5259"/>
    <w:rsid w:val="00CE5B64"/>
    <w:rsid w:val="00CE5D80"/>
    <w:rsid w:val="00CE6EB4"/>
    <w:rsid w:val="00CE7734"/>
    <w:rsid w:val="00CE7A0A"/>
    <w:rsid w:val="00CE7FA5"/>
    <w:rsid w:val="00CF08F6"/>
    <w:rsid w:val="00CF147E"/>
    <w:rsid w:val="00CF14B0"/>
    <w:rsid w:val="00CF1B13"/>
    <w:rsid w:val="00CF1D07"/>
    <w:rsid w:val="00CF20C1"/>
    <w:rsid w:val="00CF33AC"/>
    <w:rsid w:val="00CF360D"/>
    <w:rsid w:val="00CF3A4E"/>
    <w:rsid w:val="00CF4F42"/>
    <w:rsid w:val="00CF5472"/>
    <w:rsid w:val="00CF7095"/>
    <w:rsid w:val="00CF73D0"/>
    <w:rsid w:val="00CF7616"/>
    <w:rsid w:val="00CF79DE"/>
    <w:rsid w:val="00D00146"/>
    <w:rsid w:val="00D00A92"/>
    <w:rsid w:val="00D038AF"/>
    <w:rsid w:val="00D03BE0"/>
    <w:rsid w:val="00D05A4F"/>
    <w:rsid w:val="00D066D4"/>
    <w:rsid w:val="00D06FC7"/>
    <w:rsid w:val="00D07138"/>
    <w:rsid w:val="00D0719C"/>
    <w:rsid w:val="00D0781B"/>
    <w:rsid w:val="00D07AFC"/>
    <w:rsid w:val="00D07FD9"/>
    <w:rsid w:val="00D103F0"/>
    <w:rsid w:val="00D11B1C"/>
    <w:rsid w:val="00D11B53"/>
    <w:rsid w:val="00D11BED"/>
    <w:rsid w:val="00D11CB1"/>
    <w:rsid w:val="00D13D04"/>
    <w:rsid w:val="00D13E86"/>
    <w:rsid w:val="00D155EF"/>
    <w:rsid w:val="00D15BA2"/>
    <w:rsid w:val="00D15FF1"/>
    <w:rsid w:val="00D17E78"/>
    <w:rsid w:val="00D204A3"/>
    <w:rsid w:val="00D20AC5"/>
    <w:rsid w:val="00D210CF"/>
    <w:rsid w:val="00D2117C"/>
    <w:rsid w:val="00D21889"/>
    <w:rsid w:val="00D218A5"/>
    <w:rsid w:val="00D22052"/>
    <w:rsid w:val="00D22773"/>
    <w:rsid w:val="00D234F5"/>
    <w:rsid w:val="00D236EE"/>
    <w:rsid w:val="00D23A46"/>
    <w:rsid w:val="00D23F95"/>
    <w:rsid w:val="00D24595"/>
    <w:rsid w:val="00D24C20"/>
    <w:rsid w:val="00D26418"/>
    <w:rsid w:val="00D26D30"/>
    <w:rsid w:val="00D26E77"/>
    <w:rsid w:val="00D2710A"/>
    <w:rsid w:val="00D273F6"/>
    <w:rsid w:val="00D27488"/>
    <w:rsid w:val="00D27711"/>
    <w:rsid w:val="00D27943"/>
    <w:rsid w:val="00D27CC2"/>
    <w:rsid w:val="00D305AA"/>
    <w:rsid w:val="00D30AC8"/>
    <w:rsid w:val="00D3143E"/>
    <w:rsid w:val="00D3187C"/>
    <w:rsid w:val="00D31986"/>
    <w:rsid w:val="00D324F2"/>
    <w:rsid w:val="00D3284F"/>
    <w:rsid w:val="00D32971"/>
    <w:rsid w:val="00D329B7"/>
    <w:rsid w:val="00D331B7"/>
    <w:rsid w:val="00D34A13"/>
    <w:rsid w:val="00D34ECF"/>
    <w:rsid w:val="00D34F74"/>
    <w:rsid w:val="00D35B54"/>
    <w:rsid w:val="00D35D08"/>
    <w:rsid w:val="00D35D14"/>
    <w:rsid w:val="00D37ED9"/>
    <w:rsid w:val="00D404D7"/>
    <w:rsid w:val="00D40993"/>
    <w:rsid w:val="00D4122B"/>
    <w:rsid w:val="00D4211B"/>
    <w:rsid w:val="00D42B09"/>
    <w:rsid w:val="00D42E9B"/>
    <w:rsid w:val="00D42F12"/>
    <w:rsid w:val="00D42F1D"/>
    <w:rsid w:val="00D43635"/>
    <w:rsid w:val="00D43C6D"/>
    <w:rsid w:val="00D44469"/>
    <w:rsid w:val="00D448C1"/>
    <w:rsid w:val="00D44B62"/>
    <w:rsid w:val="00D44C45"/>
    <w:rsid w:val="00D4506F"/>
    <w:rsid w:val="00D45237"/>
    <w:rsid w:val="00D456F2"/>
    <w:rsid w:val="00D460D8"/>
    <w:rsid w:val="00D46363"/>
    <w:rsid w:val="00D46896"/>
    <w:rsid w:val="00D4696E"/>
    <w:rsid w:val="00D4703A"/>
    <w:rsid w:val="00D4754C"/>
    <w:rsid w:val="00D47D42"/>
    <w:rsid w:val="00D51AF6"/>
    <w:rsid w:val="00D521C8"/>
    <w:rsid w:val="00D523B8"/>
    <w:rsid w:val="00D527CE"/>
    <w:rsid w:val="00D52910"/>
    <w:rsid w:val="00D52ADA"/>
    <w:rsid w:val="00D53581"/>
    <w:rsid w:val="00D538A4"/>
    <w:rsid w:val="00D53E87"/>
    <w:rsid w:val="00D54310"/>
    <w:rsid w:val="00D5506E"/>
    <w:rsid w:val="00D553BC"/>
    <w:rsid w:val="00D55559"/>
    <w:rsid w:val="00D56245"/>
    <w:rsid w:val="00D56808"/>
    <w:rsid w:val="00D56DDD"/>
    <w:rsid w:val="00D573C1"/>
    <w:rsid w:val="00D57861"/>
    <w:rsid w:val="00D57D7F"/>
    <w:rsid w:val="00D57E30"/>
    <w:rsid w:val="00D57FD5"/>
    <w:rsid w:val="00D60F7E"/>
    <w:rsid w:val="00D611F1"/>
    <w:rsid w:val="00D61E29"/>
    <w:rsid w:val="00D62B7F"/>
    <w:rsid w:val="00D63246"/>
    <w:rsid w:val="00D63C9C"/>
    <w:rsid w:val="00D63F59"/>
    <w:rsid w:val="00D64396"/>
    <w:rsid w:val="00D64552"/>
    <w:rsid w:val="00D660AC"/>
    <w:rsid w:val="00D664FB"/>
    <w:rsid w:val="00D66B03"/>
    <w:rsid w:val="00D66FB7"/>
    <w:rsid w:val="00D67222"/>
    <w:rsid w:val="00D675E4"/>
    <w:rsid w:val="00D67AFA"/>
    <w:rsid w:val="00D701C4"/>
    <w:rsid w:val="00D7066C"/>
    <w:rsid w:val="00D70AD1"/>
    <w:rsid w:val="00D730D0"/>
    <w:rsid w:val="00D732F5"/>
    <w:rsid w:val="00D74A20"/>
    <w:rsid w:val="00D75400"/>
    <w:rsid w:val="00D7638C"/>
    <w:rsid w:val="00D76E7F"/>
    <w:rsid w:val="00D77382"/>
    <w:rsid w:val="00D8073B"/>
    <w:rsid w:val="00D80D36"/>
    <w:rsid w:val="00D81375"/>
    <w:rsid w:val="00D81DBB"/>
    <w:rsid w:val="00D836DF"/>
    <w:rsid w:val="00D84165"/>
    <w:rsid w:val="00D84200"/>
    <w:rsid w:val="00D85245"/>
    <w:rsid w:val="00D853D9"/>
    <w:rsid w:val="00D85761"/>
    <w:rsid w:val="00D861F5"/>
    <w:rsid w:val="00D86383"/>
    <w:rsid w:val="00D86440"/>
    <w:rsid w:val="00D864E2"/>
    <w:rsid w:val="00D8694C"/>
    <w:rsid w:val="00D86CC2"/>
    <w:rsid w:val="00D87146"/>
    <w:rsid w:val="00D87679"/>
    <w:rsid w:val="00D90DCE"/>
    <w:rsid w:val="00D916BB"/>
    <w:rsid w:val="00D919A2"/>
    <w:rsid w:val="00D91BCE"/>
    <w:rsid w:val="00D93621"/>
    <w:rsid w:val="00D93A36"/>
    <w:rsid w:val="00D93A5C"/>
    <w:rsid w:val="00D947F8"/>
    <w:rsid w:val="00D94BE5"/>
    <w:rsid w:val="00D953DA"/>
    <w:rsid w:val="00D97354"/>
    <w:rsid w:val="00D97774"/>
    <w:rsid w:val="00D977E7"/>
    <w:rsid w:val="00D97859"/>
    <w:rsid w:val="00D9790C"/>
    <w:rsid w:val="00D97A49"/>
    <w:rsid w:val="00D97A70"/>
    <w:rsid w:val="00DA07D4"/>
    <w:rsid w:val="00DA0A52"/>
    <w:rsid w:val="00DA136E"/>
    <w:rsid w:val="00DA19BA"/>
    <w:rsid w:val="00DA2174"/>
    <w:rsid w:val="00DA258B"/>
    <w:rsid w:val="00DA25F9"/>
    <w:rsid w:val="00DA2695"/>
    <w:rsid w:val="00DA32D1"/>
    <w:rsid w:val="00DA39B7"/>
    <w:rsid w:val="00DA4816"/>
    <w:rsid w:val="00DA4BB0"/>
    <w:rsid w:val="00DA4EAC"/>
    <w:rsid w:val="00DA5B59"/>
    <w:rsid w:val="00DA5C8F"/>
    <w:rsid w:val="00DA72EA"/>
    <w:rsid w:val="00DA7CDC"/>
    <w:rsid w:val="00DB130F"/>
    <w:rsid w:val="00DB1769"/>
    <w:rsid w:val="00DB1775"/>
    <w:rsid w:val="00DB287D"/>
    <w:rsid w:val="00DB3633"/>
    <w:rsid w:val="00DB37E6"/>
    <w:rsid w:val="00DB3D49"/>
    <w:rsid w:val="00DB417F"/>
    <w:rsid w:val="00DB5BBC"/>
    <w:rsid w:val="00DB6291"/>
    <w:rsid w:val="00DB6625"/>
    <w:rsid w:val="00DB67AE"/>
    <w:rsid w:val="00DB68CD"/>
    <w:rsid w:val="00DB6C8C"/>
    <w:rsid w:val="00DB713F"/>
    <w:rsid w:val="00DB72AA"/>
    <w:rsid w:val="00DB7B48"/>
    <w:rsid w:val="00DC0A11"/>
    <w:rsid w:val="00DC2307"/>
    <w:rsid w:val="00DC24F1"/>
    <w:rsid w:val="00DC36A1"/>
    <w:rsid w:val="00DC3BD7"/>
    <w:rsid w:val="00DC3D49"/>
    <w:rsid w:val="00DC4029"/>
    <w:rsid w:val="00DC58FA"/>
    <w:rsid w:val="00DC61CD"/>
    <w:rsid w:val="00DC626A"/>
    <w:rsid w:val="00DC63AF"/>
    <w:rsid w:val="00DC6F60"/>
    <w:rsid w:val="00DC7728"/>
    <w:rsid w:val="00DC7A4A"/>
    <w:rsid w:val="00DC7B7A"/>
    <w:rsid w:val="00DC7E11"/>
    <w:rsid w:val="00DD00CC"/>
    <w:rsid w:val="00DD1B37"/>
    <w:rsid w:val="00DD27A0"/>
    <w:rsid w:val="00DD3E33"/>
    <w:rsid w:val="00DD47D2"/>
    <w:rsid w:val="00DD4816"/>
    <w:rsid w:val="00DD4B81"/>
    <w:rsid w:val="00DD4CCD"/>
    <w:rsid w:val="00DD548E"/>
    <w:rsid w:val="00DD5CFA"/>
    <w:rsid w:val="00DD6302"/>
    <w:rsid w:val="00DD72E9"/>
    <w:rsid w:val="00DD74D0"/>
    <w:rsid w:val="00DE05C6"/>
    <w:rsid w:val="00DE08F7"/>
    <w:rsid w:val="00DE0F1D"/>
    <w:rsid w:val="00DE109C"/>
    <w:rsid w:val="00DE2202"/>
    <w:rsid w:val="00DE31FC"/>
    <w:rsid w:val="00DE3469"/>
    <w:rsid w:val="00DE3553"/>
    <w:rsid w:val="00DE3CA3"/>
    <w:rsid w:val="00DE3E96"/>
    <w:rsid w:val="00DE40CC"/>
    <w:rsid w:val="00DE41C0"/>
    <w:rsid w:val="00DE50C6"/>
    <w:rsid w:val="00DE541F"/>
    <w:rsid w:val="00DE585E"/>
    <w:rsid w:val="00DE58C2"/>
    <w:rsid w:val="00DE6405"/>
    <w:rsid w:val="00DE735F"/>
    <w:rsid w:val="00DF0263"/>
    <w:rsid w:val="00DF08BA"/>
    <w:rsid w:val="00DF09C5"/>
    <w:rsid w:val="00DF0A3E"/>
    <w:rsid w:val="00DF0B59"/>
    <w:rsid w:val="00DF12C6"/>
    <w:rsid w:val="00DF2C8C"/>
    <w:rsid w:val="00DF38BB"/>
    <w:rsid w:val="00DF38CA"/>
    <w:rsid w:val="00DF45A0"/>
    <w:rsid w:val="00DF4CAC"/>
    <w:rsid w:val="00DF5737"/>
    <w:rsid w:val="00DF5840"/>
    <w:rsid w:val="00DF5D5D"/>
    <w:rsid w:val="00DF5F85"/>
    <w:rsid w:val="00DF6A59"/>
    <w:rsid w:val="00DF6CCC"/>
    <w:rsid w:val="00DF71AA"/>
    <w:rsid w:val="00DF76A7"/>
    <w:rsid w:val="00DF7DB9"/>
    <w:rsid w:val="00E00021"/>
    <w:rsid w:val="00E00192"/>
    <w:rsid w:val="00E00700"/>
    <w:rsid w:val="00E00A5D"/>
    <w:rsid w:val="00E00D6E"/>
    <w:rsid w:val="00E0122F"/>
    <w:rsid w:val="00E022DA"/>
    <w:rsid w:val="00E02344"/>
    <w:rsid w:val="00E0259B"/>
    <w:rsid w:val="00E029EB"/>
    <w:rsid w:val="00E02DC2"/>
    <w:rsid w:val="00E03C2B"/>
    <w:rsid w:val="00E048C6"/>
    <w:rsid w:val="00E04B7A"/>
    <w:rsid w:val="00E0539A"/>
    <w:rsid w:val="00E05852"/>
    <w:rsid w:val="00E058AE"/>
    <w:rsid w:val="00E05DE4"/>
    <w:rsid w:val="00E067BF"/>
    <w:rsid w:val="00E07E39"/>
    <w:rsid w:val="00E10625"/>
    <w:rsid w:val="00E1088C"/>
    <w:rsid w:val="00E10D18"/>
    <w:rsid w:val="00E10EE0"/>
    <w:rsid w:val="00E110BA"/>
    <w:rsid w:val="00E12068"/>
    <w:rsid w:val="00E126B3"/>
    <w:rsid w:val="00E12F45"/>
    <w:rsid w:val="00E134ED"/>
    <w:rsid w:val="00E135BB"/>
    <w:rsid w:val="00E1400F"/>
    <w:rsid w:val="00E1411B"/>
    <w:rsid w:val="00E1428D"/>
    <w:rsid w:val="00E14D0A"/>
    <w:rsid w:val="00E1508E"/>
    <w:rsid w:val="00E150C0"/>
    <w:rsid w:val="00E160C9"/>
    <w:rsid w:val="00E16AED"/>
    <w:rsid w:val="00E171DD"/>
    <w:rsid w:val="00E1737F"/>
    <w:rsid w:val="00E1787F"/>
    <w:rsid w:val="00E17CEB"/>
    <w:rsid w:val="00E17E92"/>
    <w:rsid w:val="00E20164"/>
    <w:rsid w:val="00E201B5"/>
    <w:rsid w:val="00E2118A"/>
    <w:rsid w:val="00E21A58"/>
    <w:rsid w:val="00E21C63"/>
    <w:rsid w:val="00E220CD"/>
    <w:rsid w:val="00E22C87"/>
    <w:rsid w:val="00E23581"/>
    <w:rsid w:val="00E2363D"/>
    <w:rsid w:val="00E24837"/>
    <w:rsid w:val="00E254DC"/>
    <w:rsid w:val="00E25662"/>
    <w:rsid w:val="00E25848"/>
    <w:rsid w:val="00E27C82"/>
    <w:rsid w:val="00E30051"/>
    <w:rsid w:val="00E30978"/>
    <w:rsid w:val="00E30B90"/>
    <w:rsid w:val="00E30F78"/>
    <w:rsid w:val="00E31D7C"/>
    <w:rsid w:val="00E322D2"/>
    <w:rsid w:val="00E332D9"/>
    <w:rsid w:val="00E336A3"/>
    <w:rsid w:val="00E33F75"/>
    <w:rsid w:val="00E33FD9"/>
    <w:rsid w:val="00E34248"/>
    <w:rsid w:val="00E349F1"/>
    <w:rsid w:val="00E34B73"/>
    <w:rsid w:val="00E34C66"/>
    <w:rsid w:val="00E35641"/>
    <w:rsid w:val="00E35642"/>
    <w:rsid w:val="00E35AE0"/>
    <w:rsid w:val="00E37045"/>
    <w:rsid w:val="00E37280"/>
    <w:rsid w:val="00E37B41"/>
    <w:rsid w:val="00E4015D"/>
    <w:rsid w:val="00E406CE"/>
    <w:rsid w:val="00E4129F"/>
    <w:rsid w:val="00E4214C"/>
    <w:rsid w:val="00E429EA"/>
    <w:rsid w:val="00E43243"/>
    <w:rsid w:val="00E43AFA"/>
    <w:rsid w:val="00E4402F"/>
    <w:rsid w:val="00E44295"/>
    <w:rsid w:val="00E444C1"/>
    <w:rsid w:val="00E449FC"/>
    <w:rsid w:val="00E452BF"/>
    <w:rsid w:val="00E45FD2"/>
    <w:rsid w:val="00E46B69"/>
    <w:rsid w:val="00E46CCE"/>
    <w:rsid w:val="00E47F6C"/>
    <w:rsid w:val="00E50170"/>
    <w:rsid w:val="00E50904"/>
    <w:rsid w:val="00E50D03"/>
    <w:rsid w:val="00E50DA5"/>
    <w:rsid w:val="00E5152A"/>
    <w:rsid w:val="00E51BDD"/>
    <w:rsid w:val="00E51FB6"/>
    <w:rsid w:val="00E535C1"/>
    <w:rsid w:val="00E537F6"/>
    <w:rsid w:val="00E53987"/>
    <w:rsid w:val="00E54269"/>
    <w:rsid w:val="00E547B8"/>
    <w:rsid w:val="00E549E4"/>
    <w:rsid w:val="00E54BA0"/>
    <w:rsid w:val="00E54BC6"/>
    <w:rsid w:val="00E54DA7"/>
    <w:rsid w:val="00E550C8"/>
    <w:rsid w:val="00E56370"/>
    <w:rsid w:val="00E56DFF"/>
    <w:rsid w:val="00E56E7C"/>
    <w:rsid w:val="00E57203"/>
    <w:rsid w:val="00E60488"/>
    <w:rsid w:val="00E604BB"/>
    <w:rsid w:val="00E61103"/>
    <w:rsid w:val="00E61234"/>
    <w:rsid w:val="00E61B4E"/>
    <w:rsid w:val="00E620A1"/>
    <w:rsid w:val="00E62332"/>
    <w:rsid w:val="00E627AB"/>
    <w:rsid w:val="00E6371E"/>
    <w:rsid w:val="00E63EB4"/>
    <w:rsid w:val="00E644E7"/>
    <w:rsid w:val="00E64AE5"/>
    <w:rsid w:val="00E65519"/>
    <w:rsid w:val="00E6574D"/>
    <w:rsid w:val="00E65E54"/>
    <w:rsid w:val="00E65F03"/>
    <w:rsid w:val="00E669E5"/>
    <w:rsid w:val="00E67470"/>
    <w:rsid w:val="00E70127"/>
    <w:rsid w:val="00E70CB9"/>
    <w:rsid w:val="00E70CF1"/>
    <w:rsid w:val="00E70E6C"/>
    <w:rsid w:val="00E7112F"/>
    <w:rsid w:val="00E715A4"/>
    <w:rsid w:val="00E71671"/>
    <w:rsid w:val="00E7183A"/>
    <w:rsid w:val="00E71CE7"/>
    <w:rsid w:val="00E71ED3"/>
    <w:rsid w:val="00E72543"/>
    <w:rsid w:val="00E72612"/>
    <w:rsid w:val="00E73B3A"/>
    <w:rsid w:val="00E7457B"/>
    <w:rsid w:val="00E74F6B"/>
    <w:rsid w:val="00E75471"/>
    <w:rsid w:val="00E75D51"/>
    <w:rsid w:val="00E77284"/>
    <w:rsid w:val="00E77336"/>
    <w:rsid w:val="00E77632"/>
    <w:rsid w:val="00E7767E"/>
    <w:rsid w:val="00E77C0E"/>
    <w:rsid w:val="00E802B0"/>
    <w:rsid w:val="00E80C3E"/>
    <w:rsid w:val="00E812B2"/>
    <w:rsid w:val="00E81419"/>
    <w:rsid w:val="00E82072"/>
    <w:rsid w:val="00E82B21"/>
    <w:rsid w:val="00E83119"/>
    <w:rsid w:val="00E84198"/>
    <w:rsid w:val="00E8477A"/>
    <w:rsid w:val="00E84C2B"/>
    <w:rsid w:val="00E85876"/>
    <w:rsid w:val="00E86248"/>
    <w:rsid w:val="00E86792"/>
    <w:rsid w:val="00E86D73"/>
    <w:rsid w:val="00E8774B"/>
    <w:rsid w:val="00E90104"/>
    <w:rsid w:val="00E905B0"/>
    <w:rsid w:val="00E90F9F"/>
    <w:rsid w:val="00E912D8"/>
    <w:rsid w:val="00E91A4A"/>
    <w:rsid w:val="00E91C95"/>
    <w:rsid w:val="00E92124"/>
    <w:rsid w:val="00E928F1"/>
    <w:rsid w:val="00E9293D"/>
    <w:rsid w:val="00E92BFC"/>
    <w:rsid w:val="00E934F4"/>
    <w:rsid w:val="00E938C0"/>
    <w:rsid w:val="00E93E11"/>
    <w:rsid w:val="00E946A4"/>
    <w:rsid w:val="00E94CE6"/>
    <w:rsid w:val="00E962E4"/>
    <w:rsid w:val="00E969D9"/>
    <w:rsid w:val="00E96A5D"/>
    <w:rsid w:val="00E97224"/>
    <w:rsid w:val="00E97462"/>
    <w:rsid w:val="00E974B2"/>
    <w:rsid w:val="00E97625"/>
    <w:rsid w:val="00E978BB"/>
    <w:rsid w:val="00E97B15"/>
    <w:rsid w:val="00EA0BC0"/>
    <w:rsid w:val="00EA0FF1"/>
    <w:rsid w:val="00EA1587"/>
    <w:rsid w:val="00EA17FF"/>
    <w:rsid w:val="00EA1A24"/>
    <w:rsid w:val="00EA282A"/>
    <w:rsid w:val="00EA2FF9"/>
    <w:rsid w:val="00EA3373"/>
    <w:rsid w:val="00EA3E2F"/>
    <w:rsid w:val="00EA4D3B"/>
    <w:rsid w:val="00EA519E"/>
    <w:rsid w:val="00EA5600"/>
    <w:rsid w:val="00EA6F14"/>
    <w:rsid w:val="00EA729A"/>
    <w:rsid w:val="00EA77BE"/>
    <w:rsid w:val="00EA77F1"/>
    <w:rsid w:val="00EB0013"/>
    <w:rsid w:val="00EB059C"/>
    <w:rsid w:val="00EB05C8"/>
    <w:rsid w:val="00EB0A17"/>
    <w:rsid w:val="00EB0AF3"/>
    <w:rsid w:val="00EB0D2C"/>
    <w:rsid w:val="00EB14B2"/>
    <w:rsid w:val="00EB22CA"/>
    <w:rsid w:val="00EB230A"/>
    <w:rsid w:val="00EB2E4E"/>
    <w:rsid w:val="00EB3072"/>
    <w:rsid w:val="00EB34C2"/>
    <w:rsid w:val="00EB3D43"/>
    <w:rsid w:val="00EB4670"/>
    <w:rsid w:val="00EB47CF"/>
    <w:rsid w:val="00EB5873"/>
    <w:rsid w:val="00EB67C2"/>
    <w:rsid w:val="00EB6DFA"/>
    <w:rsid w:val="00EB76C7"/>
    <w:rsid w:val="00EB7DDD"/>
    <w:rsid w:val="00EB7E48"/>
    <w:rsid w:val="00EC05A7"/>
    <w:rsid w:val="00EC1679"/>
    <w:rsid w:val="00EC1A73"/>
    <w:rsid w:val="00EC242B"/>
    <w:rsid w:val="00EC2BC4"/>
    <w:rsid w:val="00EC35C4"/>
    <w:rsid w:val="00EC37AD"/>
    <w:rsid w:val="00EC4468"/>
    <w:rsid w:val="00EC450F"/>
    <w:rsid w:val="00EC481B"/>
    <w:rsid w:val="00EC4E85"/>
    <w:rsid w:val="00EC4FCD"/>
    <w:rsid w:val="00EC4FD2"/>
    <w:rsid w:val="00EC5F8E"/>
    <w:rsid w:val="00EC6062"/>
    <w:rsid w:val="00EC653D"/>
    <w:rsid w:val="00EC75EC"/>
    <w:rsid w:val="00EC7742"/>
    <w:rsid w:val="00EC7957"/>
    <w:rsid w:val="00ED0791"/>
    <w:rsid w:val="00ED0CE9"/>
    <w:rsid w:val="00ED10D6"/>
    <w:rsid w:val="00ED12A0"/>
    <w:rsid w:val="00ED2078"/>
    <w:rsid w:val="00ED2423"/>
    <w:rsid w:val="00ED2A11"/>
    <w:rsid w:val="00ED337C"/>
    <w:rsid w:val="00ED36AB"/>
    <w:rsid w:val="00ED37EF"/>
    <w:rsid w:val="00ED4979"/>
    <w:rsid w:val="00ED4B62"/>
    <w:rsid w:val="00ED563A"/>
    <w:rsid w:val="00ED6807"/>
    <w:rsid w:val="00ED6FB0"/>
    <w:rsid w:val="00ED7022"/>
    <w:rsid w:val="00ED7728"/>
    <w:rsid w:val="00EE17F8"/>
    <w:rsid w:val="00EE2197"/>
    <w:rsid w:val="00EE21AF"/>
    <w:rsid w:val="00EE276F"/>
    <w:rsid w:val="00EE2D4B"/>
    <w:rsid w:val="00EE2DFF"/>
    <w:rsid w:val="00EE2F81"/>
    <w:rsid w:val="00EE3C08"/>
    <w:rsid w:val="00EE49A9"/>
    <w:rsid w:val="00EE565E"/>
    <w:rsid w:val="00EE5A0A"/>
    <w:rsid w:val="00EE68F7"/>
    <w:rsid w:val="00EE6E56"/>
    <w:rsid w:val="00EE7645"/>
    <w:rsid w:val="00EE790E"/>
    <w:rsid w:val="00EF0FE2"/>
    <w:rsid w:val="00EF1196"/>
    <w:rsid w:val="00EF19E0"/>
    <w:rsid w:val="00EF2152"/>
    <w:rsid w:val="00EF216C"/>
    <w:rsid w:val="00EF219C"/>
    <w:rsid w:val="00EF2502"/>
    <w:rsid w:val="00EF2709"/>
    <w:rsid w:val="00EF288F"/>
    <w:rsid w:val="00EF340F"/>
    <w:rsid w:val="00EF3FBD"/>
    <w:rsid w:val="00EF4D63"/>
    <w:rsid w:val="00EF5632"/>
    <w:rsid w:val="00EF5BF9"/>
    <w:rsid w:val="00EF60CA"/>
    <w:rsid w:val="00EF6871"/>
    <w:rsid w:val="00EF6A82"/>
    <w:rsid w:val="00F00747"/>
    <w:rsid w:val="00F00ADF"/>
    <w:rsid w:val="00F0148E"/>
    <w:rsid w:val="00F01570"/>
    <w:rsid w:val="00F02235"/>
    <w:rsid w:val="00F02D35"/>
    <w:rsid w:val="00F02E16"/>
    <w:rsid w:val="00F02E5E"/>
    <w:rsid w:val="00F04029"/>
    <w:rsid w:val="00F043AA"/>
    <w:rsid w:val="00F04743"/>
    <w:rsid w:val="00F049FB"/>
    <w:rsid w:val="00F05141"/>
    <w:rsid w:val="00F052F6"/>
    <w:rsid w:val="00F060AF"/>
    <w:rsid w:val="00F0693D"/>
    <w:rsid w:val="00F06A1B"/>
    <w:rsid w:val="00F0769D"/>
    <w:rsid w:val="00F11BAE"/>
    <w:rsid w:val="00F12221"/>
    <w:rsid w:val="00F12557"/>
    <w:rsid w:val="00F128BD"/>
    <w:rsid w:val="00F12CDA"/>
    <w:rsid w:val="00F12F42"/>
    <w:rsid w:val="00F146B4"/>
    <w:rsid w:val="00F146E2"/>
    <w:rsid w:val="00F14795"/>
    <w:rsid w:val="00F15932"/>
    <w:rsid w:val="00F1593A"/>
    <w:rsid w:val="00F15C1A"/>
    <w:rsid w:val="00F16004"/>
    <w:rsid w:val="00F169F6"/>
    <w:rsid w:val="00F16FB6"/>
    <w:rsid w:val="00F173C0"/>
    <w:rsid w:val="00F17524"/>
    <w:rsid w:val="00F1784C"/>
    <w:rsid w:val="00F204C6"/>
    <w:rsid w:val="00F20618"/>
    <w:rsid w:val="00F2071A"/>
    <w:rsid w:val="00F2120B"/>
    <w:rsid w:val="00F21228"/>
    <w:rsid w:val="00F21D13"/>
    <w:rsid w:val="00F21DD9"/>
    <w:rsid w:val="00F225D6"/>
    <w:rsid w:val="00F2329F"/>
    <w:rsid w:val="00F23782"/>
    <w:rsid w:val="00F240D7"/>
    <w:rsid w:val="00F244E5"/>
    <w:rsid w:val="00F2464A"/>
    <w:rsid w:val="00F258C5"/>
    <w:rsid w:val="00F25DBB"/>
    <w:rsid w:val="00F26898"/>
    <w:rsid w:val="00F27176"/>
    <w:rsid w:val="00F274B9"/>
    <w:rsid w:val="00F274D9"/>
    <w:rsid w:val="00F27C30"/>
    <w:rsid w:val="00F30153"/>
    <w:rsid w:val="00F303B5"/>
    <w:rsid w:val="00F31607"/>
    <w:rsid w:val="00F317D9"/>
    <w:rsid w:val="00F3206C"/>
    <w:rsid w:val="00F32BC8"/>
    <w:rsid w:val="00F33508"/>
    <w:rsid w:val="00F3430C"/>
    <w:rsid w:val="00F34586"/>
    <w:rsid w:val="00F355E2"/>
    <w:rsid w:val="00F35E8C"/>
    <w:rsid w:val="00F36BA6"/>
    <w:rsid w:val="00F36FFE"/>
    <w:rsid w:val="00F3714A"/>
    <w:rsid w:val="00F371C8"/>
    <w:rsid w:val="00F37570"/>
    <w:rsid w:val="00F37807"/>
    <w:rsid w:val="00F378A8"/>
    <w:rsid w:val="00F378CD"/>
    <w:rsid w:val="00F37F1D"/>
    <w:rsid w:val="00F40127"/>
    <w:rsid w:val="00F401C2"/>
    <w:rsid w:val="00F4021F"/>
    <w:rsid w:val="00F407AE"/>
    <w:rsid w:val="00F40F31"/>
    <w:rsid w:val="00F4172A"/>
    <w:rsid w:val="00F4186C"/>
    <w:rsid w:val="00F41B5F"/>
    <w:rsid w:val="00F42C13"/>
    <w:rsid w:val="00F42D6F"/>
    <w:rsid w:val="00F42E8D"/>
    <w:rsid w:val="00F43587"/>
    <w:rsid w:val="00F4368B"/>
    <w:rsid w:val="00F43AF3"/>
    <w:rsid w:val="00F43C36"/>
    <w:rsid w:val="00F43CC1"/>
    <w:rsid w:val="00F43F70"/>
    <w:rsid w:val="00F446AC"/>
    <w:rsid w:val="00F45A37"/>
    <w:rsid w:val="00F46A3E"/>
    <w:rsid w:val="00F46FA2"/>
    <w:rsid w:val="00F472A0"/>
    <w:rsid w:val="00F47D0A"/>
    <w:rsid w:val="00F47FE8"/>
    <w:rsid w:val="00F50183"/>
    <w:rsid w:val="00F50A0B"/>
    <w:rsid w:val="00F51409"/>
    <w:rsid w:val="00F516B0"/>
    <w:rsid w:val="00F51D50"/>
    <w:rsid w:val="00F5224F"/>
    <w:rsid w:val="00F52EE0"/>
    <w:rsid w:val="00F52F72"/>
    <w:rsid w:val="00F53073"/>
    <w:rsid w:val="00F535EE"/>
    <w:rsid w:val="00F53A1F"/>
    <w:rsid w:val="00F545D5"/>
    <w:rsid w:val="00F55958"/>
    <w:rsid w:val="00F56B0C"/>
    <w:rsid w:val="00F56C16"/>
    <w:rsid w:val="00F56EA4"/>
    <w:rsid w:val="00F61D54"/>
    <w:rsid w:val="00F61D8C"/>
    <w:rsid w:val="00F61F3B"/>
    <w:rsid w:val="00F624BD"/>
    <w:rsid w:val="00F62ABB"/>
    <w:rsid w:val="00F62B0B"/>
    <w:rsid w:val="00F62CDD"/>
    <w:rsid w:val="00F62D4F"/>
    <w:rsid w:val="00F630A0"/>
    <w:rsid w:val="00F631BE"/>
    <w:rsid w:val="00F6343B"/>
    <w:rsid w:val="00F637E7"/>
    <w:rsid w:val="00F63C25"/>
    <w:rsid w:val="00F63DBC"/>
    <w:rsid w:val="00F63E0A"/>
    <w:rsid w:val="00F64742"/>
    <w:rsid w:val="00F64BDF"/>
    <w:rsid w:val="00F64DE6"/>
    <w:rsid w:val="00F66980"/>
    <w:rsid w:val="00F66B35"/>
    <w:rsid w:val="00F670D6"/>
    <w:rsid w:val="00F70412"/>
    <w:rsid w:val="00F71DF6"/>
    <w:rsid w:val="00F726FB"/>
    <w:rsid w:val="00F73144"/>
    <w:rsid w:val="00F7335F"/>
    <w:rsid w:val="00F73382"/>
    <w:rsid w:val="00F7363D"/>
    <w:rsid w:val="00F73C55"/>
    <w:rsid w:val="00F7408F"/>
    <w:rsid w:val="00F74647"/>
    <w:rsid w:val="00F75809"/>
    <w:rsid w:val="00F7641D"/>
    <w:rsid w:val="00F766B8"/>
    <w:rsid w:val="00F80F9F"/>
    <w:rsid w:val="00F820B6"/>
    <w:rsid w:val="00F82E9F"/>
    <w:rsid w:val="00F82FD1"/>
    <w:rsid w:val="00F83195"/>
    <w:rsid w:val="00F83F46"/>
    <w:rsid w:val="00F8449D"/>
    <w:rsid w:val="00F85198"/>
    <w:rsid w:val="00F85440"/>
    <w:rsid w:val="00F857DF"/>
    <w:rsid w:val="00F85BC2"/>
    <w:rsid w:val="00F85CA7"/>
    <w:rsid w:val="00F862F9"/>
    <w:rsid w:val="00F86803"/>
    <w:rsid w:val="00F86A52"/>
    <w:rsid w:val="00F8716A"/>
    <w:rsid w:val="00F876A6"/>
    <w:rsid w:val="00F87AFE"/>
    <w:rsid w:val="00F87D68"/>
    <w:rsid w:val="00F87F37"/>
    <w:rsid w:val="00F87FF7"/>
    <w:rsid w:val="00F90868"/>
    <w:rsid w:val="00F90F15"/>
    <w:rsid w:val="00F91512"/>
    <w:rsid w:val="00F9179B"/>
    <w:rsid w:val="00F9192A"/>
    <w:rsid w:val="00F91F40"/>
    <w:rsid w:val="00F920F1"/>
    <w:rsid w:val="00F923AB"/>
    <w:rsid w:val="00F92717"/>
    <w:rsid w:val="00F927C8"/>
    <w:rsid w:val="00F9339B"/>
    <w:rsid w:val="00F953AA"/>
    <w:rsid w:val="00F95A0C"/>
    <w:rsid w:val="00F96136"/>
    <w:rsid w:val="00F96458"/>
    <w:rsid w:val="00F96565"/>
    <w:rsid w:val="00F967C3"/>
    <w:rsid w:val="00F96819"/>
    <w:rsid w:val="00F97F5D"/>
    <w:rsid w:val="00FA0453"/>
    <w:rsid w:val="00FA04D4"/>
    <w:rsid w:val="00FA0697"/>
    <w:rsid w:val="00FA0FEA"/>
    <w:rsid w:val="00FA1683"/>
    <w:rsid w:val="00FA16DD"/>
    <w:rsid w:val="00FA2308"/>
    <w:rsid w:val="00FA26A6"/>
    <w:rsid w:val="00FA2E62"/>
    <w:rsid w:val="00FA385D"/>
    <w:rsid w:val="00FA41A9"/>
    <w:rsid w:val="00FA439F"/>
    <w:rsid w:val="00FA4CBE"/>
    <w:rsid w:val="00FA5867"/>
    <w:rsid w:val="00FA6C6F"/>
    <w:rsid w:val="00FA6E75"/>
    <w:rsid w:val="00FB0B9D"/>
    <w:rsid w:val="00FB0BA3"/>
    <w:rsid w:val="00FB11C6"/>
    <w:rsid w:val="00FB13E9"/>
    <w:rsid w:val="00FB204B"/>
    <w:rsid w:val="00FB28E1"/>
    <w:rsid w:val="00FB3B5D"/>
    <w:rsid w:val="00FB3D53"/>
    <w:rsid w:val="00FB4E19"/>
    <w:rsid w:val="00FB5D1D"/>
    <w:rsid w:val="00FB6A46"/>
    <w:rsid w:val="00FB7DF3"/>
    <w:rsid w:val="00FC0ABC"/>
    <w:rsid w:val="00FC0C57"/>
    <w:rsid w:val="00FC126A"/>
    <w:rsid w:val="00FC1AC6"/>
    <w:rsid w:val="00FC2C8C"/>
    <w:rsid w:val="00FC3AE0"/>
    <w:rsid w:val="00FC586D"/>
    <w:rsid w:val="00FC5916"/>
    <w:rsid w:val="00FC5D3A"/>
    <w:rsid w:val="00FC5F08"/>
    <w:rsid w:val="00FC658E"/>
    <w:rsid w:val="00FC6626"/>
    <w:rsid w:val="00FC6B30"/>
    <w:rsid w:val="00FC7620"/>
    <w:rsid w:val="00FC79BB"/>
    <w:rsid w:val="00FC7A32"/>
    <w:rsid w:val="00FD0412"/>
    <w:rsid w:val="00FD0899"/>
    <w:rsid w:val="00FD0AA4"/>
    <w:rsid w:val="00FD0B27"/>
    <w:rsid w:val="00FD10BB"/>
    <w:rsid w:val="00FD18A5"/>
    <w:rsid w:val="00FD1A30"/>
    <w:rsid w:val="00FD1CD3"/>
    <w:rsid w:val="00FD1E3B"/>
    <w:rsid w:val="00FD2258"/>
    <w:rsid w:val="00FD23EC"/>
    <w:rsid w:val="00FD26EC"/>
    <w:rsid w:val="00FD2A72"/>
    <w:rsid w:val="00FD2BBA"/>
    <w:rsid w:val="00FD3208"/>
    <w:rsid w:val="00FD50A2"/>
    <w:rsid w:val="00FD5CC9"/>
    <w:rsid w:val="00FD5D82"/>
    <w:rsid w:val="00FD5FAB"/>
    <w:rsid w:val="00FD67F0"/>
    <w:rsid w:val="00FD7172"/>
    <w:rsid w:val="00FD7792"/>
    <w:rsid w:val="00FE14B2"/>
    <w:rsid w:val="00FE19F1"/>
    <w:rsid w:val="00FE1DB4"/>
    <w:rsid w:val="00FE2046"/>
    <w:rsid w:val="00FE26BC"/>
    <w:rsid w:val="00FE3850"/>
    <w:rsid w:val="00FE4EED"/>
    <w:rsid w:val="00FE5ACA"/>
    <w:rsid w:val="00FE5DAF"/>
    <w:rsid w:val="00FE6382"/>
    <w:rsid w:val="00FE6443"/>
    <w:rsid w:val="00FE67F7"/>
    <w:rsid w:val="00FE6F5A"/>
    <w:rsid w:val="00FE70E2"/>
    <w:rsid w:val="00FE7DBA"/>
    <w:rsid w:val="00FF0385"/>
    <w:rsid w:val="00FF08FB"/>
    <w:rsid w:val="00FF1B81"/>
    <w:rsid w:val="00FF1F0A"/>
    <w:rsid w:val="00FF31F2"/>
    <w:rsid w:val="00FF32E1"/>
    <w:rsid w:val="00FF3EA5"/>
    <w:rsid w:val="00FF5B2A"/>
    <w:rsid w:val="00FF5B41"/>
    <w:rsid w:val="00FF6190"/>
    <w:rsid w:val="00FF6A6C"/>
    <w:rsid w:val="00FF6B44"/>
    <w:rsid w:val="00FF6B47"/>
    <w:rsid w:val="00FF75EE"/>
    <w:rsid w:val="00FF7953"/>
    <w:rsid w:val="00FF7DDE"/>
    <w:rsid w:val="01956C5E"/>
    <w:rsid w:val="01A74055"/>
    <w:rsid w:val="01FC7497"/>
    <w:rsid w:val="04CA7814"/>
    <w:rsid w:val="0753163F"/>
    <w:rsid w:val="07AE42D4"/>
    <w:rsid w:val="0888458F"/>
    <w:rsid w:val="089B47B0"/>
    <w:rsid w:val="08D17962"/>
    <w:rsid w:val="0BE47B67"/>
    <w:rsid w:val="0D826F1E"/>
    <w:rsid w:val="0D9D4A4C"/>
    <w:rsid w:val="0DF72AEB"/>
    <w:rsid w:val="0F777359"/>
    <w:rsid w:val="108047A4"/>
    <w:rsid w:val="12F85227"/>
    <w:rsid w:val="130C2F47"/>
    <w:rsid w:val="142B2C37"/>
    <w:rsid w:val="14F44B8F"/>
    <w:rsid w:val="16583AB8"/>
    <w:rsid w:val="16883F06"/>
    <w:rsid w:val="16AF10A2"/>
    <w:rsid w:val="18A44E51"/>
    <w:rsid w:val="198C0188"/>
    <w:rsid w:val="19B3733C"/>
    <w:rsid w:val="1A95669F"/>
    <w:rsid w:val="1FF42B63"/>
    <w:rsid w:val="22DC2311"/>
    <w:rsid w:val="237C5509"/>
    <w:rsid w:val="29DD5532"/>
    <w:rsid w:val="2A90505F"/>
    <w:rsid w:val="2BD71E9A"/>
    <w:rsid w:val="2C3824D6"/>
    <w:rsid w:val="302263DB"/>
    <w:rsid w:val="306F598A"/>
    <w:rsid w:val="31B76BCE"/>
    <w:rsid w:val="33B55F40"/>
    <w:rsid w:val="33FA6950"/>
    <w:rsid w:val="34F34641"/>
    <w:rsid w:val="38426DAB"/>
    <w:rsid w:val="39C251E4"/>
    <w:rsid w:val="3C1D4A01"/>
    <w:rsid w:val="3EAD4CB2"/>
    <w:rsid w:val="417E0CA1"/>
    <w:rsid w:val="42A864BD"/>
    <w:rsid w:val="45CC4DA7"/>
    <w:rsid w:val="46D24E45"/>
    <w:rsid w:val="46EE2E7E"/>
    <w:rsid w:val="46F6214B"/>
    <w:rsid w:val="4863715E"/>
    <w:rsid w:val="4B816B4C"/>
    <w:rsid w:val="4CDA6AA8"/>
    <w:rsid w:val="4DD55391"/>
    <w:rsid w:val="50B83C2A"/>
    <w:rsid w:val="544D6E8A"/>
    <w:rsid w:val="54BE3C69"/>
    <w:rsid w:val="54D14A5C"/>
    <w:rsid w:val="56E232A7"/>
    <w:rsid w:val="57603CAD"/>
    <w:rsid w:val="58064FD5"/>
    <w:rsid w:val="598C20EF"/>
    <w:rsid w:val="5AB74A89"/>
    <w:rsid w:val="5BD1434A"/>
    <w:rsid w:val="5BE9401B"/>
    <w:rsid w:val="5C5A0B81"/>
    <w:rsid w:val="5C5F0FD2"/>
    <w:rsid w:val="5CE71315"/>
    <w:rsid w:val="5D337528"/>
    <w:rsid w:val="5FAC34A5"/>
    <w:rsid w:val="60D7546D"/>
    <w:rsid w:val="61E5197D"/>
    <w:rsid w:val="63BE37E4"/>
    <w:rsid w:val="64150015"/>
    <w:rsid w:val="64E24625"/>
    <w:rsid w:val="656D1FB2"/>
    <w:rsid w:val="65A21F31"/>
    <w:rsid w:val="68A85DA6"/>
    <w:rsid w:val="6ADF783B"/>
    <w:rsid w:val="6C2C35FA"/>
    <w:rsid w:val="6DAE6B96"/>
    <w:rsid w:val="708A1EBA"/>
    <w:rsid w:val="712F5C9A"/>
    <w:rsid w:val="719D582A"/>
    <w:rsid w:val="71C90BDF"/>
    <w:rsid w:val="7547137A"/>
    <w:rsid w:val="7C505973"/>
    <w:rsid w:val="7CC72903"/>
    <w:rsid w:val="7ED61580"/>
    <w:rsid w:val="7F1C51BF"/>
    <w:rsid w:val="EC1CBA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iPriority="99"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uiPriority="99" w:name="HTML Preformatted"/>
    <w:lsdException w:uiPriority="99" w:name="HTML Sample"/>
    <w:lsdException w:uiPriority="99" w:name="HTML Typewriter"/>
    <w:lsdException w:qFormat="1" w:uiPriority="99" w:semiHidden="0"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Bdr>
        <w:top w:val="none" w:color="000000" w:sz="0" w:space="0"/>
        <w:left w:val="none" w:color="000000" w:sz="0" w:space="0"/>
        <w:bottom w:val="none" w:color="000000" w:sz="0" w:space="0"/>
        <w:right w:val="none" w:color="000000" w:sz="0" w:space="0"/>
        <w:between w:val="none" w:color="000000" w:sz="0" w:space="0"/>
      </w:pBdr>
      <w:jc w:val="both"/>
    </w:pPr>
    <w:rPr>
      <w:rFonts w:ascii="Times New Roman" w:hAnsi="Times New Roman" w:eastAsia="宋体" w:cs="Calibri"/>
      <w:sz w:val="24"/>
      <w:szCs w:val="22"/>
      <w:lang w:val="en-US" w:eastAsia="zh-CN" w:bidi="ar-SA"/>
    </w:rPr>
  </w:style>
  <w:style w:type="paragraph" w:styleId="3">
    <w:name w:val="heading 1"/>
    <w:basedOn w:val="1"/>
    <w:next w:val="1"/>
    <w:link w:val="46"/>
    <w:qFormat/>
    <w:uiPriority w:val="9"/>
    <w:pPr>
      <w:pBdr>
        <w:top w:val="none" w:color="auto" w:sz="0" w:space="0"/>
        <w:left w:val="none" w:color="auto" w:sz="0" w:space="0"/>
        <w:bottom w:val="none" w:color="auto" w:sz="0" w:space="0"/>
        <w:right w:val="none" w:color="auto" w:sz="0" w:space="0"/>
        <w:between w:val="none" w:color="auto" w:sz="0" w:space="0"/>
      </w:pBdr>
      <w:overflowPunct w:val="0"/>
      <w:spacing w:line="360" w:lineRule="auto"/>
      <w:ind w:firstLine="640" w:firstLineChars="200"/>
      <w:outlineLvl w:val="0"/>
    </w:pPr>
    <w:rPr>
      <w:rFonts w:eastAsia="黑体" w:cs="Times New Roman"/>
      <w:color w:val="000000"/>
      <w:kern w:val="2"/>
      <w:sz w:val="32"/>
      <w:szCs w:val="32"/>
    </w:rPr>
  </w:style>
  <w:style w:type="paragraph" w:styleId="4">
    <w:name w:val="heading 2"/>
    <w:basedOn w:val="1"/>
    <w:next w:val="1"/>
    <w:link w:val="45"/>
    <w:unhideWhenUsed/>
    <w:qFormat/>
    <w:uiPriority w:val="9"/>
    <w:pPr>
      <w:pBdr>
        <w:top w:val="none" w:color="auto" w:sz="0" w:space="0"/>
        <w:left w:val="none" w:color="auto" w:sz="0" w:space="0"/>
        <w:bottom w:val="none" w:color="auto" w:sz="0" w:space="0"/>
        <w:right w:val="none" w:color="auto" w:sz="0" w:space="0"/>
        <w:between w:val="none" w:color="auto" w:sz="0" w:space="0"/>
      </w:pBdr>
      <w:overflowPunct w:val="0"/>
      <w:spacing w:line="360" w:lineRule="auto"/>
      <w:ind w:firstLine="643" w:firstLineChars="200"/>
      <w:outlineLvl w:val="1"/>
    </w:pPr>
    <w:rPr>
      <w:rFonts w:eastAsia="楷体" w:cs="Times New Roman"/>
      <w:b/>
      <w:color w:val="000000"/>
      <w:kern w:val="2"/>
      <w:sz w:val="32"/>
      <w:szCs w:val="32"/>
    </w:rPr>
  </w:style>
  <w:style w:type="paragraph" w:styleId="5">
    <w:name w:val="heading 3"/>
    <w:basedOn w:val="1"/>
    <w:next w:val="1"/>
    <w:link w:val="50"/>
    <w:unhideWhenUsed/>
    <w:qFormat/>
    <w:uiPriority w:val="9"/>
    <w:pPr>
      <w:overflowPunct w:val="0"/>
      <w:spacing w:beforeLines="50" w:line="360" w:lineRule="auto"/>
      <w:ind w:firstLine="200" w:firstLineChars="200"/>
      <w:outlineLvl w:val="2"/>
    </w:pPr>
    <w:rPr>
      <w:rFonts w:eastAsia="楷体" w:cs="Times New Roman"/>
      <w:b/>
      <w:color w:val="000000"/>
      <w:sz w:val="32"/>
      <w:szCs w:val="32"/>
    </w:rPr>
  </w:style>
  <w:style w:type="paragraph" w:styleId="2">
    <w:name w:val="heading 4"/>
    <w:basedOn w:val="1"/>
    <w:next w:val="1"/>
    <w:link w:val="52"/>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54"/>
    <w:unhideWhenUsed/>
    <w:qFormat/>
    <w:uiPriority w:val="9"/>
    <w:pPr>
      <w:keepNext/>
      <w:keepLines/>
      <w:spacing w:before="320" w:after="200"/>
      <w:outlineLvl w:val="4"/>
    </w:pPr>
    <w:rPr>
      <w:rFonts w:ascii="Arial" w:hAnsi="Arial" w:eastAsia="Arial" w:cs="Arial"/>
      <w:b/>
      <w:bCs/>
      <w:szCs w:val="24"/>
    </w:rPr>
  </w:style>
  <w:style w:type="paragraph" w:styleId="7">
    <w:name w:val="heading 6"/>
    <w:basedOn w:val="1"/>
    <w:next w:val="1"/>
    <w:link w:val="56"/>
    <w:unhideWhenUsed/>
    <w:qFormat/>
    <w:uiPriority w:val="9"/>
    <w:pPr>
      <w:keepNext/>
      <w:keepLines/>
      <w:spacing w:before="320" w:after="200"/>
      <w:outlineLvl w:val="5"/>
    </w:pPr>
    <w:rPr>
      <w:rFonts w:ascii="Arial" w:hAnsi="Arial" w:eastAsia="Arial" w:cs="Arial"/>
      <w:b/>
      <w:bCs/>
      <w:sz w:val="22"/>
    </w:rPr>
  </w:style>
  <w:style w:type="paragraph" w:styleId="8">
    <w:name w:val="heading 7"/>
    <w:basedOn w:val="1"/>
    <w:next w:val="1"/>
    <w:link w:val="58"/>
    <w:unhideWhenUsed/>
    <w:qFormat/>
    <w:uiPriority w:val="9"/>
    <w:pPr>
      <w:keepNext/>
      <w:keepLines/>
      <w:spacing w:before="320" w:after="200"/>
      <w:outlineLvl w:val="6"/>
    </w:pPr>
    <w:rPr>
      <w:rFonts w:ascii="Arial" w:hAnsi="Arial" w:eastAsia="Arial" w:cs="Arial"/>
      <w:b/>
      <w:bCs/>
      <w:i/>
      <w:iCs/>
      <w:sz w:val="22"/>
    </w:rPr>
  </w:style>
  <w:style w:type="paragraph" w:styleId="9">
    <w:name w:val="heading 8"/>
    <w:basedOn w:val="1"/>
    <w:next w:val="1"/>
    <w:link w:val="60"/>
    <w:unhideWhenUsed/>
    <w:qFormat/>
    <w:uiPriority w:val="9"/>
    <w:pPr>
      <w:keepNext/>
      <w:keepLines/>
      <w:spacing w:before="320" w:after="200"/>
      <w:outlineLvl w:val="7"/>
    </w:pPr>
    <w:rPr>
      <w:rFonts w:ascii="Arial" w:hAnsi="Arial" w:eastAsia="Arial" w:cs="Arial"/>
      <w:i/>
      <w:iCs/>
      <w:sz w:val="22"/>
    </w:rPr>
  </w:style>
  <w:style w:type="paragraph" w:styleId="10">
    <w:name w:val="heading 9"/>
    <w:basedOn w:val="1"/>
    <w:next w:val="1"/>
    <w:link w:val="62"/>
    <w:unhideWhenUsed/>
    <w:qFormat/>
    <w:uiPriority w:val="9"/>
    <w:pPr>
      <w:keepNext/>
      <w:keepLines/>
      <w:spacing w:before="320" w:after="200"/>
      <w:outlineLvl w:val="8"/>
    </w:pPr>
    <w:rPr>
      <w:rFonts w:ascii="Arial" w:hAnsi="Arial" w:eastAsia="Arial" w:cs="Arial"/>
      <w:i/>
      <w:iCs/>
      <w:szCs w:val="21"/>
    </w:rPr>
  </w:style>
  <w:style w:type="character" w:default="1" w:styleId="33">
    <w:name w:val="Default Paragraph Font"/>
    <w:unhideWhenUsed/>
    <w:uiPriority w:val="1"/>
  </w:style>
  <w:style w:type="table" w:default="1" w:styleId="31">
    <w:name w:val="Normal Table"/>
    <w:unhideWhenUsed/>
    <w:qFormat/>
    <w:uiPriority w:val="99"/>
    <w:tblPr>
      <w:tblStyle w:val="31"/>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Document Map"/>
    <w:basedOn w:val="1"/>
    <w:link w:val="76"/>
    <w:unhideWhenUsed/>
    <w:uiPriority w:val="99"/>
    <w:rPr>
      <w:rFonts w:ascii="宋体" w:eastAsia="宋体"/>
      <w:sz w:val="18"/>
      <w:szCs w:val="18"/>
    </w:rPr>
  </w:style>
  <w:style w:type="paragraph" w:styleId="13">
    <w:name w:val="annotation text"/>
    <w:basedOn w:val="1"/>
    <w:link w:val="48"/>
    <w:unhideWhenUsed/>
    <w:qFormat/>
    <w:uiPriority w:val="99"/>
    <w:pPr>
      <w:jc w:val="left"/>
    </w:pPr>
  </w:style>
  <w:style w:type="paragraph" w:styleId="14">
    <w:name w:val="Body Text"/>
    <w:basedOn w:val="1"/>
    <w:next w:val="1"/>
    <w:unhideWhenUsed/>
    <w:qFormat/>
    <w:uiPriority w:val="99"/>
    <w:rPr>
      <w:rFonts w:ascii="仿宋_GB2312" w:hAnsi="宋体" w:eastAsia="仿宋_GB2312" w:cs="Times New Roman"/>
      <w:sz w:val="30"/>
      <w:szCs w:val="30"/>
    </w:rPr>
  </w:style>
  <w:style w:type="paragraph" w:styleId="15">
    <w:name w:val="toc 5"/>
    <w:basedOn w:val="1"/>
    <w:next w:val="1"/>
    <w:unhideWhenUsed/>
    <w:qFormat/>
    <w:uiPriority w:val="39"/>
    <w:pPr>
      <w:spacing w:after="57"/>
      <w:ind w:left="1134"/>
    </w:pPr>
  </w:style>
  <w:style w:type="paragraph" w:styleId="16">
    <w:name w:val="toc 3"/>
    <w:basedOn w:val="1"/>
    <w:next w:val="1"/>
    <w:unhideWhenUsed/>
    <w:qFormat/>
    <w:uiPriority w:val="39"/>
    <w:pPr>
      <w:spacing w:after="57"/>
      <w:ind w:left="567"/>
    </w:pPr>
  </w:style>
  <w:style w:type="paragraph" w:styleId="17">
    <w:name w:val="toc 8"/>
    <w:basedOn w:val="1"/>
    <w:next w:val="1"/>
    <w:unhideWhenUsed/>
    <w:qFormat/>
    <w:uiPriority w:val="39"/>
    <w:pPr>
      <w:spacing w:after="57"/>
      <w:ind w:left="1984"/>
    </w:pPr>
  </w:style>
  <w:style w:type="paragraph" w:styleId="18">
    <w:name w:val="Balloon Text"/>
    <w:basedOn w:val="1"/>
    <w:link w:val="49"/>
    <w:unhideWhenUsed/>
    <w:qFormat/>
    <w:uiPriority w:val="99"/>
    <w:rPr>
      <w:sz w:val="18"/>
      <w:szCs w:val="18"/>
    </w:rPr>
  </w:style>
  <w:style w:type="paragraph" w:styleId="19">
    <w:name w:val="footer"/>
    <w:basedOn w:val="1"/>
    <w:link w:val="51"/>
    <w:unhideWhenUsed/>
    <w:qFormat/>
    <w:uiPriority w:val="99"/>
    <w:pPr>
      <w:tabs>
        <w:tab w:val="center" w:pos="7143"/>
        <w:tab w:val="right" w:pos="14287"/>
      </w:tabs>
    </w:pPr>
  </w:style>
  <w:style w:type="paragraph" w:styleId="20">
    <w:name w:val="header"/>
    <w:basedOn w:val="1"/>
    <w:link w:val="53"/>
    <w:unhideWhenUsed/>
    <w:qFormat/>
    <w:uiPriority w:val="99"/>
    <w:pPr>
      <w:tabs>
        <w:tab w:val="center" w:pos="7143"/>
        <w:tab w:val="right" w:pos="14287"/>
      </w:tabs>
    </w:pPr>
  </w:style>
  <w:style w:type="paragraph" w:styleId="21">
    <w:name w:val="toc 1"/>
    <w:basedOn w:val="1"/>
    <w:next w:val="1"/>
    <w:unhideWhenUsed/>
    <w:qFormat/>
    <w:uiPriority w:val="39"/>
    <w:pPr>
      <w:spacing w:after="57"/>
    </w:pPr>
  </w:style>
  <w:style w:type="paragraph" w:styleId="22">
    <w:name w:val="toc 4"/>
    <w:basedOn w:val="1"/>
    <w:next w:val="1"/>
    <w:unhideWhenUsed/>
    <w:qFormat/>
    <w:uiPriority w:val="39"/>
    <w:pPr>
      <w:spacing w:after="57"/>
      <w:ind w:left="850"/>
    </w:pPr>
  </w:style>
  <w:style w:type="paragraph" w:styleId="23">
    <w:name w:val="Subtitle"/>
    <w:basedOn w:val="1"/>
    <w:next w:val="1"/>
    <w:link w:val="55"/>
    <w:qFormat/>
    <w:uiPriority w:val="11"/>
    <w:pPr>
      <w:spacing w:before="200" w:after="200"/>
    </w:pPr>
    <w:rPr>
      <w:szCs w:val="24"/>
    </w:rPr>
  </w:style>
  <w:style w:type="paragraph" w:styleId="24">
    <w:name w:val="footnote text"/>
    <w:basedOn w:val="1"/>
    <w:link w:val="57"/>
    <w:unhideWhenUsed/>
    <w:qFormat/>
    <w:uiPriority w:val="99"/>
    <w:pPr>
      <w:spacing w:after="40"/>
    </w:pPr>
    <w:rPr>
      <w:sz w:val="18"/>
    </w:rPr>
  </w:style>
  <w:style w:type="paragraph" w:styleId="25">
    <w:name w:val="toc 6"/>
    <w:basedOn w:val="1"/>
    <w:next w:val="1"/>
    <w:unhideWhenUsed/>
    <w:qFormat/>
    <w:uiPriority w:val="39"/>
    <w:pPr>
      <w:spacing w:after="57"/>
      <w:ind w:left="1417"/>
    </w:pPr>
  </w:style>
  <w:style w:type="paragraph" w:styleId="26">
    <w:name w:val="toc 2"/>
    <w:basedOn w:val="1"/>
    <w:next w:val="1"/>
    <w:unhideWhenUsed/>
    <w:qFormat/>
    <w:uiPriority w:val="39"/>
    <w:pPr>
      <w:spacing w:after="57"/>
      <w:ind w:left="283"/>
    </w:pPr>
  </w:style>
  <w:style w:type="paragraph" w:styleId="27">
    <w:name w:val="toc 9"/>
    <w:basedOn w:val="1"/>
    <w:next w:val="1"/>
    <w:unhideWhenUsed/>
    <w:qFormat/>
    <w:uiPriority w:val="39"/>
    <w:pPr>
      <w:spacing w:after="57"/>
      <w:ind w:left="2268"/>
    </w:pPr>
  </w:style>
  <w:style w:type="paragraph" w:styleId="28">
    <w:name w:val="Normal (Web)"/>
    <w:basedOn w:val="1"/>
    <w:unhideWhenUsed/>
    <w:qFormat/>
    <w:uiPriority w:val="99"/>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line="360" w:lineRule="auto"/>
      <w:ind w:firstLine="200" w:firstLineChars="200"/>
      <w:jc w:val="left"/>
    </w:pPr>
    <w:rPr>
      <w:rFonts w:ascii="宋体" w:hAnsi="宋体" w:eastAsia="宋体" w:cs="宋体"/>
      <w:szCs w:val="24"/>
    </w:rPr>
  </w:style>
  <w:style w:type="paragraph" w:styleId="29">
    <w:name w:val="Title"/>
    <w:basedOn w:val="1"/>
    <w:next w:val="1"/>
    <w:link w:val="59"/>
    <w:qFormat/>
    <w:uiPriority w:val="10"/>
    <w:pPr>
      <w:spacing w:before="300" w:after="200"/>
      <w:contextualSpacing/>
    </w:pPr>
    <w:rPr>
      <w:sz w:val="48"/>
      <w:szCs w:val="48"/>
    </w:rPr>
  </w:style>
  <w:style w:type="paragraph" w:styleId="30">
    <w:name w:val="annotation subject"/>
    <w:basedOn w:val="13"/>
    <w:next w:val="13"/>
    <w:link w:val="61"/>
    <w:unhideWhenUsed/>
    <w:qFormat/>
    <w:uiPriority w:val="99"/>
    <w:rPr>
      <w:b/>
      <w:bCs/>
    </w:rPr>
  </w:style>
  <w:style w:type="table" w:styleId="32">
    <w:name w:val="Table Grid"/>
    <w:basedOn w:val="31"/>
    <w:qFormat/>
    <w:uiPriority w:val="99"/>
    <w:tblPr>
      <w:tblStyle w:val="3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4">
    <w:name w:val="Strong"/>
    <w:basedOn w:val="33"/>
    <w:qFormat/>
    <w:uiPriority w:val="22"/>
    <w:rPr>
      <w:b/>
      <w:bCs/>
    </w:rPr>
  </w:style>
  <w:style w:type="character" w:styleId="35">
    <w:name w:val="FollowedHyperlink"/>
    <w:basedOn w:val="33"/>
    <w:unhideWhenUsed/>
    <w:qFormat/>
    <w:uiPriority w:val="99"/>
    <w:rPr>
      <w:color w:val="800080"/>
      <w:u w:val="single"/>
    </w:rPr>
  </w:style>
  <w:style w:type="character" w:styleId="36">
    <w:name w:val="Emphasis"/>
    <w:basedOn w:val="33"/>
    <w:qFormat/>
    <w:uiPriority w:val="20"/>
    <w:rPr>
      <w:color w:val="F73131"/>
    </w:rPr>
  </w:style>
  <w:style w:type="character" w:styleId="37">
    <w:name w:val="HTML Definition"/>
    <w:basedOn w:val="33"/>
    <w:unhideWhenUsed/>
    <w:qFormat/>
    <w:uiPriority w:val="99"/>
  </w:style>
  <w:style w:type="character" w:styleId="38">
    <w:name w:val="HTML Acronym"/>
    <w:basedOn w:val="33"/>
    <w:unhideWhenUsed/>
    <w:qFormat/>
    <w:uiPriority w:val="99"/>
  </w:style>
  <w:style w:type="character" w:styleId="39">
    <w:name w:val="HTML Variable"/>
    <w:basedOn w:val="33"/>
    <w:unhideWhenUsed/>
    <w:qFormat/>
    <w:uiPriority w:val="99"/>
  </w:style>
  <w:style w:type="character" w:styleId="40">
    <w:name w:val="Hyperlink"/>
    <w:unhideWhenUsed/>
    <w:qFormat/>
    <w:uiPriority w:val="99"/>
    <w:rPr>
      <w:color w:val="0000FF"/>
      <w:u w:val="single"/>
    </w:rPr>
  </w:style>
  <w:style w:type="character" w:styleId="41">
    <w:name w:val="HTML Code"/>
    <w:basedOn w:val="33"/>
    <w:unhideWhenUsed/>
    <w:qFormat/>
    <w:uiPriority w:val="99"/>
    <w:rPr>
      <w:rFonts w:ascii="Courier New" w:hAnsi="Courier New"/>
      <w:sz w:val="20"/>
    </w:rPr>
  </w:style>
  <w:style w:type="character" w:styleId="42">
    <w:name w:val="annotation reference"/>
    <w:basedOn w:val="33"/>
    <w:unhideWhenUsed/>
    <w:qFormat/>
    <w:uiPriority w:val="99"/>
    <w:rPr>
      <w:sz w:val="21"/>
      <w:szCs w:val="21"/>
    </w:rPr>
  </w:style>
  <w:style w:type="character" w:styleId="43">
    <w:name w:val="HTML Cite"/>
    <w:basedOn w:val="33"/>
    <w:unhideWhenUsed/>
    <w:qFormat/>
    <w:uiPriority w:val="99"/>
    <w:rPr>
      <w:color w:val="008000"/>
    </w:rPr>
  </w:style>
  <w:style w:type="character" w:styleId="44">
    <w:name w:val="footnote reference"/>
    <w:basedOn w:val="33"/>
    <w:unhideWhenUsed/>
    <w:qFormat/>
    <w:uiPriority w:val="99"/>
    <w:rPr>
      <w:vertAlign w:val="superscript"/>
    </w:rPr>
  </w:style>
  <w:style w:type="character" w:customStyle="1" w:styleId="45">
    <w:name w:val="标题 2 Char"/>
    <w:basedOn w:val="33"/>
    <w:link w:val="4"/>
    <w:qFormat/>
    <w:uiPriority w:val="9"/>
    <w:rPr>
      <w:rFonts w:eastAsia="楷体"/>
      <w:b/>
      <w:color w:val="000000"/>
      <w:kern w:val="2"/>
      <w:sz w:val="32"/>
      <w:szCs w:val="32"/>
    </w:rPr>
  </w:style>
  <w:style w:type="character" w:customStyle="1" w:styleId="46">
    <w:name w:val="标题 1 Char"/>
    <w:basedOn w:val="33"/>
    <w:link w:val="3"/>
    <w:qFormat/>
    <w:uiPriority w:val="9"/>
    <w:rPr>
      <w:rFonts w:eastAsia="黑体"/>
      <w:color w:val="000000"/>
      <w:kern w:val="2"/>
      <w:sz w:val="32"/>
      <w:szCs w:val="32"/>
    </w:rPr>
  </w:style>
  <w:style w:type="character" w:customStyle="1" w:styleId="47">
    <w:name w:val="Heading 1 Char"/>
    <w:basedOn w:val="33"/>
    <w:qFormat/>
    <w:uiPriority w:val="9"/>
    <w:rPr>
      <w:rFonts w:ascii="Arial" w:hAnsi="Arial" w:eastAsia="Arial" w:cs="Arial"/>
      <w:sz w:val="40"/>
      <w:szCs w:val="40"/>
    </w:rPr>
  </w:style>
  <w:style w:type="character" w:customStyle="1" w:styleId="48">
    <w:name w:val="批注文字 Char"/>
    <w:basedOn w:val="33"/>
    <w:link w:val="13"/>
    <w:qFormat/>
    <w:uiPriority w:val="99"/>
    <w:rPr>
      <w:rFonts w:ascii="Calibri" w:hAnsi="Calibri" w:cs="Calibri"/>
      <w:sz w:val="21"/>
      <w:szCs w:val="22"/>
    </w:rPr>
  </w:style>
  <w:style w:type="character" w:customStyle="1" w:styleId="49">
    <w:name w:val="批注框文本 Char"/>
    <w:basedOn w:val="33"/>
    <w:link w:val="18"/>
    <w:semiHidden/>
    <w:qFormat/>
    <w:uiPriority w:val="99"/>
    <w:rPr>
      <w:sz w:val="18"/>
      <w:szCs w:val="18"/>
    </w:rPr>
  </w:style>
  <w:style w:type="character" w:customStyle="1" w:styleId="50">
    <w:name w:val="标题 3 Char"/>
    <w:basedOn w:val="33"/>
    <w:link w:val="5"/>
    <w:qFormat/>
    <w:uiPriority w:val="9"/>
    <w:rPr>
      <w:rFonts w:eastAsia="楷体"/>
      <w:b/>
      <w:color w:val="000000"/>
      <w:sz w:val="32"/>
      <w:szCs w:val="32"/>
    </w:rPr>
  </w:style>
  <w:style w:type="character" w:customStyle="1" w:styleId="51">
    <w:name w:val="页脚 Char"/>
    <w:basedOn w:val="33"/>
    <w:link w:val="19"/>
    <w:qFormat/>
    <w:uiPriority w:val="99"/>
  </w:style>
  <w:style w:type="character" w:customStyle="1" w:styleId="52">
    <w:name w:val="标题 4 Char"/>
    <w:basedOn w:val="33"/>
    <w:link w:val="2"/>
    <w:qFormat/>
    <w:uiPriority w:val="9"/>
    <w:rPr>
      <w:rFonts w:ascii="Arial" w:hAnsi="Arial" w:eastAsia="Arial" w:cs="Arial"/>
      <w:b/>
      <w:bCs/>
      <w:sz w:val="26"/>
      <w:szCs w:val="26"/>
    </w:rPr>
  </w:style>
  <w:style w:type="character" w:customStyle="1" w:styleId="53">
    <w:name w:val="页眉 Char"/>
    <w:basedOn w:val="33"/>
    <w:link w:val="20"/>
    <w:qFormat/>
    <w:uiPriority w:val="99"/>
  </w:style>
  <w:style w:type="character" w:customStyle="1" w:styleId="54">
    <w:name w:val="标题 5 Char"/>
    <w:basedOn w:val="33"/>
    <w:link w:val="6"/>
    <w:qFormat/>
    <w:uiPriority w:val="9"/>
    <w:rPr>
      <w:rFonts w:ascii="Arial" w:hAnsi="Arial" w:eastAsia="Arial" w:cs="Arial"/>
      <w:b/>
      <w:bCs/>
      <w:sz w:val="24"/>
      <w:szCs w:val="24"/>
    </w:rPr>
  </w:style>
  <w:style w:type="character" w:customStyle="1" w:styleId="55">
    <w:name w:val="副标题 Char"/>
    <w:basedOn w:val="33"/>
    <w:link w:val="23"/>
    <w:qFormat/>
    <w:uiPriority w:val="11"/>
    <w:rPr>
      <w:sz w:val="24"/>
      <w:szCs w:val="24"/>
    </w:rPr>
  </w:style>
  <w:style w:type="character" w:customStyle="1" w:styleId="56">
    <w:name w:val="标题 6 Char"/>
    <w:basedOn w:val="33"/>
    <w:link w:val="7"/>
    <w:qFormat/>
    <w:uiPriority w:val="9"/>
    <w:rPr>
      <w:rFonts w:ascii="Arial" w:hAnsi="Arial" w:eastAsia="Arial" w:cs="Arial"/>
      <w:b/>
      <w:bCs/>
      <w:sz w:val="22"/>
      <w:szCs w:val="22"/>
    </w:rPr>
  </w:style>
  <w:style w:type="character" w:customStyle="1" w:styleId="57">
    <w:name w:val="脚注文本 Char"/>
    <w:link w:val="24"/>
    <w:qFormat/>
    <w:uiPriority w:val="99"/>
    <w:rPr>
      <w:sz w:val="18"/>
    </w:rPr>
  </w:style>
  <w:style w:type="character" w:customStyle="1" w:styleId="58">
    <w:name w:val="标题 7 Char"/>
    <w:basedOn w:val="33"/>
    <w:link w:val="8"/>
    <w:qFormat/>
    <w:uiPriority w:val="9"/>
    <w:rPr>
      <w:rFonts w:ascii="Arial" w:hAnsi="Arial" w:eastAsia="Arial" w:cs="Arial"/>
      <w:b/>
      <w:bCs/>
      <w:i/>
      <w:iCs/>
      <w:sz w:val="22"/>
      <w:szCs w:val="22"/>
    </w:rPr>
  </w:style>
  <w:style w:type="character" w:customStyle="1" w:styleId="59">
    <w:name w:val="标题 Char"/>
    <w:basedOn w:val="33"/>
    <w:link w:val="29"/>
    <w:qFormat/>
    <w:uiPriority w:val="10"/>
    <w:rPr>
      <w:sz w:val="48"/>
      <w:szCs w:val="48"/>
    </w:rPr>
  </w:style>
  <w:style w:type="character" w:customStyle="1" w:styleId="60">
    <w:name w:val="标题 8 Char"/>
    <w:basedOn w:val="33"/>
    <w:link w:val="9"/>
    <w:qFormat/>
    <w:uiPriority w:val="9"/>
    <w:rPr>
      <w:rFonts w:ascii="Arial" w:hAnsi="Arial" w:eastAsia="Arial" w:cs="Arial"/>
      <w:i/>
      <w:iCs/>
      <w:sz w:val="22"/>
      <w:szCs w:val="22"/>
    </w:rPr>
  </w:style>
  <w:style w:type="character" w:customStyle="1" w:styleId="61">
    <w:name w:val="批注主题 Char"/>
    <w:basedOn w:val="48"/>
    <w:link w:val="30"/>
    <w:semiHidden/>
    <w:qFormat/>
    <w:uiPriority w:val="99"/>
    <w:rPr>
      <w:rFonts w:ascii="Calibri" w:hAnsi="Calibri" w:cs="Calibri"/>
      <w:b/>
      <w:bCs/>
      <w:sz w:val="21"/>
      <w:szCs w:val="22"/>
    </w:rPr>
  </w:style>
  <w:style w:type="character" w:customStyle="1" w:styleId="62">
    <w:name w:val="标题 9 Char"/>
    <w:basedOn w:val="33"/>
    <w:link w:val="10"/>
    <w:qFormat/>
    <w:uiPriority w:val="9"/>
    <w:rPr>
      <w:rFonts w:ascii="Arial" w:hAnsi="Arial" w:eastAsia="Arial" w:cs="Arial"/>
      <w:i/>
      <w:iCs/>
      <w:sz w:val="21"/>
      <w:szCs w:val="21"/>
    </w:rPr>
  </w:style>
  <w:style w:type="character" w:customStyle="1" w:styleId="63">
    <w:name w:val="引用 Char"/>
    <w:link w:val="64"/>
    <w:qFormat/>
    <w:uiPriority w:val="29"/>
    <w:rPr>
      <w:i/>
    </w:rPr>
  </w:style>
  <w:style w:type="paragraph" w:styleId="64">
    <w:name w:val="Quote"/>
    <w:basedOn w:val="1"/>
    <w:next w:val="1"/>
    <w:link w:val="63"/>
    <w:qFormat/>
    <w:uiPriority w:val="29"/>
    <w:pPr>
      <w:ind w:left="720" w:right="720"/>
    </w:pPr>
    <w:rPr>
      <w:i/>
    </w:rPr>
  </w:style>
  <w:style w:type="character" w:customStyle="1" w:styleId="65">
    <w:name w:val="明显引用 Char"/>
    <w:link w:val="66"/>
    <w:qFormat/>
    <w:uiPriority w:val="30"/>
    <w:rPr>
      <w:i/>
    </w:rPr>
  </w:style>
  <w:style w:type="paragraph" w:styleId="66">
    <w:name w:val="Intense Quote"/>
    <w:basedOn w:val="1"/>
    <w:next w:val="1"/>
    <w:link w:val="65"/>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7">
    <w:name w:val="10正文 Char"/>
    <w:link w:val="68"/>
    <w:qFormat/>
    <w:uiPriority w:val="0"/>
    <w:rPr>
      <w:rFonts w:eastAsia="仿宋"/>
      <w:kern w:val="2"/>
      <w:sz w:val="32"/>
      <w:szCs w:val="32"/>
    </w:rPr>
  </w:style>
  <w:style w:type="paragraph" w:customStyle="1" w:styleId="68">
    <w:name w:val="10正文"/>
    <w:basedOn w:val="1"/>
    <w:link w:val="67"/>
    <w:qFormat/>
    <w:uiPriority w:val="0"/>
    <w:pPr>
      <w:pBdr>
        <w:top w:val="none" w:color="auto" w:sz="0" w:space="0"/>
        <w:left w:val="none" w:color="auto" w:sz="0" w:space="0"/>
        <w:bottom w:val="none" w:color="auto" w:sz="0" w:space="0"/>
        <w:right w:val="none" w:color="auto" w:sz="0" w:space="0"/>
        <w:between w:val="none" w:color="auto" w:sz="0" w:space="0"/>
      </w:pBdr>
      <w:ind w:firstLine="624" w:firstLineChars="200"/>
    </w:pPr>
    <w:rPr>
      <w:rFonts w:eastAsia="仿宋" w:cs="Times New Roman"/>
      <w:kern w:val="2"/>
      <w:sz w:val="32"/>
      <w:szCs w:val="32"/>
    </w:rPr>
  </w:style>
  <w:style w:type="character" w:customStyle="1" w:styleId="69">
    <w:name w:val="12二级标题 Char"/>
    <w:link w:val="70"/>
    <w:qFormat/>
    <w:uiPriority w:val="0"/>
    <w:rPr>
      <w:rFonts w:ascii="Cambria" w:hAnsi="Cambria" w:eastAsia="楷体_GB2312" w:cs="Times New Roman"/>
      <w:b/>
      <w:bCs/>
      <w:kern w:val="28"/>
      <w:sz w:val="32"/>
      <w:szCs w:val="32"/>
    </w:rPr>
  </w:style>
  <w:style w:type="paragraph" w:customStyle="1" w:styleId="70">
    <w:name w:val="12二级标题"/>
    <w:basedOn w:val="23"/>
    <w:link w:val="69"/>
    <w:qFormat/>
    <w:uiPriority w:val="0"/>
    <w:pPr>
      <w:ind w:firstLine="200" w:firstLineChars="200"/>
      <w:outlineLvl w:val="1"/>
    </w:pPr>
    <w:rPr>
      <w:rFonts w:ascii="Cambria" w:hAnsi="Cambria" w:eastAsia="楷体_GB2312" w:cs="Times New Roman"/>
      <w:b/>
      <w:bCs/>
      <w:kern w:val="28"/>
      <w:sz w:val="32"/>
      <w:szCs w:val="32"/>
    </w:rPr>
  </w:style>
  <w:style w:type="character" w:customStyle="1" w:styleId="71">
    <w:name w:val="font31"/>
    <w:basedOn w:val="33"/>
    <w:qFormat/>
    <w:uiPriority w:val="0"/>
    <w:rPr>
      <w:rFonts w:hint="eastAsia" w:ascii="仿宋" w:hAnsi="仿宋" w:eastAsia="仿宋" w:cs="仿宋"/>
      <w:color w:val="000000"/>
      <w:sz w:val="22"/>
      <w:szCs w:val="22"/>
      <w:u w:val="none"/>
      <w:vertAlign w:val="subscript"/>
    </w:rPr>
  </w:style>
  <w:style w:type="character" w:customStyle="1" w:styleId="72">
    <w:name w:val="font51"/>
    <w:basedOn w:val="33"/>
    <w:qFormat/>
    <w:uiPriority w:val="0"/>
    <w:rPr>
      <w:rFonts w:hint="eastAsia" w:ascii="仿宋" w:hAnsi="仿宋" w:eastAsia="仿宋" w:cs="仿宋"/>
      <w:color w:val="000000"/>
      <w:sz w:val="22"/>
      <w:szCs w:val="22"/>
      <w:u w:val="none"/>
    </w:rPr>
  </w:style>
  <w:style w:type="character" w:customStyle="1" w:styleId="73">
    <w:name w:val="fontstyle01"/>
    <w:basedOn w:val="33"/>
    <w:qFormat/>
    <w:uiPriority w:val="0"/>
    <w:rPr>
      <w:rFonts w:hint="eastAsia" w:ascii="黑体" w:hAnsi="黑体" w:eastAsia="黑体"/>
      <w:color w:val="000000"/>
      <w:sz w:val="32"/>
      <w:szCs w:val="32"/>
    </w:rPr>
  </w:style>
  <w:style w:type="character" w:customStyle="1" w:styleId="74">
    <w:name w:val="c-icon26"/>
    <w:basedOn w:val="33"/>
    <w:qFormat/>
    <w:uiPriority w:val="0"/>
  </w:style>
  <w:style w:type="character" w:customStyle="1" w:styleId="75">
    <w:name w:val="font61"/>
    <w:basedOn w:val="33"/>
    <w:qFormat/>
    <w:uiPriority w:val="0"/>
    <w:rPr>
      <w:rFonts w:hint="eastAsia" w:ascii="宋体" w:hAnsi="宋体" w:eastAsia="宋体" w:cs="宋体"/>
      <w:color w:val="000000"/>
      <w:sz w:val="20"/>
      <w:szCs w:val="20"/>
      <w:u w:val="none"/>
    </w:rPr>
  </w:style>
  <w:style w:type="character" w:customStyle="1" w:styleId="76">
    <w:name w:val="文档结构图 Char"/>
    <w:basedOn w:val="33"/>
    <w:link w:val="12"/>
    <w:semiHidden/>
    <w:uiPriority w:val="99"/>
    <w:rPr>
      <w:rFonts w:ascii="宋体" w:hAnsi="Calibri" w:cs="Calibri"/>
      <w:sz w:val="18"/>
      <w:szCs w:val="18"/>
    </w:rPr>
  </w:style>
  <w:style w:type="character" w:customStyle="1" w:styleId="77">
    <w:name w:val="c-icon"/>
    <w:basedOn w:val="33"/>
    <w:qFormat/>
    <w:uiPriority w:val="0"/>
  </w:style>
  <w:style w:type="character" w:customStyle="1" w:styleId="78">
    <w:name w:val="hover24"/>
    <w:basedOn w:val="33"/>
    <w:qFormat/>
    <w:uiPriority w:val="0"/>
  </w:style>
  <w:style w:type="character" w:customStyle="1" w:styleId="79">
    <w:name w:val="hover25"/>
    <w:basedOn w:val="33"/>
    <w:qFormat/>
    <w:uiPriority w:val="0"/>
    <w:rPr>
      <w:color w:val="315EFB"/>
    </w:rPr>
  </w:style>
  <w:style w:type="character" w:customStyle="1" w:styleId="80">
    <w:name w:val="hover"/>
    <w:basedOn w:val="33"/>
    <w:qFormat/>
    <w:uiPriority w:val="0"/>
  </w:style>
  <w:style w:type="character" w:customStyle="1" w:styleId="81">
    <w:name w:val="hover1"/>
    <w:basedOn w:val="33"/>
    <w:qFormat/>
    <w:uiPriority w:val="0"/>
    <w:rPr>
      <w:color w:val="315EFB"/>
    </w:rPr>
  </w:style>
  <w:style w:type="character" w:customStyle="1" w:styleId="82">
    <w:name w:val="c-icon28"/>
    <w:basedOn w:val="33"/>
    <w:qFormat/>
    <w:uiPriority w:val="0"/>
  </w:style>
  <w:style w:type="character" w:customStyle="1" w:styleId="83">
    <w:name w:val="bjh-p"/>
    <w:basedOn w:val="33"/>
    <w:uiPriority w:val="0"/>
  </w:style>
  <w:style w:type="paragraph" w:customStyle="1" w:styleId="84">
    <w:name w:val="xl92"/>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85">
    <w:name w:val="xl77"/>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sz w:val="22"/>
    </w:rPr>
  </w:style>
  <w:style w:type="paragraph" w:customStyle="1" w:styleId="86">
    <w:name w:val="修订1"/>
    <w:semiHidden/>
    <w:qFormat/>
    <w:uiPriority w:val="99"/>
    <w:rPr>
      <w:rFonts w:ascii="Calibri" w:hAnsi="Calibri" w:eastAsia="宋体" w:cs="Times New Roman"/>
      <w:kern w:val="2"/>
      <w:sz w:val="21"/>
      <w:szCs w:val="22"/>
      <w:lang w:val="en-US" w:eastAsia="zh-CN" w:bidi="ar-SA"/>
    </w:rPr>
  </w:style>
  <w:style w:type="paragraph" w:styleId="87">
    <w:name w:val="List Paragraph"/>
    <w:basedOn w:val="1"/>
    <w:qFormat/>
    <w:uiPriority w:val="0"/>
    <w:pPr>
      <w:ind w:left="720"/>
      <w:contextualSpacing/>
    </w:pPr>
  </w:style>
  <w:style w:type="paragraph" w:customStyle="1" w:styleId="88">
    <w:name w:val="xl95"/>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sz w:val="22"/>
    </w:rPr>
  </w:style>
  <w:style w:type="paragraph" w:customStyle="1" w:styleId="89">
    <w:name w:val="font5"/>
    <w:basedOn w:val="1"/>
    <w:qFormat/>
    <w:uiPriority w:val="0"/>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jc w:val="left"/>
    </w:pPr>
    <w:rPr>
      <w:rFonts w:ascii="宋体" w:hAnsi="宋体" w:eastAsia="宋体" w:cs="宋体"/>
      <w:sz w:val="18"/>
      <w:szCs w:val="18"/>
    </w:rPr>
  </w:style>
  <w:style w:type="paragraph" w:styleId="90">
    <w:name w:val="No Spacing"/>
    <w:qFormat/>
    <w:uiPriority w:val="1"/>
    <w:pPr>
      <w:pBdr>
        <w:top w:val="none" w:color="000000" w:sz="0" w:space="0"/>
        <w:left w:val="none" w:color="000000" w:sz="0" w:space="0"/>
        <w:bottom w:val="none" w:color="000000" w:sz="0" w:space="0"/>
        <w:right w:val="none" w:color="000000" w:sz="0" w:space="0"/>
        <w:between w:val="none" w:color="000000" w:sz="0" w:space="0"/>
      </w:pBdr>
    </w:pPr>
    <w:rPr>
      <w:rFonts w:ascii="Calibri" w:hAnsi="Calibri" w:eastAsia="宋体" w:cs="Calibri"/>
      <w:sz w:val="21"/>
      <w:szCs w:val="22"/>
      <w:lang w:val="en-US" w:eastAsia="zh-CN" w:bidi="ar-SA"/>
    </w:rPr>
  </w:style>
  <w:style w:type="paragraph" w:customStyle="1" w:styleId="91">
    <w:name w:val="xl94"/>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sz w:val="22"/>
    </w:rPr>
  </w:style>
  <w:style w:type="paragraph" w:customStyle="1" w:styleId="92">
    <w:name w:val="font6"/>
    <w:basedOn w:val="1"/>
    <w:qFormat/>
    <w:uiPriority w:val="0"/>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jc w:val="left"/>
    </w:pPr>
    <w:rPr>
      <w:rFonts w:ascii="宋体" w:hAnsi="宋体" w:eastAsia="宋体" w:cs="宋体"/>
      <w:sz w:val="18"/>
      <w:szCs w:val="18"/>
    </w:rPr>
  </w:style>
  <w:style w:type="paragraph" w:customStyle="1" w:styleId="93">
    <w:name w:val="xl93"/>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94">
    <w:name w:val="xl76"/>
    <w:basedOn w:val="1"/>
    <w:qFormat/>
    <w:uiPriority w:val="0"/>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jc w:val="center"/>
    </w:pPr>
    <w:rPr>
      <w:rFonts w:ascii="宋体" w:hAnsi="宋体" w:eastAsia="宋体" w:cs="宋体"/>
      <w:szCs w:val="24"/>
    </w:rPr>
  </w:style>
  <w:style w:type="paragraph" w:customStyle="1" w:styleId="95">
    <w:name w:val="xl85"/>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96">
    <w:name w:val="xl86"/>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97">
    <w:name w:val="xl115"/>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98">
    <w:name w:val="TOC 标题1"/>
    <w:unhideWhenUsed/>
    <w:qFormat/>
    <w:uiPriority w:val="39"/>
    <w:pPr>
      <w:pBdr>
        <w:top w:val="none" w:color="000000" w:sz="0" w:space="0"/>
        <w:left w:val="none" w:color="000000" w:sz="0" w:space="0"/>
        <w:bottom w:val="none" w:color="000000" w:sz="0" w:space="0"/>
        <w:right w:val="none" w:color="000000" w:sz="0" w:space="0"/>
        <w:between w:val="none" w:color="000000" w:sz="0" w:space="0"/>
      </w:pBdr>
    </w:pPr>
    <w:rPr>
      <w:rFonts w:ascii="Calibri" w:hAnsi="Calibri" w:eastAsia="宋体" w:cs="Calibri"/>
      <w:sz w:val="21"/>
      <w:szCs w:val="22"/>
      <w:lang w:val="en-US" w:eastAsia="zh-CN" w:bidi="ar-SA"/>
    </w:rPr>
  </w:style>
  <w:style w:type="paragraph" w:customStyle="1" w:styleId="99">
    <w:name w:val="xl116"/>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00">
    <w:name w:val="xl98"/>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color w:val="000000"/>
      <w:sz w:val="22"/>
    </w:rPr>
  </w:style>
  <w:style w:type="paragraph" w:customStyle="1" w:styleId="101">
    <w:name w:val="xl96"/>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02">
    <w:name w:val="专栏标题"/>
    <w:qFormat/>
    <w:uiPriority w:val="0"/>
    <w:pPr>
      <w:spacing w:beforeLines="50" w:afterLines="50"/>
      <w:jc w:val="center"/>
    </w:pPr>
    <w:rPr>
      <w:rFonts w:ascii="黑体" w:hAnsi="黑体" w:eastAsia="黑体" w:cs="Times New Roman"/>
      <w:sz w:val="28"/>
      <w:szCs w:val="24"/>
      <w:lang w:val="en-US" w:eastAsia="zh-CN" w:bidi="ar-SA"/>
    </w:rPr>
  </w:style>
  <w:style w:type="paragraph" w:customStyle="1" w:styleId="103">
    <w:name w:val="xl113"/>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04">
    <w:name w:val="Char Char Char Char Char Char Char"/>
    <w:basedOn w:val="1"/>
    <w:qFormat/>
    <w:uiPriority w:val="0"/>
    <w:pPr>
      <w:pBdr>
        <w:top w:val="none" w:color="auto" w:sz="0" w:space="0"/>
        <w:left w:val="none" w:color="auto" w:sz="0" w:space="0"/>
        <w:bottom w:val="none" w:color="auto" w:sz="0" w:space="0"/>
        <w:right w:val="none" w:color="auto" w:sz="0" w:space="0"/>
        <w:between w:val="none" w:color="auto" w:sz="0" w:space="0"/>
      </w:pBdr>
      <w:spacing w:line="360" w:lineRule="auto"/>
    </w:pPr>
    <w:rPr>
      <w:rFonts w:eastAsia="宋体" w:cs="Times New Roman"/>
      <w:kern w:val="2"/>
    </w:rPr>
  </w:style>
  <w:style w:type="paragraph" w:customStyle="1" w:styleId="105">
    <w:name w:val="xl78"/>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06">
    <w:name w:val="xl79"/>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07">
    <w:name w:val="xl100"/>
    <w:basedOn w:val="1"/>
    <w:qFormat/>
    <w:uiPriority w:val="0"/>
    <w:pPr>
      <w:widowControl/>
      <w:pBdr>
        <w:top w:val="single" w:color="auto" w:sz="4" w:space="0"/>
        <w:left w:val="single" w:color="auto" w:sz="4" w:space="0"/>
        <w:bottom w:val="single" w:color="auto" w:sz="8"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08">
    <w:name w:val="xl80"/>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09">
    <w:name w:val="xl99"/>
    <w:basedOn w:val="1"/>
    <w:qFormat/>
    <w:uiPriority w:val="0"/>
    <w:pPr>
      <w:widowControl/>
      <w:pBdr>
        <w:top w:val="single" w:color="auto" w:sz="4" w:space="0"/>
        <w:left w:val="single" w:color="auto" w:sz="4" w:space="0"/>
        <w:bottom w:val="single" w:color="auto" w:sz="8"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0">
    <w:name w:val="xl81"/>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sz w:val="22"/>
    </w:rPr>
  </w:style>
  <w:style w:type="paragraph" w:customStyle="1" w:styleId="111">
    <w:name w:val="xl82"/>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2">
    <w:name w:val="xl83"/>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3">
    <w:name w:val="xl84"/>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4">
    <w:name w:val="xl87"/>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15">
    <w:name w:val="xl88"/>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16">
    <w:name w:val="xl89"/>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7">
    <w:name w:val="xl90"/>
    <w:basedOn w:val="1"/>
    <w:qFormat/>
    <w:uiPriority w:val="0"/>
    <w:pPr>
      <w:widowControl/>
      <w:pBdr>
        <w:top w:val="single" w:color="auto" w:sz="4" w:space="0"/>
        <w:left w:val="single" w:color="auto" w:sz="4" w:space="0"/>
        <w:bottom w:val="single" w:color="auto" w:sz="8"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18">
    <w:name w:val="xl91"/>
    <w:basedOn w:val="1"/>
    <w:qFormat/>
    <w:uiPriority w:val="0"/>
    <w:pPr>
      <w:widowControl/>
      <w:pBdr>
        <w:top w:val="single" w:color="auto" w:sz="4" w:space="0"/>
        <w:left w:val="single" w:color="auto" w:sz="4" w:space="0"/>
        <w:bottom w:val="single" w:color="auto" w:sz="4" w:space="0"/>
        <w:right w:val="none" w:color="auto" w:sz="0" w:space="0"/>
        <w:between w:val="none" w:color="auto" w:sz="0" w:space="0"/>
      </w:pBdr>
      <w:spacing w:before="100" w:beforeAutospacing="1" w:after="100" w:afterAutospacing="1"/>
      <w:jc w:val="left"/>
    </w:pPr>
    <w:rPr>
      <w:rFonts w:ascii="宋体" w:hAnsi="宋体" w:eastAsia="宋体" w:cs="宋体"/>
      <w:szCs w:val="24"/>
    </w:rPr>
  </w:style>
  <w:style w:type="paragraph" w:customStyle="1" w:styleId="119">
    <w:name w:val="xl97"/>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20">
    <w:name w:val="xl133"/>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21">
    <w:name w:val="xl101"/>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22">
    <w:name w:val="无间隔1"/>
    <w:next w:val="90"/>
    <w:qFormat/>
    <w:uiPriority w:val="1"/>
    <w:pPr>
      <w:pBdr>
        <w:top w:val="none" w:color="000000" w:sz="0" w:space="0"/>
        <w:left w:val="none" w:color="000000" w:sz="0" w:space="0"/>
        <w:bottom w:val="none" w:color="000000" w:sz="0" w:space="0"/>
        <w:right w:val="none" w:color="000000" w:sz="0" w:space="0"/>
        <w:between w:val="none" w:color="000000" w:sz="0" w:space="0"/>
      </w:pBdr>
    </w:pPr>
    <w:rPr>
      <w:rFonts w:ascii="Calibri" w:hAnsi="Calibri" w:eastAsia="宋体" w:cs="Calibri"/>
      <w:sz w:val="21"/>
      <w:szCs w:val="22"/>
      <w:lang w:val="en-US" w:eastAsia="zh-CN" w:bidi="ar-SA"/>
    </w:rPr>
  </w:style>
  <w:style w:type="paragraph" w:customStyle="1" w:styleId="123">
    <w:name w:val="xl102"/>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24">
    <w:name w:val="xl103"/>
    <w:basedOn w:val="1"/>
    <w:qFormat/>
    <w:uiPriority w:val="0"/>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jc w:val="left"/>
    </w:pPr>
    <w:rPr>
      <w:rFonts w:ascii="宋体" w:hAnsi="宋体" w:eastAsia="宋体" w:cs="宋体"/>
      <w:b/>
      <w:bCs/>
      <w:szCs w:val="24"/>
    </w:rPr>
  </w:style>
  <w:style w:type="paragraph" w:customStyle="1" w:styleId="125">
    <w:name w:val="xl104"/>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26">
    <w:name w:val="xl105"/>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27">
    <w:name w:val="xl106"/>
    <w:basedOn w:val="1"/>
    <w:qFormat/>
    <w:uiPriority w:val="0"/>
    <w:pPr>
      <w:widowControl/>
      <w:pBdr>
        <w:top w:val="single" w:color="auto" w:sz="4" w:space="0"/>
        <w:left w:val="none" w:color="auto" w:sz="0" w:space="0"/>
        <w:bottom w:val="single" w:color="auto" w:sz="8" w:space="0"/>
        <w:right w:val="single" w:color="auto" w:sz="4" w:space="0"/>
        <w:between w:val="none" w:color="auto" w:sz="0" w:space="0"/>
      </w:pBdr>
      <w:spacing w:before="100" w:beforeAutospacing="1" w:after="100" w:afterAutospacing="1"/>
      <w:jc w:val="center"/>
    </w:pPr>
    <w:rPr>
      <w:rFonts w:ascii="宋体" w:hAnsi="宋体" w:eastAsia="宋体" w:cs="宋体"/>
      <w:color w:val="000000"/>
      <w:sz w:val="22"/>
    </w:rPr>
  </w:style>
  <w:style w:type="paragraph" w:customStyle="1" w:styleId="128">
    <w:name w:val="xl107"/>
    <w:basedOn w:val="1"/>
    <w:qFormat/>
    <w:uiPriority w:val="0"/>
    <w:pPr>
      <w:widowControl/>
      <w:pBdr>
        <w:top w:val="single" w:color="auto" w:sz="4" w:space="0"/>
        <w:left w:val="single" w:color="auto" w:sz="4" w:space="0"/>
        <w:bottom w:val="single" w:color="auto" w:sz="8" w:space="0"/>
        <w:right w:val="single" w:color="auto" w:sz="4" w:space="0"/>
        <w:between w:val="none" w:color="auto" w:sz="0" w:space="0"/>
      </w:pBdr>
      <w:spacing w:before="100" w:beforeAutospacing="1" w:after="100" w:afterAutospacing="1"/>
      <w:jc w:val="center"/>
    </w:pPr>
    <w:rPr>
      <w:rFonts w:ascii="宋体" w:hAnsi="宋体" w:eastAsia="宋体" w:cs="宋体"/>
      <w:sz w:val="22"/>
    </w:rPr>
  </w:style>
  <w:style w:type="paragraph" w:customStyle="1" w:styleId="129">
    <w:name w:val="xl108"/>
    <w:basedOn w:val="1"/>
    <w:qFormat/>
    <w:uiPriority w:val="0"/>
    <w:pPr>
      <w:widowControl/>
      <w:pBdr>
        <w:top w:val="single" w:color="auto" w:sz="4" w:space="0"/>
        <w:left w:val="single" w:color="auto" w:sz="4" w:space="0"/>
        <w:bottom w:val="single" w:color="auto" w:sz="4" w:space="0"/>
        <w:right w:val="none" w:color="auto" w:sz="0" w:space="0"/>
        <w:between w:val="none" w:color="auto" w:sz="0" w:space="0"/>
      </w:pBdr>
      <w:spacing w:before="100" w:beforeAutospacing="1" w:after="100" w:afterAutospacing="1"/>
      <w:jc w:val="left"/>
    </w:pPr>
    <w:rPr>
      <w:rFonts w:ascii="宋体" w:hAnsi="宋体" w:eastAsia="宋体" w:cs="宋体"/>
      <w:b/>
      <w:bCs/>
      <w:szCs w:val="24"/>
    </w:rPr>
  </w:style>
  <w:style w:type="paragraph" w:customStyle="1" w:styleId="130">
    <w:name w:val="xl109"/>
    <w:basedOn w:val="1"/>
    <w:qFormat/>
    <w:uiPriority w:val="0"/>
    <w:pPr>
      <w:widowControl/>
      <w:pBdr>
        <w:top w:val="single" w:color="auto" w:sz="4" w:space="0"/>
        <w:left w:val="single" w:color="auto" w:sz="4" w:space="0"/>
        <w:bottom w:val="single" w:color="auto" w:sz="8" w:space="0"/>
        <w:right w:val="single" w:color="auto" w:sz="4" w:space="0"/>
        <w:between w:val="none" w:color="auto" w:sz="0" w:space="0"/>
      </w:pBdr>
      <w:spacing w:before="100" w:beforeAutospacing="1" w:after="100" w:afterAutospacing="1"/>
      <w:jc w:val="left"/>
    </w:pPr>
    <w:rPr>
      <w:rFonts w:ascii="宋体" w:hAnsi="宋体" w:eastAsia="宋体" w:cs="宋体"/>
      <w:sz w:val="22"/>
    </w:rPr>
  </w:style>
  <w:style w:type="paragraph" w:customStyle="1" w:styleId="131">
    <w:name w:val="xl110"/>
    <w:basedOn w:val="1"/>
    <w:qFormat/>
    <w:uiPriority w:val="0"/>
    <w:pPr>
      <w:widowControl/>
      <w:pBdr>
        <w:top w:val="single" w:color="auto" w:sz="4" w:space="0"/>
        <w:left w:val="single" w:color="auto" w:sz="4" w:space="0"/>
        <w:bottom w:val="single" w:color="auto" w:sz="4" w:space="0"/>
        <w:right w:val="none" w:color="auto" w:sz="0" w:space="0"/>
        <w:between w:val="none" w:color="auto" w:sz="0" w:space="0"/>
      </w:pBdr>
      <w:spacing w:before="100" w:beforeAutospacing="1" w:after="100" w:afterAutospacing="1"/>
      <w:jc w:val="center"/>
    </w:pPr>
    <w:rPr>
      <w:rFonts w:ascii="宋体" w:hAnsi="宋体" w:eastAsia="宋体" w:cs="宋体"/>
      <w:szCs w:val="24"/>
    </w:rPr>
  </w:style>
  <w:style w:type="paragraph" w:customStyle="1" w:styleId="132">
    <w:name w:val="xl111"/>
    <w:basedOn w:val="1"/>
    <w:qFormat/>
    <w:uiPriority w:val="0"/>
    <w:pPr>
      <w:widowControl/>
      <w:pBdr>
        <w:top w:val="single" w:color="auto" w:sz="8"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33">
    <w:name w:val="xl112"/>
    <w:basedOn w:val="1"/>
    <w:qFormat/>
    <w:uiPriority w:val="0"/>
    <w:pPr>
      <w:widowControl/>
      <w:pBdr>
        <w:top w:val="single" w:color="auto" w:sz="8" w:space="0"/>
        <w:left w:val="single" w:color="auto" w:sz="4" w:space="0"/>
        <w:bottom w:val="single" w:color="auto" w:sz="4" w:space="0"/>
        <w:right w:val="none" w:color="auto" w:sz="0"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34">
    <w:name w:val="xl114"/>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35">
    <w:name w:val="xl117"/>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36">
    <w:name w:val="xl118"/>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color w:val="000000"/>
      <w:sz w:val="22"/>
    </w:rPr>
  </w:style>
  <w:style w:type="paragraph" w:customStyle="1" w:styleId="137">
    <w:name w:val="xl119"/>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color w:val="000000"/>
      <w:sz w:val="22"/>
    </w:rPr>
  </w:style>
  <w:style w:type="paragraph" w:customStyle="1" w:styleId="138">
    <w:name w:val="xl120"/>
    <w:basedOn w:val="1"/>
    <w:qFormat/>
    <w:uiPriority w:val="0"/>
    <w:pPr>
      <w:widowControl/>
      <w:pBdr>
        <w:top w:val="single" w:color="auto" w:sz="8"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39">
    <w:name w:val="xl121"/>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0">
    <w:name w:val="xl122"/>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1">
    <w:name w:val="xl123"/>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2">
    <w:name w:val="xl124"/>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3">
    <w:name w:val="xl125"/>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44">
    <w:name w:val="xl126"/>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45">
    <w:name w:val="xl127"/>
    <w:basedOn w:val="1"/>
    <w:qFormat/>
    <w:uiPriority w:val="0"/>
    <w:pPr>
      <w:widowControl/>
      <w:pBdr>
        <w:top w:val="none" w:color="auto" w:sz="0" w:space="0"/>
        <w:left w:val="none" w:color="auto" w:sz="0" w:space="0"/>
        <w:bottom w:val="single" w:color="auto" w:sz="8" w:space="0"/>
        <w:right w:val="none" w:color="auto" w:sz="0" w:space="0"/>
        <w:between w:val="none" w:color="auto" w:sz="0" w:space="0"/>
      </w:pBdr>
      <w:spacing w:before="100" w:beforeAutospacing="1" w:after="100" w:afterAutospacing="1"/>
      <w:jc w:val="center"/>
    </w:pPr>
    <w:rPr>
      <w:rFonts w:ascii="方正小标宋简体" w:hAnsi="宋体" w:eastAsia="方正小标宋简体" w:cs="宋体"/>
      <w:b/>
      <w:bCs/>
      <w:sz w:val="32"/>
      <w:szCs w:val="32"/>
    </w:rPr>
  </w:style>
  <w:style w:type="paragraph" w:customStyle="1" w:styleId="146">
    <w:name w:val="xl128"/>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7">
    <w:name w:val="xl129"/>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sz w:val="22"/>
    </w:rPr>
  </w:style>
  <w:style w:type="paragraph" w:customStyle="1" w:styleId="148">
    <w:name w:val="xl130"/>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color w:val="000000"/>
      <w:sz w:val="22"/>
    </w:rPr>
  </w:style>
  <w:style w:type="paragraph" w:customStyle="1" w:styleId="149">
    <w:name w:val="xl131"/>
    <w:basedOn w:val="1"/>
    <w:qFormat/>
    <w:uiPriority w:val="0"/>
    <w:pPr>
      <w:widowControl/>
      <w:pBdr>
        <w:top w:val="single" w:color="auto" w:sz="4" w:space="0"/>
        <w:left w:val="single" w:color="auto" w:sz="4" w:space="0"/>
        <w:bottom w:val="single" w:color="auto" w:sz="4" w:space="0"/>
        <w:right w:val="single" w:color="auto" w:sz="4" w:space="0"/>
        <w:between w:val="none" w:color="auto" w:sz="0" w:space="0"/>
      </w:pBdr>
      <w:spacing w:before="100" w:beforeAutospacing="1" w:after="100" w:afterAutospacing="1"/>
      <w:jc w:val="left"/>
    </w:pPr>
    <w:rPr>
      <w:rFonts w:ascii="宋体" w:hAnsi="宋体" w:eastAsia="宋体" w:cs="宋体"/>
      <w:b/>
      <w:bCs/>
      <w:color w:val="000000"/>
      <w:sz w:val="22"/>
    </w:rPr>
  </w:style>
  <w:style w:type="paragraph" w:customStyle="1" w:styleId="150">
    <w:name w:val="xl132"/>
    <w:basedOn w:val="1"/>
    <w:qFormat/>
    <w:uiPriority w:val="0"/>
    <w:pPr>
      <w:widowControl/>
      <w:pBdr>
        <w:top w:val="single" w:color="auto" w:sz="4" w:space="0"/>
        <w:left w:val="none" w:color="auto" w:sz="0" w:space="0"/>
        <w:bottom w:val="single" w:color="auto" w:sz="4" w:space="0"/>
        <w:right w:val="single" w:color="auto" w:sz="4" w:space="0"/>
        <w:between w:val="none" w:color="auto" w:sz="0" w:space="0"/>
      </w:pBdr>
      <w:spacing w:before="100" w:beforeAutospacing="1" w:after="100" w:afterAutospacing="1"/>
      <w:jc w:val="center"/>
    </w:pPr>
    <w:rPr>
      <w:rFonts w:ascii="宋体" w:hAnsi="宋体" w:eastAsia="宋体" w:cs="宋体"/>
      <w:b/>
      <w:bCs/>
      <w:sz w:val="22"/>
    </w:rPr>
  </w:style>
  <w:style w:type="paragraph" w:customStyle="1" w:styleId="151">
    <w:name w:val="修订2"/>
    <w:unhideWhenUsed/>
    <w:qFormat/>
    <w:uiPriority w:val="99"/>
    <w:rPr>
      <w:rFonts w:ascii="Calibri" w:hAnsi="Calibri" w:eastAsia="宋体" w:cs="Calibri"/>
      <w:sz w:val="21"/>
      <w:szCs w:val="22"/>
      <w:lang w:val="en-US" w:eastAsia="zh-CN" w:bidi="ar-SA"/>
    </w:rPr>
  </w:style>
  <w:style w:type="paragraph" w:customStyle="1" w:styleId="152">
    <w:name w:val="修订3"/>
    <w:unhideWhenUsed/>
    <w:qFormat/>
    <w:uiPriority w:val="99"/>
    <w:rPr>
      <w:rFonts w:ascii="Calibri" w:hAnsi="Calibri" w:eastAsia="宋体" w:cs="Calibri"/>
      <w:sz w:val="21"/>
      <w:szCs w:val="22"/>
      <w:lang w:val="en-US" w:eastAsia="zh-CN" w:bidi="ar-SA"/>
    </w:rPr>
  </w:style>
  <w:style w:type="paragraph" w:customStyle="1" w:styleId="153">
    <w:name w:val="Defaul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paragraph" w:customStyle="1" w:styleId="154">
    <w:name w:val="TOC Heading"/>
    <w:basedOn w:val="3"/>
    <w:next w:val="1"/>
    <w:unhideWhenUsed/>
    <w:qFormat/>
    <w:uiPriority w:val="39"/>
    <w:pPr>
      <w:keepNext/>
      <w:keepLines/>
      <w:widowControl/>
      <w:overflowPunct/>
      <w:spacing w:before="480" w:line="276" w:lineRule="auto"/>
      <w:ind w:firstLine="0" w:firstLineChars="0"/>
      <w:jc w:val="left"/>
      <w:outlineLvl w:val="9"/>
    </w:pPr>
    <w:rPr>
      <w:rFonts w:ascii="Cambria" w:hAnsi="Cambria" w:eastAsia="黑体" w:cs="Times New Roman"/>
      <w:b/>
      <w:bCs/>
      <w:color w:val="366091"/>
      <w:kern w:val="0"/>
      <w:sz w:val="28"/>
      <w:szCs w:val="28"/>
    </w:rPr>
  </w:style>
  <w:style w:type="paragraph" w:customStyle="1" w:styleId="155">
    <w:name w:val="Revision"/>
    <w:semiHidden/>
    <w:uiPriority w:val="99"/>
    <w:rPr>
      <w:rFonts w:ascii="Calibri" w:hAnsi="Calibri" w:eastAsia="宋体" w:cs="Calibri"/>
      <w:sz w:val="21"/>
      <w:szCs w:val="22"/>
      <w:lang w:val="en-US" w:eastAsia="zh-CN" w:bidi="ar-SA"/>
    </w:rPr>
  </w:style>
  <w:style w:type="table" w:customStyle="1" w:styleId="156">
    <w:name w:val="Lined"/>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7F7F7F"/>
      </w:tcPr>
    </w:tblStylePr>
    <w:tblStylePr w:type="lastRow">
      <w:rPr>
        <w:rFonts w:ascii="Arial" w:hAnsi="Arial"/>
        <w:color w:val="F2F2F2"/>
        <w:sz w:val="22"/>
      </w:rPr>
      <w:tblPr>
        <w:tblStyle w:val="31"/>
      </w:tblPr>
      <w:tcPr>
        <w:shd w:val="clear" w:color="auto" w:fill="7F7F7F"/>
      </w:tcPr>
    </w:tblStylePr>
    <w:tblStylePr w:type="firstCol">
      <w:rPr>
        <w:rFonts w:ascii="Arial" w:hAnsi="Arial"/>
        <w:color w:val="F2F2F2"/>
        <w:sz w:val="22"/>
      </w:rPr>
      <w:tblPr>
        <w:tblStyle w:val="31"/>
      </w:tblPr>
      <w:tcPr>
        <w:shd w:val="clear" w:color="auto" w:fill="7F7F7F"/>
      </w:tcPr>
    </w:tblStylePr>
    <w:tblStylePr w:type="lastCol">
      <w:rPr>
        <w:rFonts w:ascii="Arial" w:hAnsi="Arial"/>
        <w:color w:val="F2F2F2"/>
        <w:sz w:val="22"/>
      </w:rPr>
      <w:tblPr>
        <w:tblStyle w:val="31"/>
      </w:tblPr>
      <w:tcPr>
        <w:shd w:val="clear" w:color="auto" w:fill="7F7F7F"/>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F2F2"/>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F2F2"/>
      </w:tcPr>
    </w:tblStylePr>
  </w:style>
  <w:style w:type="table" w:customStyle="1" w:styleId="157">
    <w:name w:val="Lined - Accent 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548DD4"/>
      </w:tcPr>
    </w:tblStylePr>
    <w:tblStylePr w:type="lastRow">
      <w:rPr>
        <w:rFonts w:ascii="Arial" w:hAnsi="Arial"/>
        <w:color w:val="F2F2F2"/>
        <w:sz w:val="22"/>
      </w:rPr>
      <w:tblPr>
        <w:tblStyle w:val="31"/>
      </w:tblPr>
      <w:tcPr>
        <w:shd w:val="clear" w:color="auto" w:fill="548DD4"/>
      </w:tcPr>
    </w:tblStylePr>
    <w:tblStylePr w:type="firstCol">
      <w:rPr>
        <w:rFonts w:ascii="Arial" w:hAnsi="Arial"/>
        <w:color w:val="F2F2F2"/>
        <w:sz w:val="22"/>
      </w:rPr>
      <w:tblPr>
        <w:tblStyle w:val="31"/>
      </w:tblPr>
      <w:tcPr>
        <w:shd w:val="clear" w:color="auto" w:fill="548DD4"/>
      </w:tcPr>
    </w:tblStylePr>
    <w:tblStylePr w:type="lastCol">
      <w:rPr>
        <w:rFonts w:ascii="Arial" w:hAnsi="Arial"/>
        <w:color w:val="F2F2F2"/>
        <w:sz w:val="22"/>
      </w:rPr>
      <w:tblPr>
        <w:tblStyle w:val="31"/>
      </w:tblPr>
      <w:tcPr>
        <w:shd w:val="clear" w:color="auto" w:fill="548DD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C6D9F1"/>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C6D9F1"/>
      </w:tcPr>
    </w:tblStylePr>
  </w:style>
  <w:style w:type="table" w:customStyle="1" w:styleId="158">
    <w:name w:val="Lined - Accent 2"/>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D99594"/>
      </w:tcPr>
    </w:tblStylePr>
    <w:tblStylePr w:type="lastRow">
      <w:rPr>
        <w:rFonts w:ascii="Arial" w:hAnsi="Arial"/>
        <w:color w:val="F2F2F2"/>
        <w:sz w:val="22"/>
      </w:rPr>
      <w:tblPr>
        <w:tblStyle w:val="31"/>
      </w:tblPr>
      <w:tcPr>
        <w:shd w:val="clear" w:color="auto" w:fill="D99594"/>
      </w:tcPr>
    </w:tblStylePr>
    <w:tblStylePr w:type="firstCol">
      <w:rPr>
        <w:rFonts w:ascii="Arial" w:hAnsi="Arial"/>
        <w:color w:val="F2F2F2"/>
        <w:sz w:val="22"/>
      </w:rPr>
      <w:tblPr>
        <w:tblStyle w:val="31"/>
      </w:tblPr>
      <w:tcPr>
        <w:shd w:val="clear" w:color="auto" w:fill="D99594"/>
      </w:tcPr>
    </w:tblStylePr>
    <w:tblStylePr w:type="lastCol">
      <w:rPr>
        <w:rFonts w:ascii="Arial" w:hAnsi="Arial"/>
        <w:color w:val="F2F2F2"/>
        <w:sz w:val="22"/>
      </w:rPr>
      <w:tblPr>
        <w:tblStyle w:val="31"/>
      </w:tblPr>
      <w:tcPr>
        <w:shd w:val="clear" w:color="auto" w:fill="D9959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DBDB"/>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DBDB"/>
      </w:tcPr>
    </w:tblStylePr>
  </w:style>
  <w:style w:type="table" w:customStyle="1" w:styleId="159">
    <w:name w:val="Lined - Accent 3"/>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9BB559"/>
      </w:tcPr>
    </w:tblStylePr>
    <w:tblStylePr w:type="lastRow">
      <w:rPr>
        <w:rFonts w:ascii="Arial" w:hAnsi="Arial"/>
        <w:color w:val="F2F2F2"/>
        <w:sz w:val="22"/>
      </w:rPr>
      <w:tblPr>
        <w:tblStyle w:val="31"/>
      </w:tblPr>
      <w:tcPr>
        <w:shd w:val="clear" w:color="auto" w:fill="9BB559"/>
      </w:tcPr>
    </w:tblStylePr>
    <w:tblStylePr w:type="firstCol">
      <w:rPr>
        <w:rFonts w:ascii="Arial" w:hAnsi="Arial"/>
        <w:color w:val="F2F2F2"/>
        <w:sz w:val="22"/>
      </w:rPr>
      <w:tblPr>
        <w:tblStyle w:val="31"/>
      </w:tblPr>
      <w:tcPr>
        <w:shd w:val="clear" w:color="auto" w:fill="9BB559"/>
      </w:tcPr>
    </w:tblStylePr>
    <w:tblStylePr w:type="lastCol">
      <w:rPr>
        <w:rFonts w:ascii="Arial" w:hAnsi="Arial"/>
        <w:color w:val="F2F2F2"/>
        <w:sz w:val="22"/>
      </w:rPr>
      <w:tblPr>
        <w:tblStyle w:val="31"/>
      </w:tblPr>
      <w:tcPr>
        <w:shd w:val="clear" w:color="auto" w:fill="9BB559"/>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AF1DD"/>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AF1DD"/>
      </w:tcPr>
    </w:tblStylePr>
  </w:style>
  <w:style w:type="table" w:customStyle="1" w:styleId="160">
    <w:name w:val="Lined - Accent 4"/>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B2A1C7"/>
      </w:tcPr>
    </w:tblStylePr>
    <w:tblStylePr w:type="lastRow">
      <w:rPr>
        <w:rFonts w:ascii="Arial" w:hAnsi="Arial"/>
        <w:color w:val="F2F2F2"/>
        <w:sz w:val="22"/>
      </w:rPr>
      <w:tblPr>
        <w:tblStyle w:val="31"/>
      </w:tblPr>
      <w:tcPr>
        <w:shd w:val="clear" w:color="auto" w:fill="B2A1C7"/>
      </w:tcPr>
    </w:tblStylePr>
    <w:tblStylePr w:type="firstCol">
      <w:rPr>
        <w:rFonts w:ascii="Arial" w:hAnsi="Arial"/>
        <w:color w:val="F2F2F2"/>
        <w:sz w:val="22"/>
      </w:rPr>
      <w:tblPr>
        <w:tblStyle w:val="31"/>
      </w:tblPr>
      <w:tcPr>
        <w:shd w:val="clear" w:color="auto" w:fill="B2A1C7"/>
      </w:tcPr>
    </w:tblStylePr>
    <w:tblStylePr w:type="lastCol">
      <w:rPr>
        <w:rFonts w:ascii="Arial" w:hAnsi="Arial"/>
        <w:color w:val="F2F2F2"/>
        <w:sz w:val="22"/>
      </w:rPr>
      <w:tblPr>
        <w:tblStyle w:val="31"/>
      </w:tblPr>
      <w:tcPr>
        <w:shd w:val="clear" w:color="auto" w:fill="B2A1C7"/>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5DFEC"/>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5DFEC"/>
      </w:tcPr>
    </w:tblStylePr>
  </w:style>
  <w:style w:type="table" w:customStyle="1" w:styleId="161">
    <w:name w:val="Lined - Accent 5"/>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4BACC6"/>
      </w:tcPr>
    </w:tblStylePr>
    <w:tblStylePr w:type="lastRow">
      <w:rPr>
        <w:rFonts w:ascii="Arial" w:hAnsi="Arial"/>
        <w:color w:val="F2F2F2"/>
        <w:sz w:val="22"/>
      </w:rPr>
      <w:tblPr>
        <w:tblStyle w:val="31"/>
      </w:tblPr>
      <w:tcPr>
        <w:shd w:val="clear" w:color="auto" w:fill="4BACC6"/>
      </w:tcPr>
    </w:tblStylePr>
    <w:tblStylePr w:type="firstCol">
      <w:rPr>
        <w:rFonts w:ascii="Arial" w:hAnsi="Arial"/>
        <w:color w:val="F2F2F2"/>
        <w:sz w:val="22"/>
      </w:rPr>
      <w:tblPr>
        <w:tblStyle w:val="31"/>
      </w:tblPr>
      <w:tcPr>
        <w:shd w:val="clear" w:color="auto" w:fill="4BACC6"/>
      </w:tcPr>
    </w:tblStylePr>
    <w:tblStylePr w:type="lastCol">
      <w:rPr>
        <w:rFonts w:ascii="Arial" w:hAnsi="Arial"/>
        <w:color w:val="F2F2F2"/>
        <w:sz w:val="22"/>
      </w:rPr>
      <w:tblPr>
        <w:tblStyle w:val="31"/>
      </w:tblPr>
      <w:tcPr>
        <w:shd w:val="clear" w:color="auto" w:fill="4BACC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AEEF3"/>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DAEEF3"/>
      </w:tcPr>
    </w:tblStylePr>
  </w:style>
  <w:style w:type="table" w:customStyle="1" w:styleId="162">
    <w:name w:val="Lined - Accent 6"/>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F79646"/>
      </w:tcPr>
    </w:tblStylePr>
    <w:tblStylePr w:type="lastRow">
      <w:rPr>
        <w:rFonts w:ascii="Arial" w:hAnsi="Arial"/>
        <w:color w:val="F2F2F2"/>
        <w:sz w:val="22"/>
      </w:rPr>
      <w:tblPr>
        <w:tblStyle w:val="31"/>
      </w:tblPr>
      <w:tcPr>
        <w:shd w:val="clear" w:color="auto" w:fill="F79646"/>
      </w:tcPr>
    </w:tblStylePr>
    <w:tblStylePr w:type="firstCol">
      <w:rPr>
        <w:rFonts w:ascii="Arial" w:hAnsi="Arial"/>
        <w:color w:val="F2F2F2"/>
        <w:sz w:val="22"/>
      </w:rPr>
      <w:tblPr>
        <w:tblStyle w:val="31"/>
      </w:tblPr>
      <w:tcPr>
        <w:shd w:val="clear" w:color="auto" w:fill="F79646"/>
      </w:tcPr>
    </w:tblStylePr>
    <w:tblStylePr w:type="lastCol">
      <w:rPr>
        <w:rFonts w:ascii="Arial" w:hAnsi="Arial"/>
        <w:color w:val="F2F2F2"/>
        <w:sz w:val="22"/>
      </w:rPr>
      <w:tblPr>
        <w:tblStyle w:val="31"/>
      </w:tblPr>
      <w:tcPr>
        <w:shd w:val="clear" w:color="auto" w:fill="F7964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DE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DE9D9"/>
      </w:tcPr>
    </w:tblStylePr>
  </w:style>
  <w:style w:type="table" w:customStyle="1" w:styleId="163">
    <w:name w:val="Bordered"/>
    <w:basedOn w:val="31"/>
    <w:qFormat/>
    <w:uiPriority w:val="99"/>
    <w:tblPr>
      <w:tblStyle w:val="3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7F7F7F"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7F7F7F"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7F7F7F"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7F7F7F"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D9D9D9" w:sz="4" w:space="0"/>
          <w:left w:val="single" w:color="D9D9D9" w:sz="4" w:space="0"/>
          <w:bottom w:val="single" w:color="D9D9D9" w:sz="4" w:space="0"/>
          <w:right w:val="single" w:color="D9D9D9" w:sz="4" w:space="0"/>
          <w:insideH w:val="nil"/>
          <w:insideV w:val="nil"/>
          <w:tl2br w:val="nil"/>
          <w:tr2bl w:val="nil"/>
        </w:tcBorders>
      </w:tcPr>
    </w:tblStylePr>
  </w:style>
  <w:style w:type="table" w:customStyle="1" w:styleId="164">
    <w:name w:val="Bordered - Accent 1"/>
    <w:basedOn w:val="31"/>
    <w:qFormat/>
    <w:uiPriority w:val="99"/>
    <w:tblPr>
      <w:tblStyle w:val="3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4F81BD"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4F81BD"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4F81BD"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4F81BD"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B8CCE4" w:sz="4" w:space="0"/>
          <w:left w:val="single" w:color="B8CCE4" w:sz="4" w:space="0"/>
          <w:bottom w:val="single" w:color="B8CCE4" w:sz="4" w:space="0"/>
          <w:right w:val="single" w:color="B8CCE4" w:sz="4" w:space="0"/>
          <w:insideH w:val="nil"/>
          <w:insideV w:val="nil"/>
          <w:tl2br w:val="nil"/>
          <w:tr2bl w:val="nil"/>
        </w:tcBorders>
      </w:tcPr>
    </w:tblStylePr>
  </w:style>
  <w:style w:type="table" w:customStyle="1" w:styleId="165">
    <w:name w:val="Bordered - Accent 2"/>
    <w:basedOn w:val="31"/>
    <w:qFormat/>
    <w:uiPriority w:val="99"/>
    <w:tblPr>
      <w:tblStyle w:val="3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D99594"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D99594"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D99594"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D99594"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style>
  <w:style w:type="table" w:customStyle="1" w:styleId="166">
    <w:name w:val="Bordered - Accent 3"/>
    <w:basedOn w:val="31"/>
    <w:qFormat/>
    <w:uiPriority w:val="99"/>
    <w:tblPr>
      <w:tblStyle w:val="3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C2D69B"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C2D69B"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C2D69B"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C2D69B"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D6E3BC" w:sz="4" w:space="0"/>
          <w:left w:val="single" w:color="D6E3BC" w:sz="4" w:space="0"/>
          <w:bottom w:val="single" w:color="D6E3BC" w:sz="4" w:space="0"/>
          <w:right w:val="single" w:color="D6E3BC" w:sz="4" w:space="0"/>
          <w:insideH w:val="nil"/>
          <w:insideV w:val="nil"/>
          <w:tl2br w:val="nil"/>
          <w:tr2bl w:val="nil"/>
        </w:tcBorders>
      </w:tcPr>
    </w:tblStylePr>
  </w:style>
  <w:style w:type="table" w:customStyle="1" w:styleId="167">
    <w:name w:val="Bordered - Accent 4"/>
    <w:basedOn w:val="31"/>
    <w:qFormat/>
    <w:uiPriority w:val="99"/>
    <w:tblPr>
      <w:tblStyle w:val="3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B2A1C7"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B2A1C7"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B2A1C7"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B2A1C7"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CCC0D9" w:sz="4" w:space="0"/>
          <w:left w:val="single" w:color="CCC0D9" w:sz="4" w:space="0"/>
          <w:bottom w:val="single" w:color="CCC0D9" w:sz="4" w:space="0"/>
          <w:right w:val="single" w:color="CCC0D9" w:sz="4" w:space="0"/>
          <w:insideH w:val="nil"/>
          <w:insideV w:val="nil"/>
          <w:tl2br w:val="nil"/>
          <w:tr2bl w:val="nil"/>
        </w:tcBorders>
      </w:tcPr>
    </w:tblStylePr>
  </w:style>
  <w:style w:type="table" w:customStyle="1" w:styleId="168">
    <w:name w:val="Bordered - Accent 5"/>
    <w:basedOn w:val="31"/>
    <w:qFormat/>
    <w:uiPriority w:val="99"/>
    <w:tblPr>
      <w:tblStyle w:val="3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92CDDC"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92CDDC"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92CDDC"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92CDDC"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B6DDE8" w:sz="4" w:space="0"/>
          <w:left w:val="single" w:color="B6DDE8" w:sz="4" w:space="0"/>
          <w:bottom w:val="single" w:color="B6DDE8" w:sz="4" w:space="0"/>
          <w:right w:val="single" w:color="B6DDE8" w:sz="4" w:space="0"/>
          <w:insideH w:val="nil"/>
          <w:insideV w:val="nil"/>
          <w:tl2br w:val="nil"/>
          <w:tr2bl w:val="nil"/>
        </w:tcBorders>
      </w:tcPr>
    </w:tblStylePr>
  </w:style>
  <w:style w:type="table" w:customStyle="1" w:styleId="169">
    <w:name w:val="Bordered - Accent 6"/>
    <w:basedOn w:val="31"/>
    <w:qFormat/>
    <w:uiPriority w:val="99"/>
    <w:tblPr>
      <w:tblStyle w:val="3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FABF8F"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FABF8F"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FABF8F"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FABF8F"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style>
  <w:style w:type="table" w:customStyle="1" w:styleId="170">
    <w:name w:val="Bordered &amp; Lined"/>
    <w:basedOn w:val="31"/>
    <w:qFormat/>
    <w:uiPriority w:val="99"/>
    <w:rPr>
      <w:color w:val="404040"/>
    </w:rPr>
    <w:tblPr>
      <w:tblStyle w:val="3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7F7F7F"/>
      </w:tcPr>
    </w:tblStylePr>
    <w:tblStylePr w:type="lastRow">
      <w:rPr>
        <w:rFonts w:ascii="Arial" w:hAnsi="Arial"/>
        <w:color w:val="F2F2F2"/>
        <w:sz w:val="22"/>
      </w:rPr>
      <w:tblPr>
        <w:tblStyle w:val="31"/>
      </w:tblPr>
      <w:tcPr>
        <w:shd w:val="clear" w:color="auto" w:fill="7F7F7F"/>
      </w:tcPr>
    </w:tblStylePr>
    <w:tblStylePr w:type="firstCol">
      <w:rPr>
        <w:rFonts w:ascii="Arial" w:hAnsi="Arial"/>
        <w:color w:val="F2F2F2"/>
        <w:sz w:val="22"/>
      </w:rPr>
      <w:tblPr>
        <w:tblStyle w:val="31"/>
      </w:tblPr>
      <w:tcPr>
        <w:shd w:val="clear" w:color="auto" w:fill="7F7F7F"/>
      </w:tcPr>
    </w:tblStylePr>
    <w:tblStylePr w:type="lastCol">
      <w:rPr>
        <w:rFonts w:ascii="Arial" w:hAnsi="Arial"/>
        <w:color w:val="F2F2F2"/>
        <w:sz w:val="22"/>
      </w:rPr>
      <w:tblPr>
        <w:tblStyle w:val="31"/>
      </w:tblPr>
      <w:tcPr>
        <w:shd w:val="clear" w:color="auto" w:fill="7F7F7F"/>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9D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F2F2"/>
      </w:tcPr>
    </w:tblStylePr>
  </w:style>
  <w:style w:type="table" w:customStyle="1" w:styleId="171">
    <w:name w:val="Bordered &amp; Lined - Accent 1"/>
    <w:basedOn w:val="31"/>
    <w:qFormat/>
    <w:uiPriority w:val="99"/>
    <w:rPr>
      <w:color w:val="404040"/>
    </w:rPr>
    <w:tblPr>
      <w:tblStyle w:val="31"/>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548DD4"/>
      </w:tcPr>
    </w:tblStylePr>
    <w:tblStylePr w:type="lastRow">
      <w:rPr>
        <w:rFonts w:ascii="Arial" w:hAnsi="Arial"/>
        <w:color w:val="F2F2F2"/>
        <w:sz w:val="22"/>
      </w:rPr>
      <w:tblPr>
        <w:tblStyle w:val="31"/>
      </w:tblPr>
      <w:tcPr>
        <w:shd w:val="clear" w:color="auto" w:fill="548DD4"/>
      </w:tcPr>
    </w:tblStylePr>
    <w:tblStylePr w:type="firstCol">
      <w:rPr>
        <w:rFonts w:ascii="Arial" w:hAnsi="Arial"/>
        <w:color w:val="F2F2F2"/>
        <w:sz w:val="22"/>
      </w:rPr>
      <w:tblPr>
        <w:tblStyle w:val="31"/>
      </w:tblPr>
      <w:tcPr>
        <w:shd w:val="clear" w:color="auto" w:fill="548DD4"/>
      </w:tcPr>
    </w:tblStylePr>
    <w:tblStylePr w:type="lastCol">
      <w:rPr>
        <w:rFonts w:ascii="Arial" w:hAnsi="Arial"/>
        <w:color w:val="F2F2F2"/>
        <w:sz w:val="22"/>
      </w:rPr>
      <w:tblPr>
        <w:tblStyle w:val="31"/>
      </w:tblPr>
      <w:tcPr>
        <w:shd w:val="clear" w:color="auto" w:fill="548DD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C6D9F1"/>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C6D9F1"/>
      </w:tcPr>
    </w:tblStylePr>
  </w:style>
  <w:style w:type="table" w:customStyle="1" w:styleId="172">
    <w:name w:val="Bordered &amp; Lined - Accent 2"/>
    <w:basedOn w:val="31"/>
    <w:qFormat/>
    <w:uiPriority w:val="99"/>
    <w:rPr>
      <w:color w:val="404040"/>
    </w:rPr>
    <w:tblPr>
      <w:tblStyle w:val="31"/>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D99594"/>
      </w:tcPr>
    </w:tblStylePr>
    <w:tblStylePr w:type="lastRow">
      <w:rPr>
        <w:rFonts w:ascii="Arial" w:hAnsi="Arial"/>
        <w:color w:val="F2F2F2"/>
        <w:sz w:val="22"/>
      </w:rPr>
      <w:tblPr>
        <w:tblStyle w:val="31"/>
      </w:tblPr>
      <w:tcPr>
        <w:shd w:val="clear" w:color="auto" w:fill="D99594"/>
      </w:tcPr>
    </w:tblStylePr>
    <w:tblStylePr w:type="firstCol">
      <w:rPr>
        <w:rFonts w:ascii="Arial" w:hAnsi="Arial"/>
        <w:color w:val="F2F2F2"/>
        <w:sz w:val="22"/>
      </w:rPr>
      <w:tblPr>
        <w:tblStyle w:val="31"/>
      </w:tblPr>
      <w:tcPr>
        <w:shd w:val="clear" w:color="auto" w:fill="D99594"/>
      </w:tcPr>
    </w:tblStylePr>
    <w:tblStylePr w:type="lastCol">
      <w:rPr>
        <w:rFonts w:ascii="Arial" w:hAnsi="Arial"/>
        <w:color w:val="F2F2F2"/>
        <w:sz w:val="22"/>
      </w:rPr>
      <w:tblPr>
        <w:tblStyle w:val="31"/>
      </w:tblPr>
      <w:tcPr>
        <w:shd w:val="clear" w:color="auto" w:fill="D9959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DBDB"/>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DBDB"/>
      </w:tcPr>
    </w:tblStylePr>
  </w:style>
  <w:style w:type="table" w:customStyle="1" w:styleId="173">
    <w:name w:val="Bordered &amp; Lined - Accent 3"/>
    <w:basedOn w:val="31"/>
    <w:qFormat/>
    <w:uiPriority w:val="99"/>
    <w:rPr>
      <w:color w:val="404040"/>
    </w:rPr>
    <w:tblPr>
      <w:tblStyle w:val="31"/>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9BBB59"/>
      </w:tcPr>
    </w:tblStylePr>
    <w:tblStylePr w:type="lastRow">
      <w:rPr>
        <w:rFonts w:ascii="Arial" w:hAnsi="Arial"/>
        <w:color w:val="F2F2F2"/>
        <w:sz w:val="22"/>
      </w:rPr>
      <w:tblPr>
        <w:tblStyle w:val="31"/>
      </w:tblPr>
      <w:tcPr>
        <w:shd w:val="clear" w:color="auto" w:fill="9BBB59"/>
      </w:tcPr>
    </w:tblStylePr>
    <w:tblStylePr w:type="firstCol">
      <w:rPr>
        <w:rFonts w:ascii="Arial" w:hAnsi="Arial"/>
        <w:color w:val="F2F2F2"/>
        <w:sz w:val="22"/>
      </w:rPr>
      <w:tblPr>
        <w:tblStyle w:val="31"/>
      </w:tblPr>
      <w:tcPr>
        <w:shd w:val="clear" w:color="auto" w:fill="9BBB59"/>
      </w:tcPr>
    </w:tblStylePr>
    <w:tblStylePr w:type="lastCol">
      <w:rPr>
        <w:rFonts w:ascii="Arial" w:hAnsi="Arial"/>
        <w:color w:val="F2F2F2"/>
        <w:sz w:val="22"/>
      </w:rPr>
      <w:tblPr>
        <w:tblStyle w:val="31"/>
      </w:tblPr>
      <w:tcPr>
        <w:shd w:val="clear" w:color="auto" w:fill="9BBB59"/>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AF1DD"/>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AF1DD"/>
      </w:tcPr>
    </w:tblStylePr>
  </w:style>
  <w:style w:type="table" w:customStyle="1" w:styleId="174">
    <w:name w:val="Bordered &amp; Lined - Accent 4"/>
    <w:basedOn w:val="31"/>
    <w:qFormat/>
    <w:uiPriority w:val="99"/>
    <w:rPr>
      <w:color w:val="404040"/>
    </w:rPr>
    <w:tblPr>
      <w:tblStyle w:val="31"/>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B2A1C7"/>
      </w:tcPr>
    </w:tblStylePr>
    <w:tblStylePr w:type="lastRow">
      <w:rPr>
        <w:rFonts w:ascii="Arial" w:hAnsi="Arial"/>
        <w:color w:val="F2F2F2"/>
        <w:sz w:val="22"/>
      </w:rPr>
      <w:tblPr>
        <w:tblStyle w:val="31"/>
      </w:tblPr>
      <w:tcPr>
        <w:shd w:val="clear" w:color="auto" w:fill="B2A1C7"/>
      </w:tcPr>
    </w:tblStylePr>
    <w:tblStylePr w:type="firstCol">
      <w:rPr>
        <w:rFonts w:ascii="Arial" w:hAnsi="Arial"/>
        <w:color w:val="F2F2F2"/>
        <w:sz w:val="22"/>
      </w:rPr>
      <w:tblPr>
        <w:tblStyle w:val="31"/>
      </w:tblPr>
      <w:tcPr>
        <w:shd w:val="clear" w:color="auto" w:fill="B2A1C7"/>
      </w:tcPr>
    </w:tblStylePr>
    <w:tblStylePr w:type="lastCol">
      <w:rPr>
        <w:rFonts w:ascii="Arial" w:hAnsi="Arial"/>
        <w:color w:val="F2F2F2"/>
        <w:sz w:val="22"/>
      </w:rPr>
      <w:tblPr>
        <w:tblStyle w:val="31"/>
      </w:tblPr>
      <w:tcPr>
        <w:shd w:val="clear" w:color="auto" w:fill="B2A1C7"/>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5DFEC"/>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5DFEC"/>
      </w:tcPr>
    </w:tblStylePr>
  </w:style>
  <w:style w:type="table" w:customStyle="1" w:styleId="175">
    <w:name w:val="Bordered &amp; Lined - Accent 5"/>
    <w:basedOn w:val="31"/>
    <w:qFormat/>
    <w:uiPriority w:val="99"/>
    <w:rPr>
      <w:color w:val="404040"/>
    </w:rPr>
    <w:tblPr>
      <w:tblStyle w:val="31"/>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4BACC6"/>
      </w:tcPr>
    </w:tblStylePr>
    <w:tblStylePr w:type="lastRow">
      <w:rPr>
        <w:rFonts w:ascii="Arial" w:hAnsi="Arial"/>
        <w:color w:val="F2F2F2"/>
        <w:sz w:val="22"/>
      </w:rPr>
      <w:tblPr>
        <w:tblStyle w:val="31"/>
      </w:tblPr>
      <w:tcPr>
        <w:shd w:val="clear" w:color="auto" w:fill="4BACC6"/>
      </w:tcPr>
    </w:tblStylePr>
    <w:tblStylePr w:type="firstCol">
      <w:rPr>
        <w:rFonts w:ascii="Arial" w:hAnsi="Arial"/>
        <w:color w:val="F2F2F2"/>
        <w:sz w:val="22"/>
      </w:rPr>
      <w:tblPr>
        <w:tblStyle w:val="31"/>
      </w:tblPr>
      <w:tcPr>
        <w:shd w:val="clear" w:color="auto" w:fill="4BACC6"/>
      </w:tcPr>
    </w:tblStylePr>
    <w:tblStylePr w:type="lastCol">
      <w:rPr>
        <w:rFonts w:ascii="Arial" w:hAnsi="Arial"/>
        <w:color w:val="F2F2F2"/>
        <w:sz w:val="22"/>
      </w:rPr>
      <w:tblPr>
        <w:tblStyle w:val="31"/>
      </w:tblPr>
      <w:tcPr>
        <w:shd w:val="clear" w:color="auto" w:fill="4BACC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AEEF3"/>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DAEEF3"/>
      </w:tcPr>
    </w:tblStylePr>
  </w:style>
  <w:style w:type="table" w:customStyle="1" w:styleId="176">
    <w:name w:val="Bordered &amp; Lined - Accent 6"/>
    <w:basedOn w:val="31"/>
    <w:qFormat/>
    <w:uiPriority w:val="99"/>
    <w:rPr>
      <w:color w:val="404040"/>
    </w:rPr>
    <w:tblPr>
      <w:tblStyle w:val="31"/>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F79646"/>
      </w:tcPr>
    </w:tblStylePr>
    <w:tblStylePr w:type="lastRow">
      <w:rPr>
        <w:rFonts w:ascii="Arial" w:hAnsi="Arial"/>
        <w:color w:val="F2F2F2"/>
        <w:sz w:val="22"/>
      </w:rPr>
      <w:tblPr>
        <w:tblStyle w:val="31"/>
      </w:tblPr>
      <w:tcPr>
        <w:shd w:val="clear" w:color="auto" w:fill="F79646"/>
      </w:tcPr>
    </w:tblStylePr>
    <w:tblStylePr w:type="firstCol">
      <w:rPr>
        <w:rFonts w:ascii="Arial" w:hAnsi="Arial"/>
        <w:color w:val="F2F2F2"/>
        <w:sz w:val="22"/>
      </w:rPr>
      <w:tblPr>
        <w:tblStyle w:val="31"/>
      </w:tblPr>
      <w:tcPr>
        <w:shd w:val="clear" w:color="auto" w:fill="F79646"/>
      </w:tcPr>
    </w:tblStylePr>
    <w:tblStylePr w:type="lastCol">
      <w:rPr>
        <w:rFonts w:ascii="Arial" w:hAnsi="Arial"/>
        <w:color w:val="F2F2F2"/>
        <w:sz w:val="22"/>
      </w:rPr>
      <w:tblPr>
        <w:tblStyle w:val="31"/>
      </w:tblPr>
      <w:tcPr>
        <w:shd w:val="clear" w:color="auto" w:fill="F7964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DE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DE9D9"/>
      </w:tcPr>
    </w:tblStylePr>
  </w:style>
  <w:style w:type="table" w:customStyle="1" w:styleId="177">
    <w:name w:val="网格型1"/>
    <w:basedOn w:val="31"/>
    <w:qFormat/>
    <w:uiPriority w:val="59"/>
    <w:rPr>
      <w:kern w:val="2"/>
      <w:sz w:val="21"/>
      <w:szCs w:val="22"/>
    </w:rPr>
    <w:tblPr>
      <w:tblStyle w:val="3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8">
    <w:name w:val="网格型11"/>
    <w:basedOn w:val="31"/>
    <w:qFormat/>
    <w:uiPriority w:val="59"/>
    <w:tblPr>
      <w:tblStyle w:val="3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179">
    <w:name w:val="Lined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7F7F7F"/>
      </w:tcPr>
    </w:tblStylePr>
    <w:tblStylePr w:type="lastRow">
      <w:rPr>
        <w:rFonts w:ascii="Arial" w:hAnsi="Arial"/>
        <w:color w:val="F2F2F2"/>
        <w:sz w:val="22"/>
      </w:rPr>
      <w:tblPr>
        <w:tblStyle w:val="31"/>
      </w:tblPr>
      <w:tcPr>
        <w:shd w:val="clear" w:color="auto" w:fill="7F7F7F"/>
      </w:tcPr>
    </w:tblStylePr>
    <w:tblStylePr w:type="firstCol">
      <w:rPr>
        <w:rFonts w:ascii="Arial" w:hAnsi="Arial"/>
        <w:color w:val="F2F2F2"/>
        <w:sz w:val="22"/>
      </w:rPr>
      <w:tblPr>
        <w:tblStyle w:val="31"/>
      </w:tblPr>
      <w:tcPr>
        <w:shd w:val="clear" w:color="auto" w:fill="7F7F7F"/>
      </w:tcPr>
    </w:tblStylePr>
    <w:tblStylePr w:type="lastCol">
      <w:rPr>
        <w:rFonts w:ascii="Arial" w:hAnsi="Arial"/>
        <w:color w:val="F2F2F2"/>
        <w:sz w:val="22"/>
      </w:rPr>
      <w:tblPr>
        <w:tblStyle w:val="31"/>
      </w:tblPr>
      <w:tcPr>
        <w:shd w:val="clear" w:color="auto" w:fill="7F7F7F"/>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F2F2"/>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F2F2"/>
      </w:tcPr>
    </w:tblStylePr>
  </w:style>
  <w:style w:type="table" w:customStyle="1" w:styleId="180">
    <w:name w:val="Lined - Accent 1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548DD4"/>
      </w:tcPr>
    </w:tblStylePr>
    <w:tblStylePr w:type="lastRow">
      <w:rPr>
        <w:rFonts w:ascii="Arial" w:hAnsi="Arial"/>
        <w:color w:val="F2F2F2"/>
        <w:sz w:val="22"/>
      </w:rPr>
      <w:tblPr>
        <w:tblStyle w:val="31"/>
      </w:tblPr>
      <w:tcPr>
        <w:shd w:val="clear" w:color="auto" w:fill="548DD4"/>
      </w:tcPr>
    </w:tblStylePr>
    <w:tblStylePr w:type="firstCol">
      <w:rPr>
        <w:rFonts w:ascii="Arial" w:hAnsi="Arial"/>
        <w:color w:val="F2F2F2"/>
        <w:sz w:val="22"/>
      </w:rPr>
      <w:tblPr>
        <w:tblStyle w:val="31"/>
      </w:tblPr>
      <w:tcPr>
        <w:shd w:val="clear" w:color="auto" w:fill="548DD4"/>
      </w:tcPr>
    </w:tblStylePr>
    <w:tblStylePr w:type="lastCol">
      <w:rPr>
        <w:rFonts w:ascii="Arial" w:hAnsi="Arial"/>
        <w:color w:val="F2F2F2"/>
        <w:sz w:val="22"/>
      </w:rPr>
      <w:tblPr>
        <w:tblStyle w:val="31"/>
      </w:tblPr>
      <w:tcPr>
        <w:shd w:val="clear" w:color="auto" w:fill="548DD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C6D9F1"/>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C6D9F1"/>
      </w:tcPr>
    </w:tblStylePr>
  </w:style>
  <w:style w:type="table" w:customStyle="1" w:styleId="181">
    <w:name w:val="Lined - Accent 2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D99594"/>
      </w:tcPr>
    </w:tblStylePr>
    <w:tblStylePr w:type="lastRow">
      <w:rPr>
        <w:rFonts w:ascii="Arial" w:hAnsi="Arial"/>
        <w:color w:val="F2F2F2"/>
        <w:sz w:val="22"/>
      </w:rPr>
      <w:tblPr>
        <w:tblStyle w:val="31"/>
      </w:tblPr>
      <w:tcPr>
        <w:shd w:val="clear" w:color="auto" w:fill="D99594"/>
      </w:tcPr>
    </w:tblStylePr>
    <w:tblStylePr w:type="firstCol">
      <w:rPr>
        <w:rFonts w:ascii="Arial" w:hAnsi="Arial"/>
        <w:color w:val="F2F2F2"/>
        <w:sz w:val="22"/>
      </w:rPr>
      <w:tblPr>
        <w:tblStyle w:val="31"/>
      </w:tblPr>
      <w:tcPr>
        <w:shd w:val="clear" w:color="auto" w:fill="D99594"/>
      </w:tcPr>
    </w:tblStylePr>
    <w:tblStylePr w:type="lastCol">
      <w:rPr>
        <w:rFonts w:ascii="Arial" w:hAnsi="Arial"/>
        <w:color w:val="F2F2F2"/>
        <w:sz w:val="22"/>
      </w:rPr>
      <w:tblPr>
        <w:tblStyle w:val="31"/>
      </w:tblPr>
      <w:tcPr>
        <w:shd w:val="clear" w:color="auto" w:fill="D9959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DBDB"/>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DBDB"/>
      </w:tcPr>
    </w:tblStylePr>
  </w:style>
  <w:style w:type="table" w:customStyle="1" w:styleId="182">
    <w:name w:val="Lined - Accent 3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9BB559"/>
      </w:tcPr>
    </w:tblStylePr>
    <w:tblStylePr w:type="lastRow">
      <w:rPr>
        <w:rFonts w:ascii="Arial" w:hAnsi="Arial"/>
        <w:color w:val="F2F2F2"/>
        <w:sz w:val="22"/>
      </w:rPr>
      <w:tblPr>
        <w:tblStyle w:val="31"/>
      </w:tblPr>
      <w:tcPr>
        <w:shd w:val="clear" w:color="auto" w:fill="9BB559"/>
      </w:tcPr>
    </w:tblStylePr>
    <w:tblStylePr w:type="firstCol">
      <w:rPr>
        <w:rFonts w:ascii="Arial" w:hAnsi="Arial"/>
        <w:color w:val="F2F2F2"/>
        <w:sz w:val="22"/>
      </w:rPr>
      <w:tblPr>
        <w:tblStyle w:val="31"/>
      </w:tblPr>
      <w:tcPr>
        <w:shd w:val="clear" w:color="auto" w:fill="9BB559"/>
      </w:tcPr>
    </w:tblStylePr>
    <w:tblStylePr w:type="lastCol">
      <w:rPr>
        <w:rFonts w:ascii="Arial" w:hAnsi="Arial"/>
        <w:color w:val="F2F2F2"/>
        <w:sz w:val="22"/>
      </w:rPr>
      <w:tblPr>
        <w:tblStyle w:val="31"/>
      </w:tblPr>
      <w:tcPr>
        <w:shd w:val="clear" w:color="auto" w:fill="9BB559"/>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AF1DD"/>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AF1DD"/>
      </w:tcPr>
    </w:tblStylePr>
  </w:style>
  <w:style w:type="table" w:customStyle="1" w:styleId="183">
    <w:name w:val="Lined - Accent 4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B2A1C7"/>
      </w:tcPr>
    </w:tblStylePr>
    <w:tblStylePr w:type="lastRow">
      <w:rPr>
        <w:rFonts w:ascii="Arial" w:hAnsi="Arial"/>
        <w:color w:val="F2F2F2"/>
        <w:sz w:val="22"/>
      </w:rPr>
      <w:tblPr>
        <w:tblStyle w:val="31"/>
      </w:tblPr>
      <w:tcPr>
        <w:shd w:val="clear" w:color="auto" w:fill="B2A1C7"/>
      </w:tcPr>
    </w:tblStylePr>
    <w:tblStylePr w:type="firstCol">
      <w:rPr>
        <w:rFonts w:ascii="Arial" w:hAnsi="Arial"/>
        <w:color w:val="F2F2F2"/>
        <w:sz w:val="22"/>
      </w:rPr>
      <w:tblPr>
        <w:tblStyle w:val="31"/>
      </w:tblPr>
      <w:tcPr>
        <w:shd w:val="clear" w:color="auto" w:fill="B2A1C7"/>
      </w:tcPr>
    </w:tblStylePr>
    <w:tblStylePr w:type="lastCol">
      <w:rPr>
        <w:rFonts w:ascii="Arial" w:hAnsi="Arial"/>
        <w:color w:val="F2F2F2"/>
        <w:sz w:val="22"/>
      </w:rPr>
      <w:tblPr>
        <w:tblStyle w:val="31"/>
      </w:tblPr>
      <w:tcPr>
        <w:shd w:val="clear" w:color="auto" w:fill="B2A1C7"/>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5DFEC"/>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5DFEC"/>
      </w:tcPr>
    </w:tblStylePr>
  </w:style>
  <w:style w:type="table" w:customStyle="1" w:styleId="184">
    <w:name w:val="Lined - Accent 5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4BACC6"/>
      </w:tcPr>
    </w:tblStylePr>
    <w:tblStylePr w:type="lastRow">
      <w:rPr>
        <w:rFonts w:ascii="Arial" w:hAnsi="Arial"/>
        <w:color w:val="F2F2F2"/>
        <w:sz w:val="22"/>
      </w:rPr>
      <w:tblPr>
        <w:tblStyle w:val="31"/>
      </w:tblPr>
      <w:tcPr>
        <w:shd w:val="clear" w:color="auto" w:fill="4BACC6"/>
      </w:tcPr>
    </w:tblStylePr>
    <w:tblStylePr w:type="firstCol">
      <w:rPr>
        <w:rFonts w:ascii="Arial" w:hAnsi="Arial"/>
        <w:color w:val="F2F2F2"/>
        <w:sz w:val="22"/>
      </w:rPr>
      <w:tblPr>
        <w:tblStyle w:val="31"/>
      </w:tblPr>
      <w:tcPr>
        <w:shd w:val="clear" w:color="auto" w:fill="4BACC6"/>
      </w:tcPr>
    </w:tblStylePr>
    <w:tblStylePr w:type="lastCol">
      <w:rPr>
        <w:rFonts w:ascii="Arial" w:hAnsi="Arial"/>
        <w:color w:val="F2F2F2"/>
        <w:sz w:val="22"/>
      </w:rPr>
      <w:tblPr>
        <w:tblStyle w:val="31"/>
      </w:tblPr>
      <w:tcPr>
        <w:shd w:val="clear" w:color="auto" w:fill="4BACC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AEEF3"/>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DAEEF3"/>
      </w:tcPr>
    </w:tblStylePr>
  </w:style>
  <w:style w:type="table" w:customStyle="1" w:styleId="185">
    <w:name w:val="Lined - Accent 61"/>
    <w:basedOn w:val="31"/>
    <w:qFormat/>
    <w:uiPriority w:val="99"/>
    <w:rPr>
      <w:color w:val="404040"/>
    </w:rPr>
    <w:tblPr>
      <w:tblStyle w:val="31"/>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F79646"/>
      </w:tcPr>
    </w:tblStylePr>
    <w:tblStylePr w:type="lastRow">
      <w:rPr>
        <w:rFonts w:ascii="Arial" w:hAnsi="Arial"/>
        <w:color w:val="F2F2F2"/>
        <w:sz w:val="22"/>
      </w:rPr>
      <w:tblPr>
        <w:tblStyle w:val="31"/>
      </w:tblPr>
      <w:tcPr>
        <w:shd w:val="clear" w:color="auto" w:fill="F79646"/>
      </w:tcPr>
    </w:tblStylePr>
    <w:tblStylePr w:type="firstCol">
      <w:rPr>
        <w:rFonts w:ascii="Arial" w:hAnsi="Arial"/>
        <w:color w:val="F2F2F2"/>
        <w:sz w:val="22"/>
      </w:rPr>
      <w:tblPr>
        <w:tblStyle w:val="31"/>
      </w:tblPr>
      <w:tcPr>
        <w:shd w:val="clear" w:color="auto" w:fill="F79646"/>
      </w:tcPr>
    </w:tblStylePr>
    <w:tblStylePr w:type="lastCol">
      <w:rPr>
        <w:rFonts w:ascii="Arial" w:hAnsi="Arial"/>
        <w:color w:val="F2F2F2"/>
        <w:sz w:val="22"/>
      </w:rPr>
      <w:tblPr>
        <w:tblStyle w:val="31"/>
      </w:tblPr>
      <w:tcPr>
        <w:shd w:val="clear" w:color="auto" w:fill="F7964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DE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DE9D9"/>
      </w:tcPr>
    </w:tblStylePr>
  </w:style>
  <w:style w:type="table" w:customStyle="1" w:styleId="186">
    <w:name w:val="Bordered1"/>
    <w:basedOn w:val="31"/>
    <w:qFormat/>
    <w:uiPriority w:val="99"/>
    <w:tblPr>
      <w:tblStyle w:val="3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7F7F7F"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7F7F7F"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7F7F7F"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7F7F7F"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D9D9D9" w:sz="4" w:space="0"/>
          <w:left w:val="single" w:color="D9D9D9" w:sz="4" w:space="0"/>
          <w:bottom w:val="single" w:color="D9D9D9" w:sz="4" w:space="0"/>
          <w:right w:val="single" w:color="D9D9D9" w:sz="4" w:space="0"/>
          <w:insideH w:val="nil"/>
          <w:insideV w:val="nil"/>
          <w:tl2br w:val="nil"/>
          <w:tr2bl w:val="nil"/>
        </w:tcBorders>
      </w:tcPr>
    </w:tblStylePr>
  </w:style>
  <w:style w:type="table" w:customStyle="1" w:styleId="187">
    <w:name w:val="Bordered - Accent 11"/>
    <w:basedOn w:val="31"/>
    <w:qFormat/>
    <w:uiPriority w:val="99"/>
    <w:tblPr>
      <w:tblStyle w:val="3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4F81BD"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4F81BD"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4F81BD"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4F81BD"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B8CCE4" w:sz="4" w:space="0"/>
          <w:left w:val="single" w:color="B8CCE4" w:sz="4" w:space="0"/>
          <w:bottom w:val="single" w:color="B8CCE4" w:sz="4" w:space="0"/>
          <w:right w:val="single" w:color="B8CCE4" w:sz="4" w:space="0"/>
          <w:insideH w:val="nil"/>
          <w:insideV w:val="nil"/>
          <w:tl2br w:val="nil"/>
          <w:tr2bl w:val="nil"/>
        </w:tcBorders>
      </w:tcPr>
    </w:tblStylePr>
  </w:style>
  <w:style w:type="table" w:customStyle="1" w:styleId="188">
    <w:name w:val="Bordered - Accent 21"/>
    <w:basedOn w:val="31"/>
    <w:qFormat/>
    <w:uiPriority w:val="99"/>
    <w:tblPr>
      <w:tblStyle w:val="3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D99594"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D99594"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D99594"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D99594"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style>
  <w:style w:type="table" w:customStyle="1" w:styleId="189">
    <w:name w:val="Bordered - Accent 31"/>
    <w:basedOn w:val="31"/>
    <w:qFormat/>
    <w:uiPriority w:val="99"/>
    <w:tblPr>
      <w:tblStyle w:val="3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C2D69B"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C2D69B"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C2D69B"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C2D69B"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D6E3BC" w:sz="4" w:space="0"/>
          <w:left w:val="single" w:color="D6E3BC" w:sz="4" w:space="0"/>
          <w:bottom w:val="single" w:color="D6E3BC" w:sz="4" w:space="0"/>
          <w:right w:val="single" w:color="D6E3BC" w:sz="4" w:space="0"/>
          <w:insideH w:val="nil"/>
          <w:insideV w:val="nil"/>
          <w:tl2br w:val="nil"/>
          <w:tr2bl w:val="nil"/>
        </w:tcBorders>
      </w:tcPr>
    </w:tblStylePr>
  </w:style>
  <w:style w:type="table" w:customStyle="1" w:styleId="190">
    <w:name w:val="Bordered - Accent 41"/>
    <w:basedOn w:val="31"/>
    <w:qFormat/>
    <w:uiPriority w:val="99"/>
    <w:tblPr>
      <w:tblStyle w:val="3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B2A1C7"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B2A1C7"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B2A1C7"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B2A1C7"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CCC0D9" w:sz="4" w:space="0"/>
          <w:left w:val="single" w:color="CCC0D9" w:sz="4" w:space="0"/>
          <w:bottom w:val="single" w:color="CCC0D9" w:sz="4" w:space="0"/>
          <w:right w:val="single" w:color="CCC0D9" w:sz="4" w:space="0"/>
          <w:insideH w:val="nil"/>
          <w:insideV w:val="nil"/>
          <w:tl2br w:val="nil"/>
          <w:tr2bl w:val="nil"/>
        </w:tcBorders>
      </w:tcPr>
    </w:tblStylePr>
  </w:style>
  <w:style w:type="table" w:customStyle="1" w:styleId="191">
    <w:name w:val="Bordered - Accent 51"/>
    <w:basedOn w:val="31"/>
    <w:qFormat/>
    <w:uiPriority w:val="99"/>
    <w:tblPr>
      <w:tblStyle w:val="3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92CDDC"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92CDDC"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92CDDC"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92CDDC"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B6DDE8" w:sz="4" w:space="0"/>
          <w:left w:val="single" w:color="B6DDE8" w:sz="4" w:space="0"/>
          <w:bottom w:val="single" w:color="B6DDE8" w:sz="4" w:space="0"/>
          <w:right w:val="single" w:color="B6DDE8" w:sz="4" w:space="0"/>
          <w:insideH w:val="nil"/>
          <w:insideV w:val="nil"/>
          <w:tl2br w:val="nil"/>
          <w:tr2bl w:val="nil"/>
        </w:tcBorders>
      </w:tcPr>
    </w:tblStylePr>
  </w:style>
  <w:style w:type="table" w:customStyle="1" w:styleId="192">
    <w:name w:val="Bordered - Accent 61"/>
    <w:basedOn w:val="31"/>
    <w:qFormat/>
    <w:uiPriority w:val="99"/>
    <w:tblPr>
      <w:tblStyle w:val="3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96" w:type="dxa"/>
        <w:left w:w="170" w:type="dxa"/>
        <w:bottom w:w="96" w:type="dxa"/>
        <w:right w:w="170" w:type="dxa"/>
      </w:tblCellMar>
    </w:tblPr>
    <w:tblStylePr w:type="firstRow">
      <w:rPr>
        <w:rFonts w:ascii="Arial" w:hAnsi="Arial"/>
        <w:color w:val="404040"/>
        <w:sz w:val="22"/>
      </w:rPr>
      <w:tblPr>
        <w:tblStyle w:val="31"/>
      </w:tblPr>
      <w:tcPr>
        <w:tcBorders>
          <w:top w:val="nil"/>
          <w:left w:val="nil"/>
          <w:bottom w:val="single" w:color="FABF8F" w:sz="12" w:space="0"/>
          <w:right w:val="nil"/>
          <w:insideH w:val="nil"/>
          <w:insideV w:val="nil"/>
          <w:tl2br w:val="nil"/>
          <w:tr2bl w:val="nil"/>
        </w:tcBorders>
      </w:tcPr>
    </w:tblStylePr>
    <w:tblStylePr w:type="lastRow">
      <w:rPr>
        <w:rFonts w:ascii="Arial" w:hAnsi="Arial"/>
        <w:color w:val="404040"/>
        <w:sz w:val="22"/>
      </w:rPr>
      <w:tblPr>
        <w:tblStyle w:val="31"/>
      </w:tblPr>
      <w:tcPr>
        <w:tcBorders>
          <w:top w:val="single" w:color="FABF8F" w:sz="12" w:space="0"/>
          <w:left w:val="nil"/>
          <w:bottom w:val="nil"/>
          <w:right w:val="nil"/>
          <w:insideH w:val="nil"/>
          <w:insideV w:val="nil"/>
          <w:tl2br w:val="nil"/>
          <w:tr2bl w:val="nil"/>
        </w:tcBorders>
      </w:tcPr>
    </w:tblStylePr>
    <w:tblStylePr w:type="firstCol">
      <w:rPr>
        <w:rFonts w:ascii="Arial" w:hAnsi="Arial"/>
        <w:color w:val="404040"/>
        <w:sz w:val="22"/>
      </w:rPr>
      <w:tblPr>
        <w:tblStyle w:val="31"/>
      </w:tblPr>
      <w:tcPr>
        <w:tcBorders>
          <w:top w:val="nil"/>
          <w:left w:val="nil"/>
          <w:bottom w:val="nil"/>
          <w:right w:val="single" w:color="FABF8F" w:sz="12" w:space="0"/>
          <w:insideH w:val="nil"/>
          <w:insideV w:val="nil"/>
          <w:tl2br w:val="nil"/>
          <w:tr2bl w:val="nil"/>
        </w:tcBorders>
      </w:tcPr>
    </w:tblStylePr>
    <w:tblStylePr w:type="lastCol">
      <w:rPr>
        <w:rFonts w:ascii="Arial" w:hAnsi="Arial"/>
        <w:color w:val="404040"/>
        <w:sz w:val="22"/>
      </w:rPr>
      <w:tblPr>
        <w:tblStyle w:val="31"/>
      </w:tblPr>
      <w:tcPr>
        <w:tcBorders>
          <w:top w:val="nil"/>
          <w:left w:val="single" w:color="FABF8F" w:sz="12" w:space="0"/>
          <w:bottom w:val="nil"/>
          <w:right w:val="nil"/>
          <w:insideH w:val="nil"/>
          <w:insideV w:val="nil"/>
          <w:tl2br w:val="nil"/>
          <w:tr2bl w:val="nil"/>
        </w:tcBorders>
      </w:tcPr>
    </w:tblStylePr>
    <w:tblStylePr w:type="band1Horz">
      <w:rPr>
        <w:rFonts w:ascii="Arial" w:hAnsi="Arial"/>
        <w:color w:val="404040"/>
        <w:sz w:val="22"/>
      </w:rPr>
      <w:tblPr>
        <w:tblStyle w:val="31"/>
      </w:tbl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style>
  <w:style w:type="table" w:customStyle="1" w:styleId="193">
    <w:name w:val="Bordered &amp; Lined1"/>
    <w:basedOn w:val="31"/>
    <w:qFormat/>
    <w:uiPriority w:val="99"/>
    <w:rPr>
      <w:color w:val="404040"/>
    </w:rPr>
    <w:tblPr>
      <w:tblStyle w:val="3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7F7F7F"/>
      </w:tcPr>
    </w:tblStylePr>
    <w:tblStylePr w:type="lastRow">
      <w:rPr>
        <w:rFonts w:ascii="Arial" w:hAnsi="Arial"/>
        <w:color w:val="F2F2F2"/>
        <w:sz w:val="22"/>
      </w:rPr>
      <w:tblPr>
        <w:tblStyle w:val="31"/>
      </w:tblPr>
      <w:tcPr>
        <w:shd w:val="clear" w:color="auto" w:fill="7F7F7F"/>
      </w:tcPr>
    </w:tblStylePr>
    <w:tblStylePr w:type="firstCol">
      <w:rPr>
        <w:rFonts w:ascii="Arial" w:hAnsi="Arial"/>
        <w:color w:val="F2F2F2"/>
        <w:sz w:val="22"/>
      </w:rPr>
      <w:tblPr>
        <w:tblStyle w:val="31"/>
      </w:tblPr>
      <w:tcPr>
        <w:shd w:val="clear" w:color="auto" w:fill="7F7F7F"/>
      </w:tcPr>
    </w:tblStylePr>
    <w:tblStylePr w:type="lastCol">
      <w:rPr>
        <w:rFonts w:ascii="Arial" w:hAnsi="Arial"/>
        <w:color w:val="F2F2F2"/>
        <w:sz w:val="22"/>
      </w:rPr>
      <w:tblPr>
        <w:tblStyle w:val="31"/>
      </w:tblPr>
      <w:tcPr>
        <w:shd w:val="clear" w:color="auto" w:fill="7F7F7F"/>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9D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F2F2"/>
      </w:tcPr>
    </w:tblStylePr>
  </w:style>
  <w:style w:type="table" w:customStyle="1" w:styleId="194">
    <w:name w:val="Bordered &amp; Lined - Accent 11"/>
    <w:basedOn w:val="31"/>
    <w:qFormat/>
    <w:uiPriority w:val="99"/>
    <w:rPr>
      <w:color w:val="404040"/>
    </w:rPr>
    <w:tblPr>
      <w:tblStyle w:val="31"/>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548DD4"/>
      </w:tcPr>
    </w:tblStylePr>
    <w:tblStylePr w:type="lastRow">
      <w:rPr>
        <w:rFonts w:ascii="Arial" w:hAnsi="Arial"/>
        <w:color w:val="F2F2F2"/>
        <w:sz w:val="22"/>
      </w:rPr>
      <w:tblPr>
        <w:tblStyle w:val="31"/>
      </w:tblPr>
      <w:tcPr>
        <w:shd w:val="clear" w:color="auto" w:fill="548DD4"/>
      </w:tcPr>
    </w:tblStylePr>
    <w:tblStylePr w:type="firstCol">
      <w:rPr>
        <w:rFonts w:ascii="Arial" w:hAnsi="Arial"/>
        <w:color w:val="F2F2F2"/>
        <w:sz w:val="22"/>
      </w:rPr>
      <w:tblPr>
        <w:tblStyle w:val="31"/>
      </w:tblPr>
      <w:tcPr>
        <w:shd w:val="clear" w:color="auto" w:fill="548DD4"/>
      </w:tcPr>
    </w:tblStylePr>
    <w:tblStylePr w:type="lastCol">
      <w:rPr>
        <w:rFonts w:ascii="Arial" w:hAnsi="Arial"/>
        <w:color w:val="F2F2F2"/>
        <w:sz w:val="22"/>
      </w:rPr>
      <w:tblPr>
        <w:tblStyle w:val="31"/>
      </w:tblPr>
      <w:tcPr>
        <w:shd w:val="clear" w:color="auto" w:fill="548DD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C6D9F1"/>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C6D9F1"/>
      </w:tcPr>
    </w:tblStylePr>
  </w:style>
  <w:style w:type="table" w:customStyle="1" w:styleId="195">
    <w:name w:val="Bordered &amp; Lined - Accent 21"/>
    <w:basedOn w:val="31"/>
    <w:qFormat/>
    <w:uiPriority w:val="99"/>
    <w:rPr>
      <w:color w:val="404040"/>
    </w:rPr>
    <w:tblPr>
      <w:tblStyle w:val="31"/>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D99594"/>
      </w:tcPr>
    </w:tblStylePr>
    <w:tblStylePr w:type="lastRow">
      <w:rPr>
        <w:rFonts w:ascii="Arial" w:hAnsi="Arial"/>
        <w:color w:val="F2F2F2"/>
        <w:sz w:val="22"/>
      </w:rPr>
      <w:tblPr>
        <w:tblStyle w:val="31"/>
      </w:tblPr>
      <w:tcPr>
        <w:shd w:val="clear" w:color="auto" w:fill="D99594"/>
      </w:tcPr>
    </w:tblStylePr>
    <w:tblStylePr w:type="firstCol">
      <w:rPr>
        <w:rFonts w:ascii="Arial" w:hAnsi="Arial"/>
        <w:color w:val="F2F2F2"/>
        <w:sz w:val="22"/>
      </w:rPr>
      <w:tblPr>
        <w:tblStyle w:val="31"/>
      </w:tblPr>
      <w:tcPr>
        <w:shd w:val="clear" w:color="auto" w:fill="D99594"/>
      </w:tcPr>
    </w:tblStylePr>
    <w:tblStylePr w:type="lastCol">
      <w:rPr>
        <w:rFonts w:ascii="Arial" w:hAnsi="Arial"/>
        <w:color w:val="F2F2F2"/>
        <w:sz w:val="22"/>
      </w:rPr>
      <w:tblPr>
        <w:tblStyle w:val="31"/>
      </w:tblPr>
      <w:tcPr>
        <w:shd w:val="clear" w:color="auto" w:fill="D99594"/>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2DBDB"/>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2DBDB"/>
      </w:tcPr>
    </w:tblStylePr>
  </w:style>
  <w:style w:type="table" w:customStyle="1" w:styleId="196">
    <w:name w:val="Bordered &amp; Lined - Accent 31"/>
    <w:basedOn w:val="31"/>
    <w:qFormat/>
    <w:uiPriority w:val="99"/>
    <w:rPr>
      <w:color w:val="404040"/>
    </w:rPr>
    <w:tblPr>
      <w:tblStyle w:val="31"/>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9BBB59"/>
      </w:tcPr>
    </w:tblStylePr>
    <w:tblStylePr w:type="lastRow">
      <w:rPr>
        <w:rFonts w:ascii="Arial" w:hAnsi="Arial"/>
        <w:color w:val="F2F2F2"/>
        <w:sz w:val="22"/>
      </w:rPr>
      <w:tblPr>
        <w:tblStyle w:val="31"/>
      </w:tblPr>
      <w:tcPr>
        <w:shd w:val="clear" w:color="auto" w:fill="9BBB59"/>
      </w:tcPr>
    </w:tblStylePr>
    <w:tblStylePr w:type="firstCol">
      <w:rPr>
        <w:rFonts w:ascii="Arial" w:hAnsi="Arial"/>
        <w:color w:val="F2F2F2"/>
        <w:sz w:val="22"/>
      </w:rPr>
      <w:tblPr>
        <w:tblStyle w:val="31"/>
      </w:tblPr>
      <w:tcPr>
        <w:shd w:val="clear" w:color="auto" w:fill="9BBB59"/>
      </w:tcPr>
    </w:tblStylePr>
    <w:tblStylePr w:type="lastCol">
      <w:rPr>
        <w:rFonts w:ascii="Arial" w:hAnsi="Arial"/>
        <w:color w:val="F2F2F2"/>
        <w:sz w:val="22"/>
      </w:rPr>
      <w:tblPr>
        <w:tblStyle w:val="31"/>
      </w:tblPr>
      <w:tcPr>
        <w:shd w:val="clear" w:color="auto" w:fill="9BBB59"/>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AF1DD"/>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AF1DD"/>
      </w:tcPr>
    </w:tblStylePr>
  </w:style>
  <w:style w:type="table" w:customStyle="1" w:styleId="197">
    <w:name w:val="Bordered &amp; Lined - Accent 41"/>
    <w:basedOn w:val="31"/>
    <w:qFormat/>
    <w:uiPriority w:val="99"/>
    <w:rPr>
      <w:color w:val="404040"/>
    </w:rPr>
    <w:tblPr>
      <w:tblStyle w:val="31"/>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B2A1C7"/>
      </w:tcPr>
    </w:tblStylePr>
    <w:tblStylePr w:type="lastRow">
      <w:rPr>
        <w:rFonts w:ascii="Arial" w:hAnsi="Arial"/>
        <w:color w:val="F2F2F2"/>
        <w:sz w:val="22"/>
      </w:rPr>
      <w:tblPr>
        <w:tblStyle w:val="31"/>
      </w:tblPr>
      <w:tcPr>
        <w:shd w:val="clear" w:color="auto" w:fill="B2A1C7"/>
      </w:tcPr>
    </w:tblStylePr>
    <w:tblStylePr w:type="firstCol">
      <w:rPr>
        <w:rFonts w:ascii="Arial" w:hAnsi="Arial"/>
        <w:color w:val="F2F2F2"/>
        <w:sz w:val="22"/>
      </w:rPr>
      <w:tblPr>
        <w:tblStyle w:val="31"/>
      </w:tblPr>
      <w:tcPr>
        <w:shd w:val="clear" w:color="auto" w:fill="B2A1C7"/>
      </w:tcPr>
    </w:tblStylePr>
    <w:tblStylePr w:type="lastCol">
      <w:rPr>
        <w:rFonts w:ascii="Arial" w:hAnsi="Arial"/>
        <w:color w:val="F2F2F2"/>
        <w:sz w:val="22"/>
      </w:rPr>
      <w:tblPr>
        <w:tblStyle w:val="31"/>
      </w:tblPr>
      <w:tcPr>
        <w:shd w:val="clear" w:color="auto" w:fill="B2A1C7"/>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E5DFEC"/>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E5DFEC"/>
      </w:tcPr>
    </w:tblStylePr>
  </w:style>
  <w:style w:type="table" w:customStyle="1" w:styleId="198">
    <w:name w:val="Bordered &amp; Lined - Accent 51"/>
    <w:basedOn w:val="31"/>
    <w:qFormat/>
    <w:uiPriority w:val="99"/>
    <w:rPr>
      <w:color w:val="404040"/>
    </w:rPr>
    <w:tblPr>
      <w:tblStyle w:val="31"/>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4BACC6"/>
      </w:tcPr>
    </w:tblStylePr>
    <w:tblStylePr w:type="lastRow">
      <w:rPr>
        <w:rFonts w:ascii="Arial" w:hAnsi="Arial"/>
        <w:color w:val="F2F2F2"/>
        <w:sz w:val="22"/>
      </w:rPr>
      <w:tblPr>
        <w:tblStyle w:val="31"/>
      </w:tblPr>
      <w:tcPr>
        <w:shd w:val="clear" w:color="auto" w:fill="4BACC6"/>
      </w:tcPr>
    </w:tblStylePr>
    <w:tblStylePr w:type="firstCol">
      <w:rPr>
        <w:rFonts w:ascii="Arial" w:hAnsi="Arial"/>
        <w:color w:val="F2F2F2"/>
        <w:sz w:val="22"/>
      </w:rPr>
      <w:tblPr>
        <w:tblStyle w:val="31"/>
      </w:tblPr>
      <w:tcPr>
        <w:shd w:val="clear" w:color="auto" w:fill="4BACC6"/>
      </w:tcPr>
    </w:tblStylePr>
    <w:tblStylePr w:type="lastCol">
      <w:rPr>
        <w:rFonts w:ascii="Arial" w:hAnsi="Arial"/>
        <w:color w:val="F2F2F2"/>
        <w:sz w:val="22"/>
      </w:rPr>
      <w:tblPr>
        <w:tblStyle w:val="31"/>
      </w:tblPr>
      <w:tcPr>
        <w:shd w:val="clear" w:color="auto" w:fill="4BACC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DAEEF3"/>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DAEEF3"/>
      </w:tcPr>
    </w:tblStylePr>
  </w:style>
  <w:style w:type="table" w:customStyle="1" w:styleId="199">
    <w:name w:val="Bordered &amp; Lined - Accent 61"/>
    <w:basedOn w:val="31"/>
    <w:qFormat/>
    <w:uiPriority w:val="99"/>
    <w:rPr>
      <w:color w:val="404040"/>
    </w:rPr>
    <w:tblPr>
      <w:tblStyle w:val="31"/>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top w:w="96" w:type="dxa"/>
        <w:left w:w="170" w:type="dxa"/>
        <w:bottom w:w="96" w:type="dxa"/>
        <w:right w:w="170" w:type="dxa"/>
      </w:tblCellMar>
    </w:tblPr>
    <w:tblStylePr w:type="firstRow">
      <w:rPr>
        <w:rFonts w:ascii="Arial" w:hAnsi="Arial"/>
        <w:color w:val="F2F2F2"/>
        <w:sz w:val="22"/>
      </w:rPr>
      <w:tblPr>
        <w:tblStyle w:val="31"/>
      </w:tblPr>
      <w:tcPr>
        <w:shd w:val="clear" w:color="auto" w:fill="F79646"/>
      </w:tcPr>
    </w:tblStylePr>
    <w:tblStylePr w:type="lastRow">
      <w:rPr>
        <w:rFonts w:ascii="Arial" w:hAnsi="Arial"/>
        <w:color w:val="F2F2F2"/>
        <w:sz w:val="22"/>
      </w:rPr>
      <w:tblPr>
        <w:tblStyle w:val="31"/>
      </w:tblPr>
      <w:tcPr>
        <w:shd w:val="clear" w:color="auto" w:fill="F79646"/>
      </w:tcPr>
    </w:tblStylePr>
    <w:tblStylePr w:type="firstCol">
      <w:rPr>
        <w:rFonts w:ascii="Arial" w:hAnsi="Arial"/>
        <w:color w:val="F2F2F2"/>
        <w:sz w:val="22"/>
      </w:rPr>
      <w:tblPr>
        <w:tblStyle w:val="31"/>
      </w:tblPr>
      <w:tcPr>
        <w:shd w:val="clear" w:color="auto" w:fill="F79646"/>
      </w:tcPr>
    </w:tblStylePr>
    <w:tblStylePr w:type="lastCol">
      <w:rPr>
        <w:rFonts w:ascii="Arial" w:hAnsi="Arial"/>
        <w:color w:val="F2F2F2"/>
        <w:sz w:val="22"/>
      </w:rPr>
      <w:tblPr>
        <w:tblStyle w:val="31"/>
      </w:tblPr>
      <w:tcPr>
        <w:shd w:val="clear" w:color="auto" w:fill="F79646"/>
      </w:tcPr>
    </w:tblStylePr>
    <w:tblStylePr w:type="band1Vert">
      <w:rPr>
        <w:rFonts w:ascii="Arial" w:hAnsi="Arial"/>
        <w:color w:val="404040"/>
        <w:sz w:val="22"/>
      </w:rPr>
      <w:tblPr>
        <w:tblStyle w:val="31"/>
      </w:tblPr>
    </w:tblStylePr>
    <w:tblStylePr w:type="band2Vert">
      <w:rPr>
        <w:rFonts w:ascii="Arial" w:hAnsi="Arial"/>
        <w:color w:val="404040"/>
        <w:sz w:val="22"/>
      </w:rPr>
      <w:tblPr>
        <w:tblStyle w:val="31"/>
      </w:tblPr>
      <w:tcPr>
        <w:shd w:val="clear" w:color="auto" w:fill="FDE9D9"/>
      </w:tcPr>
    </w:tblStylePr>
    <w:tblStylePr w:type="band1Horz">
      <w:rPr>
        <w:rFonts w:ascii="Arial" w:hAnsi="Arial"/>
        <w:color w:val="404040"/>
        <w:sz w:val="22"/>
      </w:rPr>
      <w:tblPr>
        <w:tblStyle w:val="31"/>
      </w:tblPr>
    </w:tblStylePr>
    <w:tblStylePr w:type="band2Horz">
      <w:rPr>
        <w:rFonts w:ascii="Arial" w:hAnsi="Arial"/>
        <w:color w:val="404040"/>
        <w:sz w:val="22"/>
      </w:rPr>
      <w:tblPr>
        <w:tblStyle w:val="31"/>
      </w:tblPr>
      <w:tcPr>
        <w:shd w:val="clear" w:color="auto" w:fill="FDE9D9"/>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58</Pages>
  <Words>26715</Words>
  <Characters>27072</Characters>
  <Lines>205</Lines>
  <Paragraphs>57</Paragraphs>
  <TotalTime>0</TotalTime>
  <ScaleCrop>false</ScaleCrop>
  <LinksUpToDate>false</LinksUpToDate>
  <CharactersWithSpaces>27689</CharactersWithSpaces>
  <Application>WPS Office_5.1.1.7662_F1E327BC-269C-435d-A152-05C5408002CA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2022-05-17T17:15:00Z</dcterms:created>
  <dc:creator>maokj</dc:creator>
  <cp:lastModifiedBy>renwu5</cp:lastModifiedBy>
  <cp:lastPrinted>2022-03-22T17:10:00Z</cp:lastPrinted>
  <dcterms:modified xsi:type="dcterms:W3CDTF">2023-01-15T02:14:19Z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81813EFE358A83ABFBF0C2634B1C9F83</vt:lpwstr>
  </property>
</Properties>
</file>