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CE564" w14:textId="77777777" w:rsidR="004E2B7C" w:rsidRDefault="004E2B7C" w:rsidP="00EF6B61">
      <w:pPr>
        <w:spacing w:line="560" w:lineRule="exact"/>
        <w:jc w:val="center"/>
        <w:rPr>
          <w:rFonts w:ascii="方正小标宋简体" w:eastAsia="方正小标宋简体" w:hAnsi="方正小标宋简体" w:cs="方正小标宋简体" w:hint="eastAsia"/>
          <w:color w:val="000000"/>
          <w:sz w:val="44"/>
          <w:szCs w:val="44"/>
        </w:rPr>
      </w:pPr>
      <w:r>
        <w:rPr>
          <w:rFonts w:ascii="方正小标宋简体" w:eastAsia="方正小标宋简体" w:hAnsi="方正小标宋简体" w:cs="方正小标宋简体" w:hint="eastAsia"/>
          <w:color w:val="000000"/>
          <w:sz w:val="44"/>
          <w:szCs w:val="44"/>
        </w:rPr>
        <w:t>番禺区教育事业发展“十四五”规划</w:t>
      </w:r>
    </w:p>
    <w:p w14:paraId="7AB9145A" w14:textId="77777777" w:rsidR="004E2B7C" w:rsidRDefault="004E2B7C">
      <w:pPr>
        <w:spacing w:line="560" w:lineRule="exact"/>
        <w:jc w:val="center"/>
        <w:rPr>
          <w:rFonts w:ascii="方正小标宋简体" w:eastAsia="方正小标宋简体" w:hAnsi="方正小标宋简体" w:cs="方正小标宋简体" w:hint="eastAsia"/>
          <w:color w:val="000000"/>
          <w:sz w:val="44"/>
          <w:szCs w:val="44"/>
        </w:rPr>
      </w:pPr>
    </w:p>
    <w:p w14:paraId="68B9A3B2" w14:textId="6661EE52" w:rsidR="004E2B7C" w:rsidRDefault="004E2B7C">
      <w:pPr>
        <w:spacing w:line="560" w:lineRule="exact"/>
        <w:jc w:val="center"/>
        <w:outlineLvl w:val="0"/>
        <w:rPr>
          <w:rFonts w:ascii="黑体" w:eastAsia="黑体" w:hAnsi="黑体" w:cs="黑体" w:hint="eastAsia"/>
          <w:color w:val="000000"/>
          <w:szCs w:val="32"/>
        </w:rPr>
      </w:pPr>
      <w:bookmarkStart w:id="0" w:name="_Toc24244"/>
      <w:bookmarkStart w:id="1" w:name="_Toc1221519474"/>
      <w:bookmarkStart w:id="2" w:name="_Toc118196643"/>
      <w:bookmarkStart w:id="3" w:name="_Toc1297930365"/>
      <w:r>
        <w:rPr>
          <w:rFonts w:ascii="黑体" w:eastAsia="黑体" w:hAnsi="黑体" w:cs="黑体" w:hint="eastAsia"/>
          <w:color w:val="000000"/>
          <w:szCs w:val="32"/>
        </w:rPr>
        <w:t>第一章  规划背景</w:t>
      </w:r>
      <w:bookmarkEnd w:id="0"/>
      <w:bookmarkEnd w:id="1"/>
      <w:bookmarkEnd w:id="2"/>
      <w:bookmarkEnd w:id="3"/>
    </w:p>
    <w:p w14:paraId="34C9DFAC" w14:textId="77777777" w:rsidR="004E2B7C" w:rsidRDefault="004E2B7C">
      <w:pPr>
        <w:spacing w:line="560" w:lineRule="exact"/>
        <w:ind w:firstLineChars="200" w:firstLine="632"/>
        <w:rPr>
          <w:rFonts w:ascii="仿宋_GB2312" w:hint="eastAsia"/>
          <w:color w:val="000000"/>
          <w:szCs w:val="32"/>
        </w:rPr>
      </w:pPr>
    </w:p>
    <w:p w14:paraId="3F96949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十四五”时期是我国开启全面建设社会主义现代化国家新征程、向第二个百年奋斗目标进军的第一个五年，也是我区打造大湾区世界级城市群中的现代化亲海智城、开创高质量发展格局的关键时期。我区将继续坚持优先发展教育，以“办好人民满意的教育”为目标，以“教育高质量发展”为主线，以“上品教化”为区域教育发展理念，落实立德树人根本任务，加快推进教育现代化，构建体现中国特色、时代特征、番禺特点的高质量教育发展体系，力促我区成为广州市前列、全国一流的高质量教育发展示范区。根据《国家教育事业发展“十四五”规划》《广东省教育发展“十四五”规划》《广州市教育事业发展“十四五”规划》《广州市教育现代化2035》《番禺区国民经济和社会发展第十四个五年规划和2035年远景目标纲要》，制定本规划。</w:t>
      </w:r>
    </w:p>
    <w:p w14:paraId="0ECE324E"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4" w:name="_Toc909379709"/>
      <w:bookmarkStart w:id="5" w:name="_Toc803830320"/>
      <w:bookmarkStart w:id="6" w:name="_Toc17636"/>
      <w:bookmarkStart w:id="7" w:name="_Toc1284080594"/>
      <w:r>
        <w:rPr>
          <w:rFonts w:ascii="黑体" w:eastAsia="黑体" w:hAnsi="黑体" w:cs="黑体" w:hint="eastAsia"/>
          <w:color w:val="000000"/>
          <w:szCs w:val="32"/>
        </w:rPr>
        <w:t>一、发展基础</w:t>
      </w:r>
      <w:bookmarkEnd w:id="4"/>
      <w:bookmarkEnd w:id="5"/>
      <w:bookmarkEnd w:id="6"/>
      <w:bookmarkEnd w:id="7"/>
    </w:p>
    <w:p w14:paraId="176C939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十三五”期间，我区以“上品教化”理念为引领，以“办好人民满意的教育”为目标，贯彻落实“立德树人”的根本任务，以扩大规模、提高质量、健全保障为重点，落实优先发展教育的责任和措施，我区教育改革发展取得了显著成绩。我区先后获评国家学前教育改革发展实验区、全国义务教育发展基本均衡区、</w:t>
      </w:r>
      <w:r>
        <w:rPr>
          <w:rFonts w:ascii="仿宋_GB2312" w:hint="eastAsia"/>
          <w:color w:val="000000"/>
          <w:szCs w:val="32"/>
        </w:rPr>
        <w:lastRenderedPageBreak/>
        <w:t>国家义务教育质量监测实施“优秀组织单位”、全国社区教育示范区、全国数字化学习先行区、全国中小学校责任督学挂牌督导创新区（广州市首个）、广东省推进教育现代化先进区、广东省学前教育改革发展实验区（石</w:t>
      </w:r>
      <w:r>
        <w:rPr>
          <w:rFonts w:ascii="仿宋" w:eastAsia="仿宋" w:hAnsi="仿宋" w:cs="仿宋" w:hint="eastAsia"/>
          <w:color w:val="000000"/>
          <w:szCs w:val="32"/>
        </w:rPr>
        <w:t>碁</w:t>
      </w:r>
      <w:r>
        <w:rPr>
          <w:rFonts w:ascii="仿宋_GB2312" w:hint="eastAsia"/>
          <w:color w:val="000000"/>
          <w:szCs w:val="32"/>
        </w:rPr>
        <w:t>镇同时被评定为实验镇）。在2020年公布的2018年度广东省人民政府对县(区)级人民政府履行教育职责综合评价中，我区位列珠三角第四、广州市第一。</w:t>
      </w:r>
    </w:p>
    <w:p w14:paraId="3B668C47"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8" w:name="_Toc22877"/>
      <w:bookmarkStart w:id="9" w:name="_Toc1071172096"/>
      <w:bookmarkStart w:id="10" w:name="_Toc2124038989"/>
      <w:bookmarkStart w:id="11" w:name="_Toc1955678245"/>
      <w:r>
        <w:rPr>
          <w:rFonts w:ascii="楷体_GB2312" w:eastAsia="楷体_GB2312" w:hAnsi="楷体_GB2312" w:cs="楷体_GB2312" w:hint="eastAsia"/>
          <w:color w:val="000000"/>
          <w:szCs w:val="32"/>
        </w:rPr>
        <w:t>（一）教育投入保持高位增长</w:t>
      </w:r>
      <w:bookmarkEnd w:id="8"/>
      <w:bookmarkEnd w:id="9"/>
      <w:bookmarkEnd w:id="10"/>
      <w:bookmarkEnd w:id="11"/>
    </w:p>
    <w:p w14:paraId="68204EC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我区坚持落实教育优先发展战略，2016—2020年教育经费投入逐年增长，5年累计投入经费250.24亿元。教育经费投入占全区年度公共财政预算支出的比例从2016年的28.7%提高至2020年的35.91%，占比保持逐年提升，具体详见图1所示。</w:t>
      </w:r>
    </w:p>
    <w:tbl>
      <w:tblPr>
        <w:tblW w:w="8296" w:type="dxa"/>
        <w:jc w:val="center"/>
        <w:tblInd w:w="0" w:type="dxa"/>
        <w:tblLayout w:type="fixed"/>
        <w:tblLook w:val="0000" w:firstRow="0" w:lastRow="0" w:firstColumn="0" w:lastColumn="0" w:noHBand="0" w:noVBand="0"/>
      </w:tblPr>
      <w:tblGrid>
        <w:gridCol w:w="8296"/>
      </w:tblGrid>
      <w:tr w:rsidR="004E2B7C" w:rsidRPr="004E2B7C" w14:paraId="0D638CED" w14:textId="77777777" w:rsidTr="004E2B7C">
        <w:trPr>
          <w:jc w:val="center"/>
        </w:trPr>
        <w:tc>
          <w:tcPr>
            <w:tcW w:w="8296" w:type="dxa"/>
            <w:shd w:val="clear" w:color="auto" w:fill="auto"/>
          </w:tcPr>
          <w:p w14:paraId="3A7AA047" w14:textId="77777777" w:rsidR="004E2B7C" w:rsidRPr="004E2B7C" w:rsidRDefault="004E2B7C" w:rsidP="004E2B7C">
            <w:pPr>
              <w:jc w:val="center"/>
              <w:rPr>
                <w:rFonts w:ascii="仿宋_GB2312" w:hAnsi="仿宋" w:cs="仿宋"/>
                <w:szCs w:val="32"/>
              </w:rPr>
            </w:pPr>
            <w:r w:rsidRPr="004E2B7C">
              <w:rPr>
                <w:rFonts w:ascii="仿宋_GB2312" w:hAnsi="仿宋" w:hint="eastAsia"/>
                <w:szCs w:val="32"/>
              </w:rPr>
              <w:object w:dxaOrig="6420" w:dyaOrig="4920" w14:anchorId="1C97A2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表 2" o:spid="_x0000_i1025" type="#_x0000_t75" style="width:321pt;height:246pt;mso-position-horizontal-relative:page;mso-position-vertical-relative:page" o:ole="">
                  <v:imagedata r:id="rId6" o:title=""/>
                </v:shape>
                <o:OLEObject Type="Embed" ProgID="Excel.Sheet.8" ShapeID="图表 2" DrawAspect="Content" ObjectID="_1735658611" r:id="rId7">
                  <o:FieldCodes>\* MERGEFORMAT</o:FieldCodes>
                </o:OLEObject>
              </w:object>
            </w:r>
          </w:p>
        </w:tc>
      </w:tr>
      <w:tr w:rsidR="004E2B7C" w:rsidRPr="004E2B7C" w14:paraId="1AF3AD74" w14:textId="77777777" w:rsidTr="004E2B7C">
        <w:trPr>
          <w:jc w:val="center"/>
        </w:trPr>
        <w:tc>
          <w:tcPr>
            <w:tcW w:w="8296" w:type="dxa"/>
            <w:shd w:val="clear" w:color="auto" w:fill="auto"/>
          </w:tcPr>
          <w:p w14:paraId="3F221E5D" w14:textId="77777777" w:rsidR="004E2B7C" w:rsidRPr="004E2B7C" w:rsidRDefault="004E2B7C" w:rsidP="004E2B7C">
            <w:pPr>
              <w:jc w:val="center"/>
              <w:rPr>
                <w:rFonts w:ascii="仿宋_GB2312" w:hAnsi="仿宋" w:cs="仿宋_GB2312"/>
                <w:sz w:val="30"/>
                <w:szCs w:val="30"/>
              </w:rPr>
            </w:pPr>
            <w:r w:rsidRPr="004E2B7C">
              <w:rPr>
                <w:rFonts w:ascii="仿宋_GB2312" w:hAnsi="仿宋" w:cs="仿宋" w:hint="eastAsia"/>
                <w:sz w:val="28"/>
                <w:szCs w:val="28"/>
              </w:rPr>
              <w:t xml:space="preserve">图1 </w:t>
            </w:r>
            <w:r w:rsidRPr="004E2B7C">
              <w:rPr>
                <w:rFonts w:ascii="仿宋_GB2312" w:hAnsi="仿宋" w:cs="仿宋_GB2312" w:hint="eastAsia"/>
                <w:sz w:val="28"/>
                <w:szCs w:val="28"/>
              </w:rPr>
              <w:t>“十三五”期间番禺区教育投入概况</w:t>
            </w:r>
          </w:p>
        </w:tc>
      </w:tr>
    </w:tbl>
    <w:p w14:paraId="1152028D"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2" w:name="_Toc262"/>
      <w:bookmarkStart w:id="13" w:name="_Toc138454876"/>
      <w:bookmarkStart w:id="14" w:name="_Toc529738739"/>
      <w:bookmarkStart w:id="15" w:name="_Toc1167958882"/>
      <w:r>
        <w:rPr>
          <w:rFonts w:ascii="楷体_GB2312" w:eastAsia="楷体_GB2312" w:hAnsi="楷体_GB2312" w:cs="楷体_GB2312" w:hint="eastAsia"/>
          <w:color w:val="000000"/>
          <w:szCs w:val="32"/>
        </w:rPr>
        <w:t>（二）现代化教育体系基本形成</w:t>
      </w:r>
      <w:bookmarkEnd w:id="12"/>
      <w:bookmarkEnd w:id="13"/>
      <w:bookmarkEnd w:id="14"/>
      <w:bookmarkEnd w:id="15"/>
    </w:p>
    <w:p w14:paraId="123892A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全区共有幼儿园352所，其中公办幼儿园178所、普惠性民办园135所，规范化以上幼儿园343所；中小学217所，其中小学140所、初级中学24所、高级中学6所、九年一贯制学校35所、完全中学8所、特殊教育学校1所、中等职业学校3所。公办中小学共计177所，民办中小学共计40所；社区教育学校8所（挂靠在7个教育指导中心），电大、党校、教师进修学校、青少年宫各1所，外籍人员子女学校3所。全区基本形成了学前教育、义务教育、职业教育、社区教育和特殊教育协调发展，公办、民办等多种办学体制并存的现代化教育体系。</w:t>
      </w:r>
    </w:p>
    <w:p w14:paraId="1F5F93D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各类学校数量具体详见表1；2020年我区在校学生人数详见表2。</w:t>
      </w:r>
    </w:p>
    <w:p w14:paraId="30B7AAA0" w14:textId="77777777" w:rsidR="004E2B7C" w:rsidRDefault="004E2B7C">
      <w:pPr>
        <w:spacing w:line="560" w:lineRule="exact"/>
        <w:jc w:val="center"/>
        <w:rPr>
          <w:rFonts w:ascii="仿宋_GB2312" w:hint="eastAsia"/>
          <w:color w:val="000000"/>
          <w:sz w:val="28"/>
          <w:szCs w:val="28"/>
        </w:rPr>
      </w:pPr>
      <w:r>
        <w:rPr>
          <w:rFonts w:ascii="仿宋_GB2312" w:hint="eastAsia"/>
          <w:color w:val="000000"/>
          <w:sz w:val="28"/>
          <w:szCs w:val="28"/>
        </w:rPr>
        <w:t>表1 “十三五”期间番禺区现代化教育体系</w:t>
      </w:r>
    </w:p>
    <w:tbl>
      <w:tblPr>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9"/>
        <w:gridCol w:w="3956"/>
        <w:gridCol w:w="3637"/>
      </w:tblGrid>
      <w:tr w:rsidR="004E2B7C" w14:paraId="29952FEA" w14:textId="77777777">
        <w:trPr>
          <w:trHeight w:val="465"/>
          <w:tblHeader/>
          <w:jc w:val="center"/>
        </w:trPr>
        <w:tc>
          <w:tcPr>
            <w:tcW w:w="701" w:type="pct"/>
          </w:tcPr>
          <w:p w14:paraId="111977D9"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序号</w:t>
            </w:r>
          </w:p>
        </w:tc>
        <w:tc>
          <w:tcPr>
            <w:tcW w:w="2239" w:type="pct"/>
            <w:vAlign w:val="center"/>
          </w:tcPr>
          <w:p w14:paraId="19176A65"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学校类别</w:t>
            </w:r>
          </w:p>
        </w:tc>
        <w:tc>
          <w:tcPr>
            <w:tcW w:w="2059" w:type="pct"/>
            <w:vAlign w:val="center"/>
          </w:tcPr>
          <w:p w14:paraId="32595EC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截至2020年学校数量（所）</w:t>
            </w:r>
          </w:p>
        </w:tc>
      </w:tr>
      <w:tr w:rsidR="004E2B7C" w14:paraId="523328A7" w14:textId="77777777">
        <w:trPr>
          <w:trHeight w:val="435"/>
          <w:jc w:val="center"/>
        </w:trPr>
        <w:tc>
          <w:tcPr>
            <w:tcW w:w="701" w:type="pct"/>
          </w:tcPr>
          <w:p w14:paraId="5B5BEC0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c>
          <w:tcPr>
            <w:tcW w:w="2239" w:type="pct"/>
            <w:vAlign w:val="center"/>
          </w:tcPr>
          <w:p w14:paraId="707A1E48"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幼儿园</w:t>
            </w:r>
          </w:p>
        </w:tc>
        <w:tc>
          <w:tcPr>
            <w:tcW w:w="2059" w:type="pct"/>
            <w:vAlign w:val="center"/>
          </w:tcPr>
          <w:p w14:paraId="17E89F47"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352</w:t>
            </w:r>
          </w:p>
        </w:tc>
      </w:tr>
      <w:tr w:rsidR="004E2B7C" w14:paraId="27600AE1" w14:textId="77777777">
        <w:trPr>
          <w:trHeight w:val="435"/>
          <w:jc w:val="center"/>
        </w:trPr>
        <w:tc>
          <w:tcPr>
            <w:tcW w:w="701" w:type="pct"/>
          </w:tcPr>
          <w:p w14:paraId="0FAB81E9"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2</w:t>
            </w:r>
          </w:p>
        </w:tc>
        <w:tc>
          <w:tcPr>
            <w:tcW w:w="2239" w:type="pct"/>
            <w:vAlign w:val="center"/>
          </w:tcPr>
          <w:p w14:paraId="41A3890F"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小学</w:t>
            </w:r>
          </w:p>
        </w:tc>
        <w:tc>
          <w:tcPr>
            <w:tcW w:w="2059" w:type="pct"/>
            <w:vAlign w:val="center"/>
          </w:tcPr>
          <w:p w14:paraId="39CDCDE1"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140</w:t>
            </w:r>
          </w:p>
        </w:tc>
      </w:tr>
      <w:tr w:rsidR="004E2B7C" w14:paraId="0101DB02" w14:textId="77777777">
        <w:trPr>
          <w:trHeight w:val="435"/>
          <w:jc w:val="center"/>
        </w:trPr>
        <w:tc>
          <w:tcPr>
            <w:tcW w:w="701" w:type="pct"/>
          </w:tcPr>
          <w:p w14:paraId="2A8E20EC"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3</w:t>
            </w:r>
          </w:p>
        </w:tc>
        <w:tc>
          <w:tcPr>
            <w:tcW w:w="2239" w:type="pct"/>
            <w:vAlign w:val="center"/>
          </w:tcPr>
          <w:p w14:paraId="2991C6A4"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初级中学</w:t>
            </w:r>
          </w:p>
        </w:tc>
        <w:tc>
          <w:tcPr>
            <w:tcW w:w="2059" w:type="pct"/>
            <w:vAlign w:val="center"/>
          </w:tcPr>
          <w:p w14:paraId="587E514D"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24</w:t>
            </w:r>
          </w:p>
        </w:tc>
      </w:tr>
      <w:tr w:rsidR="004E2B7C" w14:paraId="36FDAEE8" w14:textId="77777777">
        <w:trPr>
          <w:trHeight w:val="435"/>
          <w:jc w:val="center"/>
        </w:trPr>
        <w:tc>
          <w:tcPr>
            <w:tcW w:w="701" w:type="pct"/>
          </w:tcPr>
          <w:p w14:paraId="3F3B7BA5"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4</w:t>
            </w:r>
          </w:p>
        </w:tc>
        <w:tc>
          <w:tcPr>
            <w:tcW w:w="2239" w:type="pct"/>
            <w:vAlign w:val="center"/>
          </w:tcPr>
          <w:p w14:paraId="68035151"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高级中学</w:t>
            </w:r>
          </w:p>
        </w:tc>
        <w:tc>
          <w:tcPr>
            <w:tcW w:w="2059" w:type="pct"/>
            <w:vAlign w:val="center"/>
          </w:tcPr>
          <w:p w14:paraId="625376B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6</w:t>
            </w:r>
          </w:p>
        </w:tc>
      </w:tr>
      <w:tr w:rsidR="004E2B7C" w14:paraId="1726A86E" w14:textId="77777777">
        <w:trPr>
          <w:trHeight w:val="435"/>
          <w:jc w:val="center"/>
        </w:trPr>
        <w:tc>
          <w:tcPr>
            <w:tcW w:w="701" w:type="pct"/>
          </w:tcPr>
          <w:p w14:paraId="3D2BDA1D"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5</w:t>
            </w:r>
          </w:p>
        </w:tc>
        <w:tc>
          <w:tcPr>
            <w:tcW w:w="2239" w:type="pct"/>
            <w:vAlign w:val="center"/>
          </w:tcPr>
          <w:p w14:paraId="565B7096"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九年一贯制学校</w:t>
            </w:r>
          </w:p>
        </w:tc>
        <w:tc>
          <w:tcPr>
            <w:tcW w:w="2059" w:type="pct"/>
            <w:vAlign w:val="center"/>
          </w:tcPr>
          <w:p w14:paraId="0CFB1378"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35</w:t>
            </w:r>
          </w:p>
        </w:tc>
      </w:tr>
      <w:tr w:rsidR="004E2B7C" w14:paraId="60642ECC" w14:textId="77777777">
        <w:trPr>
          <w:trHeight w:val="435"/>
          <w:jc w:val="center"/>
        </w:trPr>
        <w:tc>
          <w:tcPr>
            <w:tcW w:w="701" w:type="pct"/>
          </w:tcPr>
          <w:p w14:paraId="41184287"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6</w:t>
            </w:r>
          </w:p>
        </w:tc>
        <w:tc>
          <w:tcPr>
            <w:tcW w:w="2239" w:type="pct"/>
            <w:vAlign w:val="center"/>
          </w:tcPr>
          <w:p w14:paraId="5ABD0238"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完全中学</w:t>
            </w:r>
          </w:p>
        </w:tc>
        <w:tc>
          <w:tcPr>
            <w:tcW w:w="2059" w:type="pct"/>
            <w:vAlign w:val="center"/>
          </w:tcPr>
          <w:p w14:paraId="200AFBA2"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8</w:t>
            </w:r>
          </w:p>
        </w:tc>
      </w:tr>
      <w:tr w:rsidR="004E2B7C" w14:paraId="371E01F4" w14:textId="77777777">
        <w:trPr>
          <w:trHeight w:val="435"/>
          <w:jc w:val="center"/>
        </w:trPr>
        <w:tc>
          <w:tcPr>
            <w:tcW w:w="701" w:type="pct"/>
          </w:tcPr>
          <w:p w14:paraId="7E6423BE"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7</w:t>
            </w:r>
          </w:p>
        </w:tc>
        <w:tc>
          <w:tcPr>
            <w:tcW w:w="2239" w:type="pct"/>
            <w:vAlign w:val="center"/>
          </w:tcPr>
          <w:p w14:paraId="62BC35D8"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特殊教育学校</w:t>
            </w:r>
          </w:p>
        </w:tc>
        <w:tc>
          <w:tcPr>
            <w:tcW w:w="2059" w:type="pct"/>
            <w:vAlign w:val="center"/>
          </w:tcPr>
          <w:p w14:paraId="696A8931"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r>
      <w:tr w:rsidR="004E2B7C" w14:paraId="1D65AF62" w14:textId="77777777">
        <w:trPr>
          <w:trHeight w:val="435"/>
          <w:jc w:val="center"/>
        </w:trPr>
        <w:tc>
          <w:tcPr>
            <w:tcW w:w="701" w:type="pct"/>
          </w:tcPr>
          <w:p w14:paraId="153DCFBA"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8</w:t>
            </w:r>
          </w:p>
        </w:tc>
        <w:tc>
          <w:tcPr>
            <w:tcW w:w="2239" w:type="pct"/>
            <w:vAlign w:val="center"/>
          </w:tcPr>
          <w:p w14:paraId="7F56BD20"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中等职业学校</w:t>
            </w:r>
          </w:p>
        </w:tc>
        <w:tc>
          <w:tcPr>
            <w:tcW w:w="2059" w:type="pct"/>
            <w:vAlign w:val="center"/>
          </w:tcPr>
          <w:p w14:paraId="3DA27B6C"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3</w:t>
            </w:r>
          </w:p>
        </w:tc>
      </w:tr>
      <w:tr w:rsidR="004E2B7C" w14:paraId="606DA468" w14:textId="77777777">
        <w:trPr>
          <w:trHeight w:val="435"/>
          <w:jc w:val="center"/>
        </w:trPr>
        <w:tc>
          <w:tcPr>
            <w:tcW w:w="701" w:type="pct"/>
          </w:tcPr>
          <w:p w14:paraId="6106119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9</w:t>
            </w:r>
          </w:p>
        </w:tc>
        <w:tc>
          <w:tcPr>
            <w:tcW w:w="2239" w:type="pct"/>
            <w:vAlign w:val="center"/>
          </w:tcPr>
          <w:p w14:paraId="40DD1F7A"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社区教育学校</w:t>
            </w:r>
          </w:p>
        </w:tc>
        <w:tc>
          <w:tcPr>
            <w:tcW w:w="2059" w:type="pct"/>
            <w:vAlign w:val="center"/>
          </w:tcPr>
          <w:p w14:paraId="7E0D5472"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8</w:t>
            </w:r>
          </w:p>
        </w:tc>
      </w:tr>
      <w:tr w:rsidR="004E2B7C" w14:paraId="0322C008" w14:textId="77777777">
        <w:trPr>
          <w:trHeight w:val="435"/>
          <w:jc w:val="center"/>
        </w:trPr>
        <w:tc>
          <w:tcPr>
            <w:tcW w:w="701" w:type="pct"/>
          </w:tcPr>
          <w:p w14:paraId="69490185"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10</w:t>
            </w:r>
          </w:p>
        </w:tc>
        <w:tc>
          <w:tcPr>
            <w:tcW w:w="2239" w:type="pct"/>
            <w:vAlign w:val="center"/>
          </w:tcPr>
          <w:p w14:paraId="30CC400E"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电大</w:t>
            </w:r>
          </w:p>
        </w:tc>
        <w:tc>
          <w:tcPr>
            <w:tcW w:w="2059" w:type="pct"/>
            <w:vAlign w:val="center"/>
          </w:tcPr>
          <w:p w14:paraId="26C232C7"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r>
      <w:tr w:rsidR="004E2B7C" w14:paraId="194718E7" w14:textId="77777777">
        <w:trPr>
          <w:trHeight w:val="435"/>
          <w:jc w:val="center"/>
        </w:trPr>
        <w:tc>
          <w:tcPr>
            <w:tcW w:w="701" w:type="pct"/>
          </w:tcPr>
          <w:p w14:paraId="672DAE2C"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lastRenderedPageBreak/>
              <w:t>11</w:t>
            </w:r>
          </w:p>
        </w:tc>
        <w:tc>
          <w:tcPr>
            <w:tcW w:w="2239" w:type="pct"/>
            <w:vAlign w:val="center"/>
          </w:tcPr>
          <w:p w14:paraId="5E7FC1D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党校</w:t>
            </w:r>
          </w:p>
        </w:tc>
        <w:tc>
          <w:tcPr>
            <w:tcW w:w="2059" w:type="pct"/>
            <w:vAlign w:val="center"/>
          </w:tcPr>
          <w:p w14:paraId="663BA57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r>
      <w:tr w:rsidR="004E2B7C" w14:paraId="1B078DBA" w14:textId="77777777">
        <w:trPr>
          <w:trHeight w:val="435"/>
          <w:jc w:val="center"/>
        </w:trPr>
        <w:tc>
          <w:tcPr>
            <w:tcW w:w="701" w:type="pct"/>
          </w:tcPr>
          <w:p w14:paraId="57930D83"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12</w:t>
            </w:r>
          </w:p>
        </w:tc>
        <w:tc>
          <w:tcPr>
            <w:tcW w:w="2239" w:type="pct"/>
            <w:vAlign w:val="center"/>
          </w:tcPr>
          <w:p w14:paraId="3F7A5240"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教师进修学校</w:t>
            </w:r>
          </w:p>
        </w:tc>
        <w:tc>
          <w:tcPr>
            <w:tcW w:w="2059" w:type="pct"/>
            <w:vAlign w:val="center"/>
          </w:tcPr>
          <w:p w14:paraId="52B23E29"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r>
      <w:tr w:rsidR="004E2B7C" w14:paraId="68C44476" w14:textId="77777777">
        <w:trPr>
          <w:trHeight w:val="435"/>
          <w:jc w:val="center"/>
        </w:trPr>
        <w:tc>
          <w:tcPr>
            <w:tcW w:w="701" w:type="pct"/>
          </w:tcPr>
          <w:p w14:paraId="0BD4E274"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13</w:t>
            </w:r>
          </w:p>
        </w:tc>
        <w:tc>
          <w:tcPr>
            <w:tcW w:w="2239" w:type="pct"/>
            <w:vAlign w:val="center"/>
          </w:tcPr>
          <w:p w14:paraId="0100335E"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外籍人员子女学校</w:t>
            </w:r>
          </w:p>
        </w:tc>
        <w:tc>
          <w:tcPr>
            <w:tcW w:w="2059" w:type="pct"/>
            <w:vAlign w:val="center"/>
          </w:tcPr>
          <w:p w14:paraId="7FBF4B9A"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3</w:t>
            </w:r>
          </w:p>
        </w:tc>
      </w:tr>
      <w:tr w:rsidR="004E2B7C" w14:paraId="19E025D4" w14:textId="77777777">
        <w:trPr>
          <w:trHeight w:val="435"/>
          <w:jc w:val="center"/>
        </w:trPr>
        <w:tc>
          <w:tcPr>
            <w:tcW w:w="701" w:type="pct"/>
          </w:tcPr>
          <w:p w14:paraId="4C834F70"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14</w:t>
            </w:r>
          </w:p>
        </w:tc>
        <w:tc>
          <w:tcPr>
            <w:tcW w:w="2239" w:type="pct"/>
            <w:vAlign w:val="center"/>
          </w:tcPr>
          <w:p w14:paraId="648B5D18"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青少年宫</w:t>
            </w:r>
          </w:p>
        </w:tc>
        <w:tc>
          <w:tcPr>
            <w:tcW w:w="2059" w:type="pct"/>
            <w:vAlign w:val="center"/>
          </w:tcPr>
          <w:p w14:paraId="517F40A7" w14:textId="77777777" w:rsidR="004E2B7C" w:rsidRDefault="004E2B7C">
            <w:pPr>
              <w:widowControl/>
              <w:spacing w:line="480" w:lineRule="exact"/>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r>
    </w:tbl>
    <w:p w14:paraId="471803B7" w14:textId="77777777" w:rsidR="004E2B7C" w:rsidRDefault="004E2B7C">
      <w:pPr>
        <w:spacing w:line="560" w:lineRule="exact"/>
        <w:jc w:val="center"/>
        <w:rPr>
          <w:rFonts w:ascii="仿宋_GB2312" w:hint="eastAsia"/>
          <w:color w:val="000000"/>
          <w:sz w:val="28"/>
          <w:szCs w:val="28"/>
        </w:rPr>
      </w:pPr>
    </w:p>
    <w:p w14:paraId="7F536B2D" w14:textId="77777777" w:rsidR="004E2B7C" w:rsidRDefault="004E2B7C">
      <w:pPr>
        <w:spacing w:line="560" w:lineRule="exact"/>
        <w:jc w:val="center"/>
        <w:rPr>
          <w:rFonts w:ascii="仿宋_GB2312" w:hint="eastAsia"/>
          <w:color w:val="000000"/>
          <w:sz w:val="28"/>
          <w:szCs w:val="28"/>
        </w:rPr>
      </w:pPr>
      <w:r>
        <w:rPr>
          <w:rFonts w:ascii="仿宋_GB2312" w:hint="eastAsia"/>
          <w:color w:val="000000"/>
          <w:sz w:val="28"/>
          <w:szCs w:val="28"/>
        </w:rPr>
        <w:t>表2  2020年番禺区在校生人数</w:t>
      </w:r>
    </w:p>
    <w:tbl>
      <w:tblPr>
        <w:tblW w:w="4997" w:type="pct"/>
        <w:jc w:val="center"/>
        <w:tblInd w:w="0" w:type="dxa"/>
        <w:tblLook w:val="0000" w:firstRow="0" w:lastRow="0" w:firstColumn="0" w:lastColumn="0" w:noHBand="0" w:noVBand="0"/>
      </w:tblPr>
      <w:tblGrid>
        <w:gridCol w:w="1219"/>
        <w:gridCol w:w="3978"/>
        <w:gridCol w:w="3632"/>
      </w:tblGrid>
      <w:tr w:rsidR="004E2B7C" w14:paraId="59B189CC" w14:textId="77777777">
        <w:trPr>
          <w:trHeight w:val="405"/>
          <w:jc w:val="center"/>
        </w:trPr>
        <w:tc>
          <w:tcPr>
            <w:tcW w:w="690" w:type="pct"/>
            <w:tcBorders>
              <w:top w:val="single" w:sz="4" w:space="0" w:color="auto"/>
              <w:left w:val="single" w:sz="4" w:space="0" w:color="auto"/>
              <w:bottom w:val="single" w:sz="4" w:space="0" w:color="auto"/>
              <w:right w:val="single" w:sz="4" w:space="0" w:color="auto"/>
            </w:tcBorders>
            <w:vAlign w:val="center"/>
          </w:tcPr>
          <w:p w14:paraId="3E43AC89"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序号</w:t>
            </w:r>
          </w:p>
        </w:tc>
        <w:tc>
          <w:tcPr>
            <w:tcW w:w="2252" w:type="pct"/>
            <w:tcBorders>
              <w:top w:val="single" w:sz="4" w:space="0" w:color="auto"/>
              <w:left w:val="single" w:sz="4" w:space="0" w:color="auto"/>
              <w:bottom w:val="single" w:sz="4" w:space="0" w:color="auto"/>
              <w:right w:val="single" w:sz="4" w:space="0" w:color="auto"/>
            </w:tcBorders>
            <w:vAlign w:val="center"/>
          </w:tcPr>
          <w:p w14:paraId="453EE21B"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类别</w:t>
            </w:r>
          </w:p>
        </w:tc>
        <w:tc>
          <w:tcPr>
            <w:tcW w:w="2056" w:type="pct"/>
            <w:tcBorders>
              <w:top w:val="single" w:sz="4" w:space="0" w:color="auto"/>
              <w:left w:val="nil"/>
              <w:bottom w:val="single" w:sz="4" w:space="0" w:color="auto"/>
              <w:right w:val="single" w:sz="4" w:space="0" w:color="auto"/>
            </w:tcBorders>
            <w:vAlign w:val="center"/>
          </w:tcPr>
          <w:p w14:paraId="1874F396"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在校生人数（人）</w:t>
            </w:r>
          </w:p>
        </w:tc>
      </w:tr>
      <w:tr w:rsidR="004E2B7C" w14:paraId="4DEE75BF" w14:textId="77777777">
        <w:trPr>
          <w:trHeight w:val="405"/>
          <w:jc w:val="center"/>
        </w:trPr>
        <w:tc>
          <w:tcPr>
            <w:tcW w:w="690" w:type="pct"/>
            <w:tcBorders>
              <w:top w:val="nil"/>
              <w:left w:val="single" w:sz="4" w:space="0" w:color="auto"/>
              <w:bottom w:val="single" w:sz="4" w:space="0" w:color="auto"/>
              <w:right w:val="single" w:sz="4" w:space="0" w:color="auto"/>
            </w:tcBorders>
          </w:tcPr>
          <w:p w14:paraId="0B003BD1"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1</w:t>
            </w:r>
          </w:p>
        </w:tc>
        <w:tc>
          <w:tcPr>
            <w:tcW w:w="2252" w:type="pct"/>
            <w:tcBorders>
              <w:top w:val="nil"/>
              <w:left w:val="single" w:sz="4" w:space="0" w:color="auto"/>
              <w:bottom w:val="single" w:sz="4" w:space="0" w:color="auto"/>
              <w:right w:val="single" w:sz="4" w:space="0" w:color="auto"/>
            </w:tcBorders>
            <w:vAlign w:val="center"/>
          </w:tcPr>
          <w:p w14:paraId="23037933"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幼儿园</w:t>
            </w:r>
          </w:p>
        </w:tc>
        <w:tc>
          <w:tcPr>
            <w:tcW w:w="2056" w:type="pct"/>
            <w:tcBorders>
              <w:top w:val="nil"/>
              <w:left w:val="nil"/>
              <w:bottom w:val="single" w:sz="4" w:space="0" w:color="auto"/>
              <w:right w:val="single" w:sz="4" w:space="0" w:color="auto"/>
            </w:tcBorders>
            <w:vAlign w:val="center"/>
          </w:tcPr>
          <w:p w14:paraId="574D5CD0"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96632</w:t>
            </w:r>
          </w:p>
        </w:tc>
      </w:tr>
      <w:tr w:rsidR="004E2B7C" w14:paraId="38702031" w14:textId="77777777">
        <w:trPr>
          <w:trHeight w:val="405"/>
          <w:jc w:val="center"/>
        </w:trPr>
        <w:tc>
          <w:tcPr>
            <w:tcW w:w="690" w:type="pct"/>
            <w:tcBorders>
              <w:top w:val="nil"/>
              <w:left w:val="single" w:sz="4" w:space="0" w:color="auto"/>
              <w:bottom w:val="single" w:sz="4" w:space="0" w:color="auto"/>
              <w:right w:val="single" w:sz="4" w:space="0" w:color="auto"/>
            </w:tcBorders>
          </w:tcPr>
          <w:p w14:paraId="50280697"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2</w:t>
            </w:r>
          </w:p>
        </w:tc>
        <w:tc>
          <w:tcPr>
            <w:tcW w:w="2252" w:type="pct"/>
            <w:tcBorders>
              <w:top w:val="nil"/>
              <w:left w:val="single" w:sz="4" w:space="0" w:color="auto"/>
              <w:bottom w:val="single" w:sz="4" w:space="0" w:color="auto"/>
              <w:right w:val="single" w:sz="4" w:space="0" w:color="auto"/>
            </w:tcBorders>
            <w:vAlign w:val="center"/>
          </w:tcPr>
          <w:p w14:paraId="2A919F68"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小学</w:t>
            </w:r>
          </w:p>
        </w:tc>
        <w:tc>
          <w:tcPr>
            <w:tcW w:w="2056" w:type="pct"/>
            <w:tcBorders>
              <w:top w:val="nil"/>
              <w:left w:val="nil"/>
              <w:bottom w:val="single" w:sz="4" w:space="0" w:color="auto"/>
              <w:right w:val="single" w:sz="4" w:space="0" w:color="auto"/>
            </w:tcBorders>
            <w:vAlign w:val="center"/>
          </w:tcPr>
          <w:p w14:paraId="2F9D1660"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158175</w:t>
            </w:r>
          </w:p>
        </w:tc>
      </w:tr>
      <w:tr w:rsidR="004E2B7C" w14:paraId="0B8A0E7B" w14:textId="77777777">
        <w:trPr>
          <w:trHeight w:val="405"/>
          <w:jc w:val="center"/>
        </w:trPr>
        <w:tc>
          <w:tcPr>
            <w:tcW w:w="690" w:type="pct"/>
            <w:tcBorders>
              <w:top w:val="nil"/>
              <w:left w:val="single" w:sz="4" w:space="0" w:color="auto"/>
              <w:bottom w:val="single" w:sz="4" w:space="0" w:color="auto"/>
              <w:right w:val="single" w:sz="4" w:space="0" w:color="auto"/>
            </w:tcBorders>
          </w:tcPr>
          <w:p w14:paraId="408FBDEF"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3</w:t>
            </w:r>
          </w:p>
        </w:tc>
        <w:tc>
          <w:tcPr>
            <w:tcW w:w="2252" w:type="pct"/>
            <w:tcBorders>
              <w:top w:val="nil"/>
              <w:left w:val="single" w:sz="4" w:space="0" w:color="auto"/>
              <w:bottom w:val="single" w:sz="4" w:space="0" w:color="auto"/>
              <w:right w:val="single" w:sz="4" w:space="0" w:color="auto"/>
            </w:tcBorders>
            <w:vAlign w:val="center"/>
          </w:tcPr>
          <w:p w14:paraId="65765443"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初中</w:t>
            </w:r>
          </w:p>
        </w:tc>
        <w:tc>
          <w:tcPr>
            <w:tcW w:w="2056" w:type="pct"/>
            <w:tcBorders>
              <w:top w:val="nil"/>
              <w:left w:val="nil"/>
              <w:bottom w:val="single" w:sz="4" w:space="0" w:color="auto"/>
              <w:right w:val="single" w:sz="4" w:space="0" w:color="auto"/>
            </w:tcBorders>
            <w:vAlign w:val="center"/>
          </w:tcPr>
          <w:p w14:paraId="078B7166"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52017</w:t>
            </w:r>
          </w:p>
        </w:tc>
      </w:tr>
      <w:tr w:rsidR="004E2B7C" w14:paraId="00535517" w14:textId="77777777">
        <w:trPr>
          <w:trHeight w:val="405"/>
          <w:jc w:val="center"/>
        </w:trPr>
        <w:tc>
          <w:tcPr>
            <w:tcW w:w="690" w:type="pct"/>
            <w:tcBorders>
              <w:top w:val="nil"/>
              <w:left w:val="single" w:sz="4" w:space="0" w:color="auto"/>
              <w:bottom w:val="single" w:sz="4" w:space="0" w:color="auto"/>
              <w:right w:val="single" w:sz="4" w:space="0" w:color="auto"/>
            </w:tcBorders>
          </w:tcPr>
          <w:p w14:paraId="4A5A2F8B"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4</w:t>
            </w:r>
          </w:p>
        </w:tc>
        <w:tc>
          <w:tcPr>
            <w:tcW w:w="2252" w:type="pct"/>
            <w:tcBorders>
              <w:top w:val="nil"/>
              <w:left w:val="single" w:sz="4" w:space="0" w:color="auto"/>
              <w:bottom w:val="single" w:sz="4" w:space="0" w:color="auto"/>
              <w:right w:val="single" w:sz="4" w:space="0" w:color="auto"/>
            </w:tcBorders>
            <w:vAlign w:val="center"/>
          </w:tcPr>
          <w:p w14:paraId="00DEBD71"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普通高中</w:t>
            </w:r>
          </w:p>
        </w:tc>
        <w:tc>
          <w:tcPr>
            <w:tcW w:w="2056" w:type="pct"/>
            <w:tcBorders>
              <w:top w:val="nil"/>
              <w:left w:val="nil"/>
              <w:bottom w:val="single" w:sz="4" w:space="0" w:color="auto"/>
              <w:right w:val="single" w:sz="4" w:space="0" w:color="auto"/>
            </w:tcBorders>
            <w:vAlign w:val="center"/>
          </w:tcPr>
          <w:p w14:paraId="7C1658A3"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24339</w:t>
            </w:r>
          </w:p>
        </w:tc>
      </w:tr>
      <w:tr w:rsidR="004E2B7C" w14:paraId="397C803E" w14:textId="77777777">
        <w:trPr>
          <w:trHeight w:val="405"/>
          <w:jc w:val="center"/>
        </w:trPr>
        <w:tc>
          <w:tcPr>
            <w:tcW w:w="690" w:type="pct"/>
            <w:tcBorders>
              <w:top w:val="nil"/>
              <w:left w:val="single" w:sz="4" w:space="0" w:color="auto"/>
              <w:bottom w:val="single" w:sz="4" w:space="0" w:color="auto"/>
              <w:right w:val="single" w:sz="4" w:space="0" w:color="auto"/>
            </w:tcBorders>
          </w:tcPr>
          <w:p w14:paraId="17F3F35A"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5</w:t>
            </w:r>
          </w:p>
        </w:tc>
        <w:tc>
          <w:tcPr>
            <w:tcW w:w="2252" w:type="pct"/>
            <w:tcBorders>
              <w:top w:val="nil"/>
              <w:left w:val="single" w:sz="4" w:space="0" w:color="auto"/>
              <w:bottom w:val="single" w:sz="4" w:space="0" w:color="auto"/>
              <w:right w:val="single" w:sz="4" w:space="0" w:color="auto"/>
            </w:tcBorders>
            <w:vAlign w:val="center"/>
          </w:tcPr>
          <w:p w14:paraId="04CB8CAE"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中等职业学校</w:t>
            </w:r>
          </w:p>
        </w:tc>
        <w:tc>
          <w:tcPr>
            <w:tcW w:w="2056" w:type="pct"/>
            <w:tcBorders>
              <w:top w:val="nil"/>
              <w:left w:val="nil"/>
              <w:bottom w:val="single" w:sz="4" w:space="0" w:color="auto"/>
              <w:right w:val="single" w:sz="4" w:space="0" w:color="auto"/>
            </w:tcBorders>
            <w:vAlign w:val="center"/>
          </w:tcPr>
          <w:p w14:paraId="0FE0ADE9"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9698</w:t>
            </w:r>
          </w:p>
        </w:tc>
      </w:tr>
      <w:tr w:rsidR="004E2B7C" w14:paraId="00D1EF87" w14:textId="77777777">
        <w:trPr>
          <w:trHeight w:val="405"/>
          <w:jc w:val="center"/>
        </w:trPr>
        <w:tc>
          <w:tcPr>
            <w:tcW w:w="690" w:type="pct"/>
            <w:tcBorders>
              <w:top w:val="single" w:sz="4" w:space="0" w:color="auto"/>
              <w:left w:val="single" w:sz="4" w:space="0" w:color="auto"/>
              <w:bottom w:val="single" w:sz="4" w:space="0" w:color="auto"/>
              <w:right w:val="single" w:sz="4" w:space="0" w:color="auto"/>
            </w:tcBorders>
          </w:tcPr>
          <w:p w14:paraId="7850AA2F"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6</w:t>
            </w:r>
          </w:p>
        </w:tc>
        <w:tc>
          <w:tcPr>
            <w:tcW w:w="2252" w:type="pct"/>
            <w:tcBorders>
              <w:top w:val="single" w:sz="4" w:space="0" w:color="auto"/>
              <w:left w:val="single" w:sz="4" w:space="0" w:color="auto"/>
              <w:bottom w:val="single" w:sz="4" w:space="0" w:color="auto"/>
              <w:right w:val="single" w:sz="4" w:space="0" w:color="auto"/>
            </w:tcBorders>
            <w:vAlign w:val="center"/>
          </w:tcPr>
          <w:p w14:paraId="499DD36C"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特殊教育（含学前至职高）</w:t>
            </w:r>
          </w:p>
        </w:tc>
        <w:tc>
          <w:tcPr>
            <w:tcW w:w="2056" w:type="pct"/>
            <w:tcBorders>
              <w:top w:val="single" w:sz="4" w:space="0" w:color="auto"/>
              <w:left w:val="nil"/>
              <w:bottom w:val="single" w:sz="4" w:space="0" w:color="auto"/>
              <w:right w:val="single" w:sz="4" w:space="0" w:color="auto"/>
            </w:tcBorders>
            <w:vAlign w:val="center"/>
          </w:tcPr>
          <w:p w14:paraId="46C4A3EF" w14:textId="77777777" w:rsidR="004E2B7C" w:rsidRDefault="004E2B7C">
            <w:pPr>
              <w:widowControl/>
              <w:jc w:val="center"/>
              <w:rPr>
                <w:rFonts w:ascii="仿宋_GB2312" w:hAnsi="仿宋_GB2312" w:cs="仿宋_GB2312" w:hint="eastAsia"/>
                <w:kern w:val="0"/>
                <w:sz w:val="28"/>
                <w:szCs w:val="28"/>
              </w:rPr>
            </w:pPr>
            <w:r>
              <w:rPr>
                <w:rFonts w:ascii="仿宋_GB2312" w:hAnsi="仿宋_GB2312" w:cs="仿宋_GB2312" w:hint="eastAsia"/>
                <w:kern w:val="0"/>
                <w:sz w:val="28"/>
                <w:szCs w:val="28"/>
              </w:rPr>
              <w:t>845</w:t>
            </w:r>
          </w:p>
        </w:tc>
      </w:tr>
    </w:tbl>
    <w:p w14:paraId="10DED082"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6" w:name="_Toc27707"/>
      <w:bookmarkStart w:id="17" w:name="_Toc1973834419"/>
      <w:bookmarkStart w:id="18" w:name="_Toc1107150280"/>
      <w:bookmarkStart w:id="19" w:name="_Toc1303967614"/>
      <w:r>
        <w:rPr>
          <w:rFonts w:ascii="楷体_GB2312" w:eastAsia="楷体_GB2312" w:hAnsi="楷体_GB2312" w:cs="楷体_GB2312" w:hint="eastAsia"/>
          <w:color w:val="000000"/>
          <w:szCs w:val="32"/>
        </w:rPr>
        <w:t>（三）“上品教化”品牌影响不断扩大</w:t>
      </w:r>
      <w:bookmarkEnd w:id="16"/>
      <w:bookmarkEnd w:id="17"/>
      <w:bookmarkEnd w:id="18"/>
      <w:bookmarkEnd w:id="19"/>
    </w:p>
    <w:p w14:paraId="4EF1C32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一体两翼”策略取得新成效。我区在“上品教化”区域教育理念引领下，以“大教育”为主体，以“岭南校园文化”建设和“研学后教”课堂教学改革为主要路径的“一体两翼”策略不断深化。各镇（街）积极探索特色化、个性化教育理念，打造了“</w:t>
      </w:r>
      <w:r>
        <w:rPr>
          <w:rFonts w:ascii="方正仿宋_GBK" w:eastAsia="方正仿宋_GBK" w:hAnsi="方正仿宋_GBK" w:cs="方正仿宋_GBK" w:hint="eastAsia"/>
          <w:color w:val="000000"/>
          <w:szCs w:val="32"/>
        </w:rPr>
        <w:t>碁</w:t>
      </w:r>
      <w:r>
        <w:rPr>
          <w:rFonts w:ascii="仿宋_GB2312" w:hint="eastAsia"/>
          <w:color w:val="000000"/>
          <w:szCs w:val="32"/>
        </w:rPr>
        <w:t>道育人”“莲品育人”“办有灵气的教育”“和教育”等镇（街）教育品牌，全区形成了各具特色、百花齐放的教育新格局。以“岭南校园文化”建设为路径，全区中小学“一校一品”特色发展取</w:t>
      </w:r>
      <w:r>
        <w:rPr>
          <w:rFonts w:ascii="仿宋_GB2312" w:hint="eastAsia"/>
          <w:color w:val="000000"/>
          <w:szCs w:val="32"/>
        </w:rPr>
        <w:lastRenderedPageBreak/>
        <w:t>得了突出成绩，其中被评为市、区义务教育阶段特色学校的有139所，占比66.83%，100%的高中学校获得市级特色课程立项。紧紧围绕“转变学生学习方式、构建高效课堂、提高教育教学质量”这一中心任务，全面开展“研学后教”课堂教学改革，出版《研学后教》专著和《100个优秀教学课例》《100个优秀研究案例》《100个典型教改故事》《100个典型“研学问题”》《100个典型“研学案”》《100个优秀学习小组》丛书，让“研学后教”真正成为教育质量提升的主推力、核心素养培育的主渠道、落实立德树人的主阵地。教育教学质量实现高位提升，全区中小学生参加各级各类学科学习活动获得奖项超过10000项。</w:t>
      </w:r>
    </w:p>
    <w:p w14:paraId="2BD774E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文化德育”绽放新光芒。我区以“上品教化”为区域教育发展理念，找准优秀文化在德育中的积极作用，以文化德育为工作理念，逐步推进我区德育工作一体化建设。通过人文德育、生活德育、风雅德育和幸福德育四大途径，培养具有人文情怀、责任担当、优雅气质、乐观豁达的现代公民。我区文化德育先进经验相继在《中国教育报》《中国德育》《南方日报》和广东电视台等多家媒体以及“广州改革”“南方+”等公众号上报道。在2020年度第三届全国最美课程发布会和广东省市县德育管理干部培训班的开班仪式上，我区文化德育典型经验介绍引起与会者的热烈反响。</w:t>
      </w:r>
    </w:p>
    <w:p w14:paraId="03ADCFF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3.体艺教育结出新硕果。体育工作创新发展，特色明显，95%以上的学校有体育特色项目。全区现有4所国家级体育传统项目</w:t>
      </w:r>
      <w:r>
        <w:rPr>
          <w:rFonts w:ascii="仿宋_GB2312" w:hint="eastAsia"/>
          <w:color w:val="000000"/>
          <w:szCs w:val="32"/>
        </w:rPr>
        <w:lastRenderedPageBreak/>
        <w:t>学校、9所省级体育传统项目学校、41所市级体育传统项目学校，以及43所市级健康学校。2017年，我区被评为“广东省首批校园足球试点县（区）”。学生在各级各类体育竞赛中硕果累累，多个学校的多个项目</w:t>
      </w:r>
      <w:r>
        <w:rPr>
          <w:rStyle w:val="ac"/>
          <w:rFonts w:ascii="仿宋_GB2312" w:hint="eastAsia"/>
          <w:color w:val="000000"/>
          <w:szCs w:val="32"/>
        </w:rPr>
        <w:footnoteReference w:id="1"/>
      </w:r>
      <w:r>
        <w:rPr>
          <w:rFonts w:ascii="仿宋_GB2312" w:hint="eastAsia"/>
          <w:color w:val="000000"/>
          <w:szCs w:val="32"/>
        </w:rPr>
        <w:t>在国家、省、市多项比赛中获得冠军，我区中学生田径队连续13年获得“广州市中学生田径运动会”团体总成绩第一名。美育工作精彩纷呈，走在全省前列。2019年承办了“乐韵悠扬·奏响羊城”广州市中小学生器乐展演活动和第二届“易美课堂”广州—林芝•波密“互联网+美育”展示交流活动，参与了“粤港澳”大湾区音乐教育联盟活动等。我区近10年的中小学美术特色课例、校本课程和优秀师生作品等美术教育成果，由全国著名美术出版社编辑出版，凸显了美术教育的番禺风貌。</w:t>
      </w:r>
    </w:p>
    <w:p w14:paraId="3E0EFF3B"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20" w:name="_Toc4029"/>
      <w:bookmarkStart w:id="21" w:name="_Toc1128693542"/>
      <w:bookmarkStart w:id="22" w:name="_Toc418773010"/>
      <w:bookmarkStart w:id="23" w:name="_Toc527982511"/>
      <w:r>
        <w:rPr>
          <w:rFonts w:ascii="楷体_GB2312" w:eastAsia="楷体_GB2312" w:hAnsi="楷体_GB2312" w:cs="楷体_GB2312" w:hint="eastAsia"/>
          <w:color w:val="000000"/>
          <w:szCs w:val="32"/>
        </w:rPr>
        <w:t>（四）“五合”思路推动新发展</w:t>
      </w:r>
      <w:bookmarkEnd w:id="20"/>
      <w:bookmarkEnd w:id="21"/>
      <w:bookmarkEnd w:id="22"/>
      <w:bookmarkEnd w:id="23"/>
    </w:p>
    <w:p w14:paraId="60625A7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1.党建与思政合融。以党建为引领，狠抓师生思政工作，积极探索思政教育工作新思路。</w:t>
      </w:r>
    </w:p>
    <w:p w14:paraId="3836685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以党建重构思政框架，建立大思政育人新格局。全面理顺教育系统党建管理体制，将全区公办、民办中小学校、幼儿园和教育机构的党建工作全部归区教育局直属机关党委管理，形成由区教育局直属机关党委统领，区教育局督导室、德安与政策法规科等各科室协作，学校党组织、德育、工会、团委等部门具体实施的师生思政管理机制。</w:t>
      </w:r>
    </w:p>
    <w:p w14:paraId="1A4EBAC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（2）以党建充实育人新资源，提高思政效能。将党建活动的</w:t>
      </w:r>
      <w:r>
        <w:rPr>
          <w:rFonts w:ascii="仿宋_GB2312" w:hint="eastAsia"/>
          <w:color w:val="000000"/>
          <w:szCs w:val="32"/>
        </w:rPr>
        <w:lastRenderedPageBreak/>
        <w:t>内容融入思政课堂，把立德树人贯穿到学校工作各环节，以扎实的学校党建引领教育发展，巩固提高思政教育水平，实现教育高质量发展。</w:t>
      </w:r>
    </w:p>
    <w:p w14:paraId="595F91C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资源与规模合理。我区通过资源均衡配置与规模布局合理化，以此保证资源与规模的最佳匹配。合理利用财政配给的教育资源，科学规划和调控教育发展的规模，不断扩大教育体量，努力破解教育发展不充分的问题。全区基本形成了学前教育、义务教育、职业教育、社区教育和特殊教育协调发展，公办、民办等多种办学体制并存的现代教育体系。</w:t>
      </w:r>
    </w:p>
    <w:p w14:paraId="4269197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质量与速度合体。通过科学规划，让学位保持一定速度的增长；填谷造峰，打造更多优质学校；聚焦学位分配，力促教育公平；高标准推进国家学前教育改革实验项目等举措，让速度与质量合体，使我区教育工作取得了“供给更好、质量更高、品牌更亮、环境更雅、德行更美”的成效，驶入了持续稳定、健康发展的轨道，开启了教育现代化新征程。</w:t>
      </w:r>
    </w:p>
    <w:p w14:paraId="5503130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4.继承与创新合情。我区在原有教育发展条件的基础上不断创新，在学前教育、义务教育、高中教育、职业教育、社区教育等方面采取率先改革的举措，形成了“番禺经验”。</w:t>
      </w:r>
    </w:p>
    <w:p w14:paraId="71FE6FE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（1）形成独具特色的“上品教化”区域教育发展理念与“一体两翼”教育发展路径。</w:t>
      </w:r>
    </w:p>
    <w:p w14:paraId="4917C1C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（2）改革创新学前教育办学体制和管理机制。通过政校合作、政企合作、委托管理等方式扩充公办学前教育资源。在全省率先</w:t>
      </w:r>
      <w:r>
        <w:rPr>
          <w:rFonts w:ascii="仿宋_GB2312" w:hint="eastAsia"/>
          <w:color w:val="000000"/>
          <w:szCs w:val="32"/>
        </w:rPr>
        <w:lastRenderedPageBreak/>
        <w:t>解决村集体办园事业单位登记难的问题。</w:t>
      </w:r>
    </w:p>
    <w:p w14:paraId="2F7155B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（3）在全市率先公布来穗人员随迁子女积分申请入学方案。</w:t>
      </w:r>
    </w:p>
    <w:p w14:paraId="29F3363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（4）在全市率先制定特殊教育“3+9+3”教育体系，推进特殊教育由义务教育向学前和高中阶段延伸。</w:t>
      </w:r>
    </w:p>
    <w:p w14:paraId="727292F2"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（5）在全市率先全面开展“研学后教”课堂教学改革。在全国率先启动智慧教育“电子书包”云平台应用实验。</w:t>
      </w:r>
    </w:p>
    <w:p w14:paraId="307C410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（6）在全市率先建立对民办学校的区级补助奖励制度。</w:t>
      </w:r>
    </w:p>
    <w:p w14:paraId="29D69D3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5.执行与现状合法。我区在教育行政中既严格执行国家有关规定，依法治教，破解教育发展的难题，又充分考虑区域现状、历史与现实的实际问题，做到执行与现状的合法。</w:t>
      </w:r>
    </w:p>
    <w:p w14:paraId="2959A59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（1）依法解决配套园问题。我区以“一事一议”“一园一案”的原则，确定了必须移交产权和办成普惠园的两条底线，依法依规妥善处理配套幼儿园历史遗留问题。</w:t>
      </w:r>
    </w:p>
    <w:p w14:paraId="6F315EB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依法接收小区中小学教育配套设施。根据2019年印发的《广州市人民政府办公厅关于印发广州市居住区配套教育设施历史遗留问题处理工作方案的通知》要求，对居住区配套教育设施历史遗留问题提出了具体的解决办法，积极接收小区配套教育设施。新移交的中小学校基本举办为公办学校。</w:t>
      </w:r>
    </w:p>
    <w:p w14:paraId="540AED9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依法解决教师缺编。立足现状，在严格遵守国家编制政策的前提下，开拓创新，挖潜资源，统筹区内事业编制，重点支持教育，通过聘任临聘教师、争取高校选派优秀师范生到我区开展实习顶教等多种方式解决学校的师资不足问题。</w:t>
      </w:r>
    </w:p>
    <w:p w14:paraId="424A9227"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24" w:name="_Toc707555285"/>
      <w:bookmarkStart w:id="25" w:name="_Toc938298848"/>
      <w:bookmarkStart w:id="26" w:name="_Toc4800"/>
      <w:bookmarkStart w:id="27" w:name="_Toc1118670293"/>
      <w:r>
        <w:rPr>
          <w:rFonts w:ascii="楷体_GB2312" w:eastAsia="楷体_GB2312" w:hAnsi="楷体_GB2312" w:cs="楷体_GB2312" w:hint="eastAsia"/>
          <w:color w:val="000000"/>
          <w:szCs w:val="32"/>
        </w:rPr>
        <w:lastRenderedPageBreak/>
        <w:t>（五）各级各类教育持续优化发展</w:t>
      </w:r>
      <w:bookmarkEnd w:id="24"/>
      <w:bookmarkEnd w:id="25"/>
      <w:bookmarkEnd w:id="26"/>
      <w:bookmarkEnd w:id="27"/>
    </w:p>
    <w:p w14:paraId="41D5AE2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1.学前教育取得跨越式发展。我区先后被评为国家和广东省学前教育改革实验区。在第一期和第二期学前教育三年行动计划督导验收中连续2次获得“优秀”等级第一名，形成优质均衡发展的“番禺幼教模式”。</w:t>
      </w:r>
    </w:p>
    <w:p w14:paraId="3D86A25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（1）供给规模不断扩大，实现户籍与非户籍适龄幼儿入园全覆盖。</w:t>
      </w:r>
    </w:p>
    <w:p w14:paraId="710E1EA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（2）供给结构持续优化。圆满完成学前教育“5080”攻坚任务，实现公办园在园幼儿占比达51.57%。</w:t>
      </w:r>
    </w:p>
    <w:p w14:paraId="45BB822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（3）供给发展后劲充足。2020年财政性学前教育拨款是2015年的2.36倍。</w:t>
      </w:r>
    </w:p>
    <w:p w14:paraId="457BF72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（4）供给质量有效提升。创建全国足球特色园18所、教育部园长培训基地2个、省特色建设优秀园8所，荣获省“新课程”项目9个。省、市一级优质示范园占全市比例近四分之一。</w:t>
      </w:r>
    </w:p>
    <w:p w14:paraId="3FC5010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基础教育水平全面提升。通过填谷造峰、结对帮扶、探索联盟化教育、组建教育集团等形式，充分发挥优质教育资源的示范辐射作用，打造更多优质学校，促进基础教育优质均衡发展，成绩显著。我区先后获评国家义务教育发展基本均衡区、国家义务教育监测实施“优秀组织单位”。全区初中学校办学特色彰显，高中学校实现优质发展，已有示范性普通高中8所，教育教学质量稳居广州市前列。</w:t>
      </w:r>
    </w:p>
    <w:p w14:paraId="03C591C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3.特殊教育保持稳步发展。科学实施《番禺区第二期特殊教</w:t>
      </w:r>
      <w:r>
        <w:rPr>
          <w:rFonts w:ascii="仿宋_GB2312" w:hint="eastAsia"/>
          <w:color w:val="000000"/>
          <w:szCs w:val="32"/>
        </w:rPr>
        <w:lastRenderedPageBreak/>
        <w:t>育提升计划实施方案（2018—2020年）》，建立特殊教育区、镇（街）、学校三级管理网络，成立了区特殊教育指导中心，初步构建了“1+（8+N）+X”</w:t>
      </w:r>
      <w:r>
        <w:rPr>
          <w:rStyle w:val="ac"/>
          <w:rFonts w:ascii="仿宋_GB2312" w:hint="eastAsia"/>
          <w:color w:val="000000"/>
          <w:szCs w:val="32"/>
        </w:rPr>
        <w:footnoteReference w:id="2"/>
      </w:r>
      <w:r>
        <w:rPr>
          <w:rFonts w:ascii="仿宋_GB2312" w:hint="eastAsia"/>
          <w:color w:val="000000"/>
          <w:szCs w:val="32"/>
        </w:rPr>
        <w:t>三层级特殊教育管理网络，成立了“番禺区特殊儿童少年转介安置工作指导小组”，在我市率先探索跨部门合作的特殊儿童少年转介安置工作。进一步加大普特融合发展的力度，在北片、南村、西片和石</w:t>
      </w:r>
      <w:r>
        <w:rPr>
          <w:rFonts w:ascii="仿宋" w:eastAsia="仿宋" w:hAnsi="仿宋" w:cs="仿宋" w:hint="eastAsia"/>
          <w:color w:val="000000"/>
          <w:szCs w:val="32"/>
        </w:rPr>
        <w:t>碁</w:t>
      </w:r>
      <w:r>
        <w:rPr>
          <w:rFonts w:ascii="仿宋_GB2312" w:hint="eastAsia"/>
          <w:color w:val="000000"/>
          <w:szCs w:val="32"/>
        </w:rPr>
        <w:t>顺利开办特教班，逐步完善“3+9+3”</w:t>
      </w:r>
      <w:r>
        <w:rPr>
          <w:rStyle w:val="ac"/>
          <w:rFonts w:ascii="仿宋_GB2312" w:hint="eastAsia"/>
          <w:color w:val="000000"/>
          <w:szCs w:val="32"/>
        </w:rPr>
        <w:footnoteReference w:id="3"/>
      </w:r>
      <w:r>
        <w:rPr>
          <w:rFonts w:ascii="仿宋_GB2312" w:hint="eastAsia"/>
          <w:color w:val="000000"/>
          <w:szCs w:val="32"/>
        </w:rPr>
        <w:t>特殊教育学制并实现了全覆盖。各类特殊学生综合素质明显提升，在各级各类文体活动竞赛中取得良好成绩。</w:t>
      </w:r>
    </w:p>
    <w:p w14:paraId="4D75910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职业教育获得累累硕果。着力深化供给侧改革，完善现代职业教育体系，优化布局结构，着力扩容体制，深化产教融合。成立了“区现代商贸职教集团”和“区工贸职教集团”，集团的会员单位达254家。建立“立体化”校企合作运行机制，实现集约化发展。创建校外实训基地132个、区示范性实训基地7个，以“校中厂”的模式建立产教融合基地6个，实现“精准育人”。建设特色优势专业和校企融合生态链，15个专业与区域产业紧密对接。其中，国家示范学校支持的重点专业4个，省“双精准”示范建设专业9个，省重点建设专业6个，市示范专业6个；中职学校连续4年超额完成招生任务，28个专业与对口高职院校开展中高职衔接三二分段试点招生培养，4个专业联合高职学院举办专业学院试点班，22个专业参与“1+X”证书试点，专业建设实现</w:t>
      </w:r>
      <w:r>
        <w:rPr>
          <w:rFonts w:ascii="仿宋_GB2312" w:hint="eastAsia"/>
          <w:color w:val="000000"/>
          <w:szCs w:val="32"/>
        </w:rPr>
        <w:lastRenderedPageBreak/>
        <w:t>了高质量发展。</w:t>
      </w:r>
    </w:p>
    <w:p w14:paraId="3248787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社区教育取得显著成果。我区获批成为“全国社区教育示范区”，创建了全国社区教育示范镇（街）5个、全国终身学习活动品牌2个、全国“百姓学习之星”1个、全国农村优秀学习型组织1个、全国城乡社区教育特色学校1所；建立区、镇（街）、村（社区）老年教育三级学习网络，挂牌成立老年学院1所、镇（街）老年学校8所、村（社区）老年教学点85个；建有市老年教育特色基地1个、市老年教育学习体验基地1个、老年教育实践基地3个。有效探索“互联网+老年教育”学习模式，开设视频课及网络直播课达110门，近3年参与人数超82万人次，获省教学成果（社区和老年教育类）二等奖1项。</w:t>
      </w:r>
    </w:p>
    <w:p w14:paraId="2141D09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6.民办教育质量进一步提升。对民办学校进行规范化管理，在全市率先建立对民办学校的区级补助奖励制度，鼓励多元化发展，促进民办学校规范优质特色办学。每年向民办学校拨付义务教育专项经费5000万元、资助奖励2000万元。开展区内公民办学校结对帮扶工作，从学校内部管理、教学教研、教师培训、学生活动组织等各方面提升民办学校的办学质量。以成功创建5A等级社会组织为契机，进一步发挥民办教育协会功能，加强行业自律。</w:t>
      </w:r>
    </w:p>
    <w:p w14:paraId="74ECBBAC"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28" w:name="_Toc1008468354"/>
      <w:bookmarkStart w:id="29" w:name="_Toc695784225"/>
      <w:bookmarkStart w:id="30" w:name="_Toc862259931"/>
      <w:bookmarkStart w:id="31" w:name="_Toc10829"/>
      <w:r>
        <w:rPr>
          <w:rFonts w:ascii="楷体_GB2312" w:eastAsia="楷体_GB2312" w:hAnsi="楷体_GB2312" w:cs="楷体_GB2312" w:hint="eastAsia"/>
          <w:color w:val="000000"/>
          <w:szCs w:val="32"/>
        </w:rPr>
        <w:t>（六）教育服务水平显著提升</w:t>
      </w:r>
      <w:bookmarkEnd w:id="28"/>
      <w:bookmarkEnd w:id="29"/>
      <w:bookmarkEnd w:id="30"/>
      <w:bookmarkEnd w:id="31"/>
    </w:p>
    <w:p w14:paraId="38E8AED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1.学位供给保持稳步增长。建立学位供需模型，积极推进教育供给侧改革，大力推进我市中小学校基础教育设施三年提升计</w:t>
      </w:r>
      <w:r>
        <w:rPr>
          <w:rFonts w:ascii="仿宋_GB2312" w:hint="eastAsia"/>
          <w:color w:val="000000"/>
          <w:szCs w:val="32"/>
        </w:rPr>
        <w:lastRenderedPageBreak/>
        <w:t>划和小区配套学校建设，着力保障学位供给。根据人口变化和入读需求，通过新建、改建、扩建学校保障学位合理增长。2016—2020年，新增幼儿园65所，新增学位49800个；新增公办园92所，新增公办园学位29102个；新开办中小学校21所，新增学位48030个。通过积分制入学申请向来穗人员随迁子女提供的义务教育阶段起始年级公办学位逐年增长，2019年突破3000个，2020年达到3900个，位于全市前列，顺利实现以公办学位为主安排随迁子女接受义务教育的总体目标，即辖区内在义务教育公办学位就读的随迁子女人数不低于本辖区随迁子女在读总人数的50％。</w:t>
      </w:r>
    </w:p>
    <w:p w14:paraId="51895E6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课后托管服务领先全国。利用信息技术创建“互联网+托管服务”模式，通过平台链接学校、托管服务机构以及家长、学生、教师。2018—2020年，全区中小学校内午托、晚托服务每天服务人次逐年升高，2018年达到4.3万人次/日，2019年达到4.5万人次/日，2020年达到5.3万人次/日，实现了全区中小学校内课后服务100%覆盖。举办了“智慧430”首届全国课后服务高峰论坛，承办了教育部“第四届学校（基础教育）创新发展研讨会课后服务分会”，接待来自江苏、湖南、海南等20多个地区的考察交流，《中国教育报》《广州改革》《人民网》等媒体对我区校内课后服务工作进行了专题介绍。推动《番禺区中小学课后服务协同管理指南》通过教育部学校规划建设发展中心“未来学校研究与实验计划”重大创新成果测评与论证。校内课后服务“番禺模式”调研报告入选《广州教育蓝皮书—广州教育发展报告（2020—</w:t>
      </w:r>
      <w:r>
        <w:rPr>
          <w:rFonts w:ascii="仿宋_GB2312" w:hint="eastAsia"/>
          <w:color w:val="000000"/>
          <w:szCs w:val="32"/>
        </w:rPr>
        <w:lastRenderedPageBreak/>
        <w:t>2021）》。</w:t>
      </w:r>
    </w:p>
    <w:p w14:paraId="1DF6800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3.教育信息化水平显著提高。完成区域教育公共服务平台建设，区内100%的学校接入互联网，100%的学校建有校园网，100%的学校配备计算机室，100%的教学班级配备多媒体教学平台，公办中小学师机比达0.89</w:t>
      </w:r>
      <w:r>
        <w:rPr>
          <w:rFonts w:ascii="仿宋_GB2312" w:hAnsi="仿宋_GB2312" w:cs="仿宋_GB2312" w:hint="eastAsia"/>
          <w:color w:val="000000"/>
          <w:szCs w:val="32"/>
        </w:rPr>
        <w:t>∶</w:t>
      </w:r>
      <w:r>
        <w:rPr>
          <w:rFonts w:ascii="仿宋_GB2312" w:hint="eastAsia"/>
          <w:color w:val="000000"/>
          <w:szCs w:val="32"/>
        </w:rPr>
        <w:t>1，生机比达5.83∶1，超过50%的学校实现了办公区域无线网络覆盖。积极推动校园智慧阅读，截至2020年，建设了60多所智慧图书馆。</w:t>
      </w:r>
    </w:p>
    <w:p w14:paraId="1499C59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校外培训机构专项治理有力。建立长效机制，加大整改力度，全面推进培训机构黑白名单机制建设，向社会公布无证、不规范办学的校外培训机构黑名单。进一步完善校外培训机构预收费资金监管平台，强化培训机构的资金监管，严控培训预收费风险。组织专项治理“回头看”活动，通过检查、整改、关停等措施，大力整治校外培训机构并强化风险管控，做好善后管理。</w:t>
      </w:r>
    </w:p>
    <w:p w14:paraId="6A3DE4CE"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32" w:name="_Toc1294975988"/>
      <w:bookmarkStart w:id="33" w:name="_Toc1012942380"/>
      <w:bookmarkStart w:id="34" w:name="_Toc1957521324"/>
      <w:bookmarkStart w:id="35" w:name="_Toc1619"/>
      <w:r>
        <w:rPr>
          <w:rFonts w:ascii="楷体_GB2312" w:eastAsia="楷体_GB2312" w:hAnsi="楷体_GB2312" w:cs="楷体_GB2312" w:hint="eastAsia"/>
          <w:color w:val="000000"/>
          <w:szCs w:val="32"/>
        </w:rPr>
        <w:t>（七）教育管理综合改革稳步推进</w:t>
      </w:r>
      <w:bookmarkEnd w:id="32"/>
      <w:bookmarkEnd w:id="33"/>
      <w:bookmarkEnd w:id="34"/>
      <w:bookmarkEnd w:id="35"/>
    </w:p>
    <w:p w14:paraId="637FA07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办学体制改革取得新进展。积极引进名校合作办学，共引入华南师范大学、广东第二师范学院、广州市铁一中学、广州大学附属中学等8所名校合作办学，并已形成办学品牌，教学质量得到广大家长的认可，实现了全区教育质量的有效提升。成立区属仲元中学、番禺中学两大教育集团，亚运城片区成功引进市属广州市铁一中学教育集团，通过核心校的示范引领，成功带动集团内各学校开展新课程改革试验，集团内学校教师能力、教学水平得到显著提升。</w:t>
      </w:r>
    </w:p>
    <w:p w14:paraId="323B786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2.人事管理改革取得新突破。全力推进“区管校聘”改革，把全区公办中小学、幼儿园均纳入中小学教师“区管校聘”管理改革对象范围；有效推进教研室、区教师进修学校和教育装备中心信息部的整合，区教师发展中心顺利挂牌，初步构建了定位准确、层次分明、互联互通、资源共享的中小学教师专业发展新体系；顺利完成教师岗位“三聘”工作；重新核定全区教职工编制总量，充分发挥编外聘用制教师指标调配功能，合理调整新办学校、薄弱学校、小规模学校、镇（街）中心幼儿园等教职工编制指标；中小学教师交流工作稳妥推进，交流率占教师总人数的6%以上；教师考核与评价机制得到进一步完善。</w:t>
      </w:r>
    </w:p>
    <w:p w14:paraId="2E85ECD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3.教育投入体制做出新尝试。为突破解决教育均衡发展的瓶颈，从2019年试行区教育专项经费区级统筹方案，成效明显，教育重点难点得到有力突破，促进了全区教育均衡提升，提高了教育服务效能。</w:t>
      </w:r>
    </w:p>
    <w:p w14:paraId="62DBD882"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36" w:name="_Toc1101494280"/>
      <w:bookmarkStart w:id="37" w:name="_Toc1759545354"/>
      <w:bookmarkStart w:id="38" w:name="_Toc2025736192"/>
      <w:bookmarkStart w:id="39" w:name="_Toc15595"/>
      <w:r>
        <w:rPr>
          <w:rFonts w:ascii="黑体" w:eastAsia="黑体" w:hAnsi="黑体" w:cs="黑体" w:hint="eastAsia"/>
          <w:color w:val="000000"/>
          <w:szCs w:val="32"/>
        </w:rPr>
        <w:t>二、面临机遇</w:t>
      </w:r>
      <w:bookmarkEnd w:id="36"/>
      <w:bookmarkEnd w:id="37"/>
      <w:bookmarkEnd w:id="38"/>
      <w:bookmarkEnd w:id="39"/>
    </w:p>
    <w:p w14:paraId="270DDC5A"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40" w:name="_Toc1697403456"/>
      <w:bookmarkStart w:id="41" w:name="_Toc1193387246"/>
      <w:bookmarkStart w:id="42" w:name="_Toc1426910176"/>
      <w:bookmarkStart w:id="43" w:name="_Toc24856"/>
      <w:r>
        <w:rPr>
          <w:rFonts w:ascii="楷体_GB2312" w:eastAsia="楷体_GB2312" w:hAnsi="楷体_GB2312" w:cs="楷体_GB2312" w:hint="eastAsia"/>
          <w:color w:val="000000"/>
          <w:szCs w:val="32"/>
        </w:rPr>
        <w:t>（一）教育现代化加速发展的新形势新要求</w:t>
      </w:r>
      <w:bookmarkEnd w:id="40"/>
      <w:bookmarkEnd w:id="41"/>
      <w:bookmarkEnd w:id="42"/>
      <w:bookmarkEnd w:id="43"/>
    </w:p>
    <w:p w14:paraId="59CB3C7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党的十九大提出以教育现代化支撑国家现代化，以教育强国支撑社会主义现代化强国。2019年，中共中央、国务院印发了《中国教育现代化2035》，提出了涵盖体系结构、普及水平、教育质量、人才培养结构、服务贡献能力等8个教育现代化的目标要求。同时多份关于各级各类教育普及和提质的政策文件相继出台，提出“学前教育完成公办园在园幼儿占比达到50%，普惠性幼儿园</w:t>
      </w:r>
      <w:r>
        <w:rPr>
          <w:rFonts w:ascii="仿宋_GB2312" w:hint="eastAsia"/>
          <w:color w:val="000000"/>
          <w:szCs w:val="32"/>
        </w:rPr>
        <w:lastRenderedPageBreak/>
        <w:t>覆盖率达到80%”“义务教育要坚持立德树人，构建德智体美劳全面培养的教育体系；深化教育教学改革、全面提高义务教育质量”“普通高中形成多样化有特色发展的格局”“新时代职业教育现代化水平大幅提升”等新要求。“十三五”收官之际，聚焦于有关激发办学活力、深化教育评价的改革，加强和改进体育、美育工作等方面的文件密集出台。党的十九届五中全会更是明确作出要“建设高质量教育体系”的重大决策部署，预示我国将全面开启新时代教育现代化新征程。为践行新发展理念，打造教育发展新格局，加快5G等网络技术应用，建设优质资源共建共享体系，《中共中央国务院关于深化教育教学改革全面提高义务教育质量的意见》第十一条提出：“促进信息技术与教育教学融合应用。推进‘教育+互联网’发展，按照服务教师教学、服务学生学习、服务学校管理的要求，建立覆盖义务教育各年级各学科的数字教育资源体系。加快数字校园建设，积极探索基于互联网的教学。”信息技术与教学过程的融合，将引发教学方式、学习方式、学校组织形式的深刻变革，信息化将越来越深刻地影响到教育的发展，不断重塑教育形态。我区在教育信息化方面有一定的探索和实践基础，未来必将进一步响应国家《教育信息化2.0行动计划》，促进教育与信息技术的深度融合，提升教师与学生的信息技术素养，推动互联网与教育的创新融合发展，助力我区教育转型升级。面对新形势和新要求，我区必须紧跟国家对教育的新定位、新时代赋予教育的新要求，树立新观念新思路，着力推进教育现代化进程，大力</w:t>
      </w:r>
      <w:r>
        <w:rPr>
          <w:rFonts w:ascii="仿宋_GB2312" w:hint="eastAsia"/>
          <w:color w:val="000000"/>
          <w:szCs w:val="32"/>
        </w:rPr>
        <w:lastRenderedPageBreak/>
        <w:t>度保障教育公平，前瞻性提升教育质量，探索未来学校办学新模式，全力打造全国一流教育强区。</w:t>
      </w:r>
    </w:p>
    <w:p w14:paraId="64DB7DEA"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44" w:name="_Toc1342534425"/>
      <w:bookmarkStart w:id="45" w:name="_Toc2087571329"/>
      <w:bookmarkStart w:id="46" w:name="_Toc125825275"/>
      <w:bookmarkStart w:id="47" w:name="_Toc25830"/>
      <w:r>
        <w:rPr>
          <w:rFonts w:ascii="楷体_GB2312" w:eastAsia="楷体_GB2312" w:hAnsi="楷体_GB2312" w:cs="楷体_GB2312" w:hint="eastAsia"/>
          <w:color w:val="000000"/>
          <w:szCs w:val="32"/>
        </w:rPr>
        <w:t>（二）粤港澳大湾区协同发展的新机遇新挑战</w:t>
      </w:r>
      <w:bookmarkEnd w:id="44"/>
      <w:bookmarkEnd w:id="45"/>
      <w:bookmarkEnd w:id="46"/>
      <w:bookmarkEnd w:id="47"/>
    </w:p>
    <w:p w14:paraId="537A6E4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在粤港澳大湾区建设、广佛协同发展、打造国家中心城市背景下，随着城市间合作深入推进、经济社会要素自由流动加快，必将直接影响和改变我区教育发展的大环境。我区要主动适应新时代的发展要求，立足新形势，贯彻新发展理念，构建新发展格局，主动服务粤港澳大湾区建设、广佛协同发展、国家中心城市建设，为我市实现“老城市、新活力”“两个率先”“四个出新出彩”，积极发挥教育的功能，为经济社会的发展提供人才支撑和智力支持。我区要保持教育高位优质均衡发展，积极参与区域教育协同发展，增强与大湾区优质教育资源的合作交流，提升教育国际化水平。同时大胆改革创新，充分释放活力，全面深化教育领域综合改革，全力推进教育治理体系和教育治理能力现代化，为教育发展注入新动能，着力创新提高教育服务经济社会发展的能力。</w:t>
      </w:r>
    </w:p>
    <w:p w14:paraId="1AE62FDB"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48" w:name="_Toc1386895946"/>
      <w:bookmarkStart w:id="49" w:name="_Toc299318969"/>
      <w:bookmarkStart w:id="50" w:name="_Toc1080380296"/>
      <w:bookmarkStart w:id="51" w:name="_Toc28658"/>
      <w:r>
        <w:rPr>
          <w:rFonts w:ascii="黑体" w:eastAsia="黑体" w:hAnsi="黑体" w:cs="黑体" w:hint="eastAsia"/>
          <w:color w:val="000000"/>
          <w:szCs w:val="32"/>
        </w:rPr>
        <w:t>三、存在问题</w:t>
      </w:r>
      <w:bookmarkEnd w:id="48"/>
      <w:bookmarkEnd w:id="49"/>
      <w:bookmarkEnd w:id="50"/>
      <w:bookmarkEnd w:id="51"/>
    </w:p>
    <w:p w14:paraId="0BC69AA9"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52" w:name="_Toc1046592511"/>
      <w:bookmarkStart w:id="53" w:name="_Toc1894022693"/>
      <w:bookmarkStart w:id="54" w:name="_Toc727588530"/>
      <w:bookmarkStart w:id="55" w:name="_Toc5400"/>
      <w:r>
        <w:rPr>
          <w:rFonts w:ascii="楷体_GB2312" w:eastAsia="楷体_GB2312" w:hAnsi="楷体_GB2312" w:cs="楷体_GB2312" w:hint="eastAsia"/>
          <w:color w:val="000000"/>
          <w:szCs w:val="32"/>
        </w:rPr>
        <w:t>（一）教育发展现状与人民群众对优质均衡教育的需求不协调</w:t>
      </w:r>
      <w:bookmarkEnd w:id="52"/>
      <w:bookmarkEnd w:id="53"/>
      <w:bookmarkEnd w:id="54"/>
      <w:bookmarkEnd w:id="55"/>
    </w:p>
    <w:p w14:paraId="5D27FE6A"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教育是民生之首，人民日益增长的美好生活需要已越来越多地表现在对优质教育的需求上，对社会优质教育需求的急剧增加和优质教育资源供给不足的矛盾日益凸显。站在“两个一百年”</w:t>
      </w:r>
      <w:r>
        <w:rPr>
          <w:rFonts w:ascii="仿宋_GB2312" w:hint="eastAsia"/>
          <w:color w:val="000000"/>
          <w:szCs w:val="32"/>
        </w:rPr>
        <w:lastRenderedPageBreak/>
        <w:t>历史交汇点上，在习近平总书记赋予广东的总定位总目标的引领下，我区正向着成功创建国家义务教育优质均衡发展区的目标奋力前进，但同时也应看到目前的教育发展水平与发展目标之间仍存在较大差距。我区部分学校校舍和设备使用年限较长，学校活动场地、功能教室配备不足，在全省乃至全国有较大影响力的品牌学校较少等问题制约着优质教育资源的总量供给。如何抓住“十四五”的发展契机，加大财政投入，加大资源整合，深化教育改革，使我区教育工作更好地满足人民群众对优质教育的需求，将是我区未来教育工作的重中之重。</w:t>
      </w:r>
    </w:p>
    <w:p w14:paraId="62580B1D"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56" w:name="_Toc183687555"/>
      <w:bookmarkStart w:id="57" w:name="_Toc569344901"/>
      <w:bookmarkStart w:id="58" w:name="_Toc1597328112"/>
      <w:bookmarkStart w:id="59" w:name="_Toc30131"/>
      <w:r>
        <w:rPr>
          <w:rFonts w:ascii="楷体_GB2312" w:eastAsia="楷体_GB2312" w:hAnsi="楷体_GB2312" w:cs="楷体_GB2312" w:hint="eastAsia"/>
          <w:color w:val="000000"/>
          <w:szCs w:val="32"/>
        </w:rPr>
        <w:t>（二）师资队伍建设与教育改革发展要求不匹配</w:t>
      </w:r>
      <w:bookmarkEnd w:id="56"/>
      <w:bookmarkEnd w:id="57"/>
      <w:bookmarkEnd w:id="58"/>
      <w:bookmarkEnd w:id="59"/>
    </w:p>
    <w:p w14:paraId="66AF32D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教师是教育发展的第一资源，是立教之本、兴教之源。有高质量的教师，才会有高质量的教育。近年来，国家先后颁布了《关于全面深化新时代教师队伍建设改革的意见》《深化新时代教育评价改革总体方案》等文件，对造就党和人民满意的高素质专业化创新型教师队伍提出了明确要求。进入新时代新阶段，人民群众对美好生活的追求越来越迫切，人民群众对优质、多样化教育需求越来越大，德智体美劳“五育并举”全面发展的育人方式和评价方式势在必行。随着高考综合改革的推进，高中将全面推行新课程，实施选课走班以及我市新中考方案落地推行等，均对教师队伍的数量和素质提出了更高要求。当前我区教师队伍建设与教育改革发展要求不匹配，具体如下：</w:t>
      </w:r>
    </w:p>
    <w:p w14:paraId="6A3F7EF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1.教师编制总量不足，结构性缺编严重。现有临聘教师2800</w:t>
      </w:r>
      <w:r>
        <w:rPr>
          <w:rFonts w:ascii="仿宋_GB2312" w:hint="eastAsia"/>
          <w:color w:val="000000"/>
          <w:szCs w:val="32"/>
        </w:rPr>
        <w:lastRenderedPageBreak/>
        <w:t>多人，约占中小学在编教师总数1/4，队伍庞大。教师配编严重不足和临聘教师队伍的庞大，严重影响了教师队伍的稳定。</w:t>
      </w:r>
    </w:p>
    <w:p w14:paraId="20F6771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2.教师整体年龄偏大，结构老化，活力不足。部分教师职业倦怠感较重，缺乏进取精神。</w:t>
      </w:r>
    </w:p>
    <w:p w14:paraId="2A42768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3.教师教育力度不够，实效性不强。区级骨干教师、名教师数量不足，与上级占比10%的要求相差较大。</w:t>
      </w:r>
    </w:p>
    <w:p w14:paraId="52CA117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4.教师培训投入经费不足。2019年继续教育经费占中小学教师工资总额的比例为1.64%，未能达到2%的要求。</w:t>
      </w:r>
    </w:p>
    <w:p w14:paraId="2D0C650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5.高一层次学历教师占比有待提高。2019年摸查数据显示，我区只有小学专任教师高一层次学历比例达标，幼儿园、初中和高中专任教师高一级学历比例均不达标。</w:t>
      </w:r>
    </w:p>
    <w:p w14:paraId="4F8BDDB6"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60" w:name="_Toc15085"/>
      <w:bookmarkStart w:id="61" w:name="_Toc18341699"/>
      <w:bookmarkStart w:id="62" w:name="_Toc942219755"/>
      <w:bookmarkStart w:id="63" w:name="_Toc151382810"/>
      <w:r>
        <w:rPr>
          <w:rFonts w:ascii="楷体_GB2312" w:eastAsia="楷体_GB2312" w:hAnsi="楷体_GB2312" w:cs="楷体_GB2312" w:hint="eastAsia"/>
          <w:color w:val="000000"/>
          <w:szCs w:val="32"/>
        </w:rPr>
        <w:t>（三）学校办学活力与实现高质量发展目标不适应</w:t>
      </w:r>
      <w:bookmarkEnd w:id="60"/>
      <w:bookmarkEnd w:id="61"/>
      <w:bookmarkEnd w:id="62"/>
      <w:bookmarkEnd w:id="63"/>
    </w:p>
    <w:p w14:paraId="43C55CB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学校在教育教学、人事管理、资源配置、经费使用等方面的自主决策空间有限，制约了学校发展的动力和活力。教师需要面对的事务性工作和各项检查、任务过多，严重分散教师的时间和精力，投入教学教研的时间被压缩，不利于教师的专业成长和教学质量的提升。在管理体制方面，教师的退出机制仍需进一步完善，以激发教师队伍的动力和活力，减少职业倦怠等负面现象。在评价机制方面，评价标准相对单一、不够科学合理，评价不注重对学生主体意见的反映，评价结果不够全面、缺乏过程评价等问题亟待解决。</w:t>
      </w:r>
    </w:p>
    <w:p w14:paraId="0583C5C2" w14:textId="77777777" w:rsidR="004E2B7C" w:rsidRDefault="004E2B7C">
      <w:pPr>
        <w:spacing w:line="560" w:lineRule="exact"/>
        <w:ind w:firstLineChars="200" w:firstLine="632"/>
        <w:rPr>
          <w:rFonts w:ascii="仿宋_GB2312" w:hint="eastAsia"/>
          <w:color w:val="000000"/>
          <w:szCs w:val="32"/>
        </w:rPr>
      </w:pPr>
    </w:p>
    <w:p w14:paraId="2B466A10" w14:textId="77777777" w:rsidR="004E2B7C" w:rsidRDefault="004E2B7C">
      <w:pPr>
        <w:spacing w:line="560" w:lineRule="exact"/>
        <w:jc w:val="center"/>
        <w:outlineLvl w:val="0"/>
        <w:rPr>
          <w:rFonts w:ascii="黑体" w:eastAsia="黑体" w:hAnsi="黑体" w:cs="黑体" w:hint="eastAsia"/>
          <w:color w:val="000000"/>
          <w:szCs w:val="32"/>
        </w:rPr>
      </w:pPr>
      <w:bookmarkStart w:id="64" w:name="_Toc184855353"/>
      <w:bookmarkStart w:id="65" w:name="_Toc1249786358"/>
      <w:bookmarkStart w:id="66" w:name="_Toc28811"/>
      <w:bookmarkStart w:id="67" w:name="_Toc1948164097"/>
      <w:r>
        <w:rPr>
          <w:rFonts w:ascii="黑体" w:eastAsia="黑体" w:hAnsi="黑体" w:cs="黑体" w:hint="eastAsia"/>
          <w:color w:val="000000"/>
          <w:szCs w:val="32"/>
        </w:rPr>
        <w:lastRenderedPageBreak/>
        <w:t>第二章  指导思想与发展目标</w:t>
      </w:r>
      <w:bookmarkEnd w:id="64"/>
      <w:bookmarkEnd w:id="65"/>
      <w:bookmarkEnd w:id="66"/>
      <w:bookmarkEnd w:id="67"/>
    </w:p>
    <w:p w14:paraId="475F9F56" w14:textId="77777777" w:rsidR="004E2B7C" w:rsidRDefault="004E2B7C">
      <w:pPr>
        <w:spacing w:line="560" w:lineRule="exact"/>
        <w:ind w:firstLineChars="200" w:firstLine="632"/>
        <w:rPr>
          <w:rFonts w:ascii="仿宋_GB2312" w:hint="eastAsia"/>
          <w:color w:val="000000"/>
          <w:szCs w:val="32"/>
        </w:rPr>
      </w:pPr>
    </w:p>
    <w:p w14:paraId="3A707092"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68" w:name="_Toc335199067"/>
      <w:bookmarkStart w:id="69" w:name="_Toc921122526"/>
      <w:bookmarkStart w:id="70" w:name="_Toc989499982"/>
      <w:bookmarkStart w:id="71" w:name="_Toc20604"/>
      <w:r>
        <w:rPr>
          <w:rFonts w:ascii="黑体" w:eastAsia="黑体" w:hAnsi="黑体" w:cs="黑体" w:hint="eastAsia"/>
          <w:color w:val="000000"/>
          <w:szCs w:val="32"/>
        </w:rPr>
        <w:t>一、指导思想</w:t>
      </w:r>
      <w:bookmarkEnd w:id="68"/>
      <w:bookmarkEnd w:id="69"/>
      <w:bookmarkEnd w:id="70"/>
      <w:bookmarkEnd w:id="71"/>
    </w:p>
    <w:p w14:paraId="069B721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以习近平新时代中国特色社会主义思想为指导，全面深入贯彻党的十九大和十九届历次全会精神，深入贯彻落实《中国教育现代化2035》《粤港澳大湾区发展规划纲要》，以及习近平总书记关于教育的重要论述和全国教育大会精神、视察广东重要讲话指示精神，加强党对教育事业的全面领导，以“办好人民满意的教育”为根本宗旨，落实立德树人的根本任务，紧紧围绕我市建设“美丽宜居花园，活力全球城市”的目标愿景，坚持新发展理念，坚持改革创新，坚持系统观念，建设高质量教育体系，构建教育发展新格局，继续以“上品教化”为区域教育发展理念，将我区打造成为世界前列、全国一流、广州特色、示范引领的教育强区。</w:t>
      </w:r>
    </w:p>
    <w:p w14:paraId="1473FEFF"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72" w:name="_Toc855970305"/>
      <w:bookmarkStart w:id="73" w:name="_Toc1379292022"/>
      <w:bookmarkStart w:id="74" w:name="_Toc305738161"/>
      <w:bookmarkStart w:id="75" w:name="_Toc15417"/>
      <w:r>
        <w:rPr>
          <w:rFonts w:ascii="黑体" w:eastAsia="黑体" w:hAnsi="黑体" w:cs="黑体" w:hint="eastAsia"/>
          <w:color w:val="000000"/>
          <w:szCs w:val="32"/>
        </w:rPr>
        <w:t>二、发展目标</w:t>
      </w:r>
      <w:bookmarkEnd w:id="72"/>
      <w:bookmarkEnd w:id="73"/>
      <w:bookmarkEnd w:id="74"/>
      <w:bookmarkEnd w:id="75"/>
    </w:p>
    <w:p w14:paraId="410A4A0A"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76" w:name="_Toc1064454710"/>
      <w:bookmarkStart w:id="77" w:name="_Toc1761175558"/>
      <w:bookmarkStart w:id="78" w:name="_Toc1910439063"/>
      <w:bookmarkStart w:id="79" w:name="_Toc27780"/>
      <w:r>
        <w:rPr>
          <w:rFonts w:ascii="楷体_GB2312" w:eastAsia="楷体_GB2312" w:hAnsi="楷体_GB2312" w:cs="楷体_GB2312" w:hint="eastAsia"/>
          <w:color w:val="000000"/>
          <w:szCs w:val="32"/>
        </w:rPr>
        <w:t>（一）总体目标</w:t>
      </w:r>
      <w:bookmarkEnd w:id="76"/>
      <w:bookmarkEnd w:id="77"/>
      <w:bookmarkEnd w:id="78"/>
      <w:bookmarkEnd w:id="79"/>
    </w:p>
    <w:p w14:paraId="42C72D7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到2025年，“上品教化”区域教育发展理念内涵得到进一步深化，“公平卓越、活力创新、开放包容”的高质量教育体系建设取得重大进展，“五育”（德智体美劳）并举育人体系更加优化，创建国家义务教育优质均衡发展区工作取得重大进展，“供给更好、质量更高、品牌更亮、环境更雅、德行更美”的格局得到进一步发展，成为全国一流的高质量现代化教育高地。</w:t>
      </w:r>
    </w:p>
    <w:p w14:paraId="6E27DACF"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80" w:name="_Toc1405020848"/>
      <w:bookmarkStart w:id="81" w:name="_Toc325342824"/>
      <w:bookmarkStart w:id="82" w:name="_Toc1495084561"/>
      <w:bookmarkStart w:id="83" w:name="_Toc32399"/>
      <w:r>
        <w:rPr>
          <w:rFonts w:ascii="楷体_GB2312" w:eastAsia="楷体_GB2312" w:hAnsi="楷体_GB2312" w:cs="楷体_GB2312" w:hint="eastAsia"/>
          <w:color w:val="000000"/>
          <w:szCs w:val="32"/>
        </w:rPr>
        <w:t>（二）重点目标</w:t>
      </w:r>
      <w:bookmarkEnd w:id="80"/>
      <w:bookmarkEnd w:id="81"/>
      <w:bookmarkEnd w:id="82"/>
      <w:bookmarkEnd w:id="83"/>
    </w:p>
    <w:p w14:paraId="0A023A5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1.教育质量实现高位优质发展。高质量发展各级各类教育，实现学前教育普惠优质发展、义务教育优质均衡发展、普通高中优质特色发展、中职教育融通优化发展、特殊教育多元融合发展，社区教育智能开放发展、民办教育规范优质发展、国际化教育规范特色发展。</w:t>
      </w:r>
    </w:p>
    <w:p w14:paraId="1284573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教育资源配置更加均衡公平。优质学位供给更能满足经济社会发展需求，相对薄弱学校软硬件实力显著增强。通过教育投入机制、集团化办学、教师管理制度和培养方式改革及教育安全保障等措施进一步促进教育资源均衡配置。</w:t>
      </w:r>
    </w:p>
    <w:p w14:paraId="7A11F93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关键领域改革持续深化创新。提高教育治理能力和水平，创新教育培养模式，推动以教为中心到以学为中心的转变，进一步深化“研学后教”课堂教学改革，完善教育人才引进培养机制，改革完善教育评价体系，推进教育信息化新探索。</w:t>
      </w:r>
    </w:p>
    <w:p w14:paraId="1E92D44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区域教育品牌更具影响力。坚持以“上品教化”区域教育发展理念为引领，坚持“岭南校园文化”建设，推动“研学后教”继续优化升级，进一步深入落实“文化德育”。“岭南校园文化”“研学后教”“文化德育”三驾马车并驾齐驱，推动我区教育特色发展。“十四五”期间我区教育发展主要指标具体详见表3。</w:t>
      </w:r>
    </w:p>
    <w:p w14:paraId="01E76AAA" w14:textId="77777777" w:rsidR="004E2B7C" w:rsidRDefault="004E2B7C">
      <w:pPr>
        <w:spacing w:line="560" w:lineRule="exact"/>
        <w:jc w:val="center"/>
        <w:rPr>
          <w:rFonts w:ascii="仿宋_GB2312" w:hint="eastAsia"/>
          <w:color w:val="000000"/>
          <w:sz w:val="28"/>
          <w:szCs w:val="28"/>
        </w:rPr>
      </w:pPr>
      <w:r>
        <w:rPr>
          <w:rFonts w:ascii="仿宋_GB2312" w:hint="eastAsia"/>
          <w:color w:val="000000"/>
          <w:sz w:val="28"/>
          <w:szCs w:val="28"/>
        </w:rPr>
        <w:t>表3 “十四五”番禺区教育发展主要指标</w:t>
      </w:r>
    </w:p>
    <w:tbl>
      <w:tblPr>
        <w:tblW w:w="4997" w:type="pct"/>
        <w:jc w:val="center"/>
        <w:tblInd w:w="0" w:type="dxa"/>
        <w:tblLook w:val="0000" w:firstRow="0" w:lastRow="0" w:firstColumn="0" w:lastColumn="0" w:noHBand="0" w:noVBand="0"/>
      </w:tblPr>
      <w:tblGrid>
        <w:gridCol w:w="762"/>
        <w:gridCol w:w="3913"/>
        <w:gridCol w:w="1502"/>
        <w:gridCol w:w="1296"/>
        <w:gridCol w:w="1356"/>
      </w:tblGrid>
      <w:tr w:rsidR="004E2B7C" w14:paraId="17ECA693" w14:textId="77777777">
        <w:trPr>
          <w:trHeight w:val="543"/>
          <w:tblHeader/>
          <w:jc w:val="center"/>
        </w:trPr>
        <w:tc>
          <w:tcPr>
            <w:tcW w:w="421" w:type="pct"/>
            <w:tcBorders>
              <w:top w:val="single" w:sz="4" w:space="0" w:color="auto"/>
              <w:left w:val="single" w:sz="4" w:space="0" w:color="auto"/>
              <w:bottom w:val="single" w:sz="4" w:space="0" w:color="auto"/>
              <w:right w:val="single" w:sz="4" w:space="0" w:color="auto"/>
            </w:tcBorders>
            <w:vAlign w:val="center"/>
          </w:tcPr>
          <w:p w14:paraId="25F3A352" w14:textId="77777777" w:rsidR="004E2B7C" w:rsidRDefault="004E2B7C">
            <w:pPr>
              <w:spacing w:line="520" w:lineRule="exact"/>
              <w:ind w:leftChars="50" w:left="15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序</w:t>
            </w:r>
          </w:p>
          <w:p w14:paraId="0ECD570A" w14:textId="77777777" w:rsidR="004E2B7C" w:rsidRDefault="004E2B7C">
            <w:pPr>
              <w:spacing w:line="520" w:lineRule="exact"/>
              <w:ind w:leftChars="50" w:left="15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号</w:t>
            </w:r>
          </w:p>
        </w:tc>
        <w:tc>
          <w:tcPr>
            <w:tcW w:w="2218" w:type="pct"/>
            <w:tcBorders>
              <w:top w:val="single" w:sz="4" w:space="0" w:color="auto"/>
              <w:left w:val="nil"/>
              <w:bottom w:val="single" w:sz="4" w:space="0" w:color="auto"/>
              <w:right w:val="single" w:sz="4" w:space="0" w:color="auto"/>
            </w:tcBorders>
            <w:vAlign w:val="center"/>
          </w:tcPr>
          <w:p w14:paraId="7690C15E" w14:textId="77777777" w:rsidR="004E2B7C" w:rsidRDefault="004E2B7C">
            <w:pPr>
              <w:spacing w:line="520" w:lineRule="exact"/>
              <w:ind w:left="10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指标</w:t>
            </w:r>
          </w:p>
        </w:tc>
        <w:tc>
          <w:tcPr>
            <w:tcW w:w="853" w:type="pct"/>
            <w:tcBorders>
              <w:top w:val="single" w:sz="4" w:space="0" w:color="auto"/>
              <w:left w:val="nil"/>
              <w:bottom w:val="single" w:sz="4" w:space="0" w:color="auto"/>
              <w:right w:val="single" w:sz="4" w:space="0" w:color="auto"/>
            </w:tcBorders>
            <w:vAlign w:val="center"/>
          </w:tcPr>
          <w:p w14:paraId="2A572FD5" w14:textId="77777777" w:rsidR="004E2B7C" w:rsidRDefault="004E2B7C">
            <w:pPr>
              <w:spacing w:line="520" w:lineRule="exact"/>
              <w:ind w:left="10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2020年</w:t>
            </w:r>
          </w:p>
        </w:tc>
        <w:tc>
          <w:tcPr>
            <w:tcW w:w="736" w:type="pct"/>
            <w:tcBorders>
              <w:top w:val="single" w:sz="4" w:space="0" w:color="auto"/>
              <w:left w:val="nil"/>
              <w:bottom w:val="single" w:sz="4" w:space="0" w:color="auto"/>
              <w:right w:val="single" w:sz="4" w:space="0" w:color="auto"/>
            </w:tcBorders>
            <w:vAlign w:val="center"/>
          </w:tcPr>
          <w:p w14:paraId="6DD2BB71" w14:textId="77777777" w:rsidR="004E2B7C" w:rsidRDefault="004E2B7C">
            <w:pPr>
              <w:spacing w:line="520" w:lineRule="exact"/>
              <w:ind w:left="10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2025年</w:t>
            </w:r>
          </w:p>
        </w:tc>
        <w:tc>
          <w:tcPr>
            <w:tcW w:w="770" w:type="pct"/>
            <w:tcBorders>
              <w:top w:val="single" w:sz="4" w:space="0" w:color="auto"/>
              <w:left w:val="nil"/>
              <w:bottom w:val="single" w:sz="4" w:space="0" w:color="auto"/>
              <w:right w:val="single" w:sz="4" w:space="0" w:color="auto"/>
            </w:tcBorders>
            <w:vAlign w:val="center"/>
          </w:tcPr>
          <w:p w14:paraId="486DDFAD" w14:textId="77777777" w:rsidR="004E2B7C" w:rsidRDefault="004E2B7C">
            <w:pPr>
              <w:spacing w:line="520" w:lineRule="exact"/>
              <w:ind w:left="10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指标</w:t>
            </w:r>
          </w:p>
          <w:p w14:paraId="3A2AD2FA" w14:textId="77777777" w:rsidR="004E2B7C" w:rsidRDefault="004E2B7C">
            <w:pPr>
              <w:spacing w:line="520" w:lineRule="exact"/>
              <w:ind w:left="108" w:right="10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属性</w:t>
            </w:r>
          </w:p>
        </w:tc>
      </w:tr>
      <w:tr w:rsidR="004E2B7C" w14:paraId="258E355A" w14:textId="77777777">
        <w:trPr>
          <w:jc w:val="center"/>
        </w:trPr>
        <w:tc>
          <w:tcPr>
            <w:tcW w:w="421" w:type="pct"/>
            <w:tcBorders>
              <w:top w:val="single" w:sz="4" w:space="0" w:color="auto"/>
              <w:left w:val="single" w:sz="4" w:space="0" w:color="auto"/>
              <w:bottom w:val="single" w:sz="4" w:space="0" w:color="auto"/>
              <w:right w:val="single" w:sz="4" w:space="0" w:color="auto"/>
            </w:tcBorders>
            <w:vAlign w:val="center"/>
          </w:tcPr>
          <w:p w14:paraId="6CBF2280"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w:t>
            </w:r>
          </w:p>
        </w:tc>
        <w:tc>
          <w:tcPr>
            <w:tcW w:w="2218" w:type="pct"/>
            <w:tcBorders>
              <w:top w:val="single" w:sz="4" w:space="0" w:color="auto"/>
              <w:left w:val="nil"/>
              <w:bottom w:val="single" w:sz="4" w:space="0" w:color="auto"/>
              <w:right w:val="single" w:sz="4" w:space="0" w:color="auto"/>
            </w:tcBorders>
            <w:vAlign w:val="center"/>
          </w:tcPr>
          <w:p w14:paraId="7B9B852D"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学前教育毛入园率（%）</w:t>
            </w:r>
          </w:p>
        </w:tc>
        <w:tc>
          <w:tcPr>
            <w:tcW w:w="853" w:type="pct"/>
            <w:tcBorders>
              <w:top w:val="single" w:sz="4" w:space="0" w:color="auto"/>
              <w:left w:val="nil"/>
              <w:bottom w:val="single" w:sz="4" w:space="0" w:color="auto"/>
              <w:right w:val="single" w:sz="4" w:space="0" w:color="auto"/>
            </w:tcBorders>
            <w:vAlign w:val="center"/>
          </w:tcPr>
          <w:p w14:paraId="18511925"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180.37</w:t>
            </w:r>
          </w:p>
        </w:tc>
        <w:tc>
          <w:tcPr>
            <w:tcW w:w="736" w:type="pct"/>
            <w:tcBorders>
              <w:top w:val="single" w:sz="4" w:space="0" w:color="auto"/>
              <w:left w:val="nil"/>
              <w:bottom w:val="single" w:sz="4" w:space="0" w:color="auto"/>
              <w:right w:val="single" w:sz="4" w:space="0" w:color="auto"/>
            </w:tcBorders>
            <w:vAlign w:val="center"/>
          </w:tcPr>
          <w:p w14:paraId="7A3E556A"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≥100</w:t>
            </w:r>
          </w:p>
        </w:tc>
        <w:tc>
          <w:tcPr>
            <w:tcW w:w="770" w:type="pct"/>
            <w:tcBorders>
              <w:top w:val="single" w:sz="4" w:space="0" w:color="auto"/>
              <w:left w:val="nil"/>
              <w:bottom w:val="single" w:sz="4" w:space="0" w:color="auto"/>
              <w:right w:val="single" w:sz="4" w:space="0" w:color="auto"/>
            </w:tcBorders>
            <w:vAlign w:val="center"/>
          </w:tcPr>
          <w:p w14:paraId="445FAD75"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652A477B" w14:textId="77777777">
        <w:trPr>
          <w:jc w:val="center"/>
        </w:trPr>
        <w:tc>
          <w:tcPr>
            <w:tcW w:w="421" w:type="pct"/>
            <w:tcBorders>
              <w:top w:val="single" w:sz="4" w:space="0" w:color="auto"/>
              <w:left w:val="single" w:sz="4" w:space="0" w:color="auto"/>
              <w:bottom w:val="single" w:sz="4" w:space="0" w:color="auto"/>
              <w:right w:val="single" w:sz="4" w:space="0" w:color="auto"/>
            </w:tcBorders>
            <w:vAlign w:val="center"/>
          </w:tcPr>
          <w:p w14:paraId="5BA17AFC"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lastRenderedPageBreak/>
              <w:t>2</w:t>
            </w:r>
          </w:p>
        </w:tc>
        <w:tc>
          <w:tcPr>
            <w:tcW w:w="2218" w:type="pct"/>
            <w:tcBorders>
              <w:top w:val="single" w:sz="4" w:space="0" w:color="auto"/>
              <w:left w:val="nil"/>
              <w:bottom w:val="single" w:sz="4" w:space="0" w:color="auto"/>
              <w:right w:val="single" w:sz="4" w:space="0" w:color="auto"/>
            </w:tcBorders>
            <w:vAlign w:val="center"/>
          </w:tcPr>
          <w:p w14:paraId="5CF805B7"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普惠性幼儿园比例（%）</w:t>
            </w:r>
          </w:p>
        </w:tc>
        <w:tc>
          <w:tcPr>
            <w:tcW w:w="853" w:type="pct"/>
            <w:tcBorders>
              <w:top w:val="single" w:sz="4" w:space="0" w:color="auto"/>
              <w:left w:val="nil"/>
              <w:bottom w:val="single" w:sz="4" w:space="0" w:color="auto"/>
              <w:right w:val="single" w:sz="4" w:space="0" w:color="auto"/>
            </w:tcBorders>
            <w:vAlign w:val="center"/>
          </w:tcPr>
          <w:p w14:paraId="32001419"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85</w:t>
            </w:r>
          </w:p>
        </w:tc>
        <w:tc>
          <w:tcPr>
            <w:tcW w:w="736" w:type="pct"/>
            <w:tcBorders>
              <w:top w:val="single" w:sz="4" w:space="0" w:color="auto"/>
              <w:left w:val="nil"/>
              <w:bottom w:val="single" w:sz="4" w:space="0" w:color="auto"/>
              <w:right w:val="single" w:sz="4" w:space="0" w:color="auto"/>
            </w:tcBorders>
            <w:vAlign w:val="center"/>
          </w:tcPr>
          <w:p w14:paraId="480FDC06"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85</w:t>
            </w:r>
          </w:p>
        </w:tc>
        <w:tc>
          <w:tcPr>
            <w:tcW w:w="770" w:type="pct"/>
            <w:tcBorders>
              <w:top w:val="single" w:sz="4" w:space="0" w:color="auto"/>
              <w:left w:val="nil"/>
              <w:bottom w:val="single" w:sz="4" w:space="0" w:color="auto"/>
              <w:right w:val="single" w:sz="4" w:space="0" w:color="auto"/>
            </w:tcBorders>
            <w:vAlign w:val="center"/>
          </w:tcPr>
          <w:p w14:paraId="23789CF6"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约束性</w:t>
            </w:r>
          </w:p>
        </w:tc>
      </w:tr>
      <w:tr w:rsidR="004E2B7C" w14:paraId="601D0F45" w14:textId="77777777">
        <w:trPr>
          <w:trHeight w:val="360"/>
          <w:jc w:val="center"/>
        </w:trPr>
        <w:tc>
          <w:tcPr>
            <w:tcW w:w="421" w:type="pct"/>
            <w:tcBorders>
              <w:top w:val="single" w:sz="4" w:space="0" w:color="auto"/>
              <w:left w:val="single" w:sz="4" w:space="0" w:color="auto"/>
              <w:bottom w:val="single" w:sz="4" w:space="0" w:color="auto"/>
              <w:right w:val="single" w:sz="4" w:space="0" w:color="auto"/>
            </w:tcBorders>
            <w:vAlign w:val="center"/>
          </w:tcPr>
          <w:p w14:paraId="220529C7"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3</w:t>
            </w:r>
          </w:p>
        </w:tc>
        <w:tc>
          <w:tcPr>
            <w:tcW w:w="2218" w:type="pct"/>
            <w:tcBorders>
              <w:top w:val="single" w:sz="4" w:space="0" w:color="auto"/>
              <w:left w:val="nil"/>
              <w:bottom w:val="single" w:sz="4" w:space="0" w:color="auto"/>
              <w:right w:val="single" w:sz="4" w:space="0" w:color="auto"/>
            </w:tcBorders>
            <w:vAlign w:val="center"/>
          </w:tcPr>
          <w:p w14:paraId="3B2086F1"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z w:val="28"/>
                <w:szCs w:val="28"/>
              </w:rPr>
              <w:t>小学适龄儿童入学率（%）</w:t>
            </w:r>
          </w:p>
        </w:tc>
        <w:tc>
          <w:tcPr>
            <w:tcW w:w="853" w:type="pct"/>
            <w:tcBorders>
              <w:top w:val="single" w:sz="4" w:space="0" w:color="auto"/>
              <w:left w:val="nil"/>
              <w:bottom w:val="single" w:sz="4" w:space="0" w:color="auto"/>
              <w:right w:val="single" w:sz="4" w:space="0" w:color="auto"/>
            </w:tcBorders>
            <w:vAlign w:val="center"/>
          </w:tcPr>
          <w:p w14:paraId="69E5A89C"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100</w:t>
            </w:r>
          </w:p>
        </w:tc>
        <w:tc>
          <w:tcPr>
            <w:tcW w:w="736" w:type="pct"/>
            <w:tcBorders>
              <w:top w:val="single" w:sz="4" w:space="0" w:color="auto"/>
              <w:left w:val="nil"/>
              <w:bottom w:val="single" w:sz="4" w:space="0" w:color="auto"/>
              <w:right w:val="single" w:sz="4" w:space="0" w:color="auto"/>
            </w:tcBorders>
            <w:vAlign w:val="center"/>
          </w:tcPr>
          <w:p w14:paraId="2A825971"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100</w:t>
            </w:r>
          </w:p>
        </w:tc>
        <w:tc>
          <w:tcPr>
            <w:tcW w:w="770" w:type="pct"/>
            <w:tcBorders>
              <w:top w:val="single" w:sz="4" w:space="0" w:color="auto"/>
              <w:left w:val="nil"/>
              <w:bottom w:val="single" w:sz="4" w:space="0" w:color="auto"/>
              <w:right w:val="single" w:sz="4" w:space="0" w:color="auto"/>
            </w:tcBorders>
            <w:vAlign w:val="center"/>
          </w:tcPr>
          <w:p w14:paraId="65AE05B0"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约束性</w:t>
            </w:r>
          </w:p>
        </w:tc>
      </w:tr>
      <w:tr w:rsidR="004E2B7C" w14:paraId="2DAACEF3" w14:textId="77777777">
        <w:trPr>
          <w:trHeight w:val="623"/>
          <w:jc w:val="center"/>
        </w:trPr>
        <w:tc>
          <w:tcPr>
            <w:tcW w:w="421" w:type="pct"/>
            <w:tcBorders>
              <w:top w:val="single" w:sz="4" w:space="0" w:color="auto"/>
              <w:left w:val="single" w:sz="4" w:space="0" w:color="auto"/>
              <w:bottom w:val="single" w:sz="4" w:space="0" w:color="auto"/>
              <w:right w:val="single" w:sz="4" w:space="0" w:color="auto"/>
            </w:tcBorders>
            <w:vAlign w:val="center"/>
          </w:tcPr>
          <w:p w14:paraId="55DFBE34" w14:textId="77777777" w:rsidR="004E2B7C" w:rsidRDefault="004E2B7C">
            <w:pPr>
              <w:spacing w:line="520" w:lineRule="exact"/>
              <w:ind w:right="105" w:firstLineChars="50" w:firstLine="138"/>
              <w:jc w:val="center"/>
              <w:rPr>
                <w:rFonts w:ascii="仿宋_GB2312" w:hAnsi="仿宋_GB2312" w:cs="仿宋_GB2312" w:hint="eastAsia"/>
                <w:sz w:val="28"/>
                <w:szCs w:val="28"/>
              </w:rPr>
            </w:pPr>
            <w:r>
              <w:rPr>
                <w:rFonts w:ascii="仿宋_GB2312" w:hAnsi="仿宋_GB2312" w:cs="仿宋_GB2312" w:hint="eastAsia"/>
                <w:sz w:val="28"/>
                <w:szCs w:val="28"/>
              </w:rPr>
              <w:t>4</w:t>
            </w:r>
          </w:p>
        </w:tc>
        <w:tc>
          <w:tcPr>
            <w:tcW w:w="2218" w:type="pct"/>
            <w:tcBorders>
              <w:top w:val="single" w:sz="4" w:space="0" w:color="auto"/>
              <w:left w:val="nil"/>
              <w:bottom w:val="single" w:sz="4" w:space="0" w:color="auto"/>
              <w:right w:val="single" w:sz="4" w:space="0" w:color="auto"/>
            </w:tcBorders>
            <w:vAlign w:val="center"/>
          </w:tcPr>
          <w:p w14:paraId="0390BF90" w14:textId="77777777" w:rsidR="004E2B7C" w:rsidRDefault="004E2B7C">
            <w:pPr>
              <w:spacing w:line="520" w:lineRule="exact"/>
              <w:ind w:left="105" w:right="105"/>
              <w:jc w:val="center"/>
              <w:rPr>
                <w:rFonts w:ascii="仿宋_GB2312" w:hAnsi="仿宋_GB2312" w:cs="仿宋_GB2312" w:hint="eastAsia"/>
                <w:sz w:val="28"/>
                <w:szCs w:val="28"/>
              </w:rPr>
            </w:pPr>
            <w:r>
              <w:rPr>
                <w:rFonts w:ascii="仿宋_GB2312" w:hAnsi="仿宋_GB2312" w:cs="仿宋_GB2312" w:hint="eastAsia"/>
                <w:sz w:val="28"/>
                <w:szCs w:val="28"/>
              </w:rPr>
              <w:t>初中阶段毛入学率（%）</w:t>
            </w:r>
          </w:p>
        </w:tc>
        <w:tc>
          <w:tcPr>
            <w:tcW w:w="853" w:type="pct"/>
            <w:tcBorders>
              <w:top w:val="single" w:sz="4" w:space="0" w:color="auto"/>
              <w:left w:val="nil"/>
              <w:bottom w:val="single" w:sz="4" w:space="0" w:color="auto"/>
              <w:right w:val="single" w:sz="4" w:space="0" w:color="auto"/>
            </w:tcBorders>
            <w:vAlign w:val="center"/>
          </w:tcPr>
          <w:p w14:paraId="6311B5A7"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107.52</w:t>
            </w:r>
          </w:p>
        </w:tc>
        <w:tc>
          <w:tcPr>
            <w:tcW w:w="736" w:type="pct"/>
            <w:tcBorders>
              <w:top w:val="single" w:sz="4" w:space="0" w:color="auto"/>
              <w:left w:val="nil"/>
              <w:bottom w:val="single" w:sz="4" w:space="0" w:color="auto"/>
              <w:right w:val="single" w:sz="4" w:space="0" w:color="auto"/>
            </w:tcBorders>
            <w:vAlign w:val="center"/>
          </w:tcPr>
          <w:p w14:paraId="3972A64E"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107.78</w:t>
            </w:r>
          </w:p>
        </w:tc>
        <w:tc>
          <w:tcPr>
            <w:tcW w:w="770" w:type="pct"/>
            <w:tcBorders>
              <w:top w:val="single" w:sz="4" w:space="0" w:color="auto"/>
              <w:left w:val="nil"/>
              <w:bottom w:val="single" w:sz="4" w:space="0" w:color="auto"/>
              <w:right w:val="single" w:sz="4" w:space="0" w:color="auto"/>
            </w:tcBorders>
            <w:vAlign w:val="center"/>
          </w:tcPr>
          <w:p w14:paraId="7E62C19E" w14:textId="77777777" w:rsidR="004E2B7C" w:rsidRDefault="004E2B7C">
            <w:pPr>
              <w:spacing w:line="520" w:lineRule="exact"/>
              <w:ind w:left="105" w:right="105"/>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79802709" w14:textId="77777777">
        <w:trPr>
          <w:trHeight w:val="623"/>
          <w:jc w:val="center"/>
        </w:trPr>
        <w:tc>
          <w:tcPr>
            <w:tcW w:w="421" w:type="pct"/>
            <w:tcBorders>
              <w:top w:val="single" w:sz="4" w:space="0" w:color="auto"/>
              <w:left w:val="single" w:sz="4" w:space="0" w:color="auto"/>
              <w:bottom w:val="single" w:sz="4" w:space="0" w:color="auto"/>
              <w:right w:val="single" w:sz="4" w:space="0" w:color="auto"/>
            </w:tcBorders>
            <w:vAlign w:val="center"/>
          </w:tcPr>
          <w:p w14:paraId="0CD20032"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5</w:t>
            </w:r>
          </w:p>
        </w:tc>
        <w:tc>
          <w:tcPr>
            <w:tcW w:w="2218" w:type="pct"/>
            <w:tcBorders>
              <w:top w:val="single" w:sz="4" w:space="0" w:color="auto"/>
              <w:left w:val="nil"/>
              <w:bottom w:val="single" w:sz="4" w:space="0" w:color="auto"/>
              <w:right w:val="single" w:sz="4" w:space="0" w:color="auto"/>
            </w:tcBorders>
            <w:vAlign w:val="center"/>
          </w:tcPr>
          <w:p w14:paraId="6F5E2F51"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适龄残疾儿童入学安置率（%）</w:t>
            </w:r>
          </w:p>
        </w:tc>
        <w:tc>
          <w:tcPr>
            <w:tcW w:w="853" w:type="pct"/>
            <w:tcBorders>
              <w:top w:val="single" w:sz="4" w:space="0" w:color="auto"/>
              <w:left w:val="nil"/>
              <w:bottom w:val="single" w:sz="4" w:space="0" w:color="auto"/>
              <w:right w:val="single" w:sz="4" w:space="0" w:color="auto"/>
            </w:tcBorders>
            <w:vAlign w:val="center"/>
          </w:tcPr>
          <w:p w14:paraId="0B4A1643"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100</w:t>
            </w:r>
          </w:p>
        </w:tc>
        <w:tc>
          <w:tcPr>
            <w:tcW w:w="736" w:type="pct"/>
            <w:tcBorders>
              <w:top w:val="single" w:sz="4" w:space="0" w:color="auto"/>
              <w:left w:val="nil"/>
              <w:bottom w:val="single" w:sz="4" w:space="0" w:color="auto"/>
              <w:right w:val="single" w:sz="4" w:space="0" w:color="auto"/>
            </w:tcBorders>
            <w:vAlign w:val="center"/>
          </w:tcPr>
          <w:p w14:paraId="3444C81B"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100</w:t>
            </w:r>
          </w:p>
        </w:tc>
        <w:tc>
          <w:tcPr>
            <w:tcW w:w="770" w:type="pct"/>
            <w:tcBorders>
              <w:top w:val="single" w:sz="4" w:space="0" w:color="auto"/>
              <w:left w:val="nil"/>
              <w:bottom w:val="single" w:sz="4" w:space="0" w:color="auto"/>
              <w:right w:val="single" w:sz="4" w:space="0" w:color="auto"/>
            </w:tcBorders>
            <w:vAlign w:val="center"/>
          </w:tcPr>
          <w:p w14:paraId="4DBD7D63"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01E971B7" w14:textId="77777777">
        <w:trPr>
          <w:trHeight w:val="623"/>
          <w:jc w:val="center"/>
        </w:trPr>
        <w:tc>
          <w:tcPr>
            <w:tcW w:w="421" w:type="pct"/>
            <w:tcBorders>
              <w:top w:val="single" w:sz="4" w:space="0" w:color="auto"/>
              <w:left w:val="single" w:sz="4" w:space="0" w:color="auto"/>
              <w:bottom w:val="single" w:sz="4" w:space="0" w:color="auto"/>
              <w:right w:val="single" w:sz="4" w:space="0" w:color="auto"/>
            </w:tcBorders>
            <w:vAlign w:val="center"/>
          </w:tcPr>
          <w:p w14:paraId="44668FF0"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6</w:t>
            </w:r>
          </w:p>
        </w:tc>
        <w:tc>
          <w:tcPr>
            <w:tcW w:w="2218" w:type="pct"/>
            <w:tcBorders>
              <w:top w:val="single" w:sz="4" w:space="0" w:color="auto"/>
              <w:left w:val="nil"/>
              <w:bottom w:val="single" w:sz="4" w:space="0" w:color="auto"/>
              <w:right w:val="single" w:sz="4" w:space="0" w:color="auto"/>
            </w:tcBorders>
            <w:vAlign w:val="center"/>
          </w:tcPr>
          <w:p w14:paraId="2DACB3D8"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中小学每百名学生拥有县级以上骨干教师数（人）</w:t>
            </w:r>
          </w:p>
        </w:tc>
        <w:tc>
          <w:tcPr>
            <w:tcW w:w="853" w:type="pct"/>
            <w:tcBorders>
              <w:top w:val="single" w:sz="4" w:space="0" w:color="auto"/>
              <w:left w:val="nil"/>
              <w:bottom w:val="single" w:sz="4" w:space="0" w:color="auto"/>
              <w:right w:val="single" w:sz="4" w:space="0" w:color="auto"/>
            </w:tcBorders>
            <w:vAlign w:val="center"/>
          </w:tcPr>
          <w:p w14:paraId="557C2E26"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0.7</w:t>
            </w:r>
          </w:p>
        </w:tc>
        <w:tc>
          <w:tcPr>
            <w:tcW w:w="736" w:type="pct"/>
            <w:tcBorders>
              <w:top w:val="single" w:sz="4" w:space="0" w:color="auto"/>
              <w:left w:val="nil"/>
              <w:bottom w:val="single" w:sz="4" w:space="0" w:color="auto"/>
              <w:right w:val="single" w:sz="4" w:space="0" w:color="auto"/>
            </w:tcBorders>
            <w:vAlign w:val="center"/>
          </w:tcPr>
          <w:p w14:paraId="180348FD"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1.12</w:t>
            </w:r>
          </w:p>
        </w:tc>
        <w:tc>
          <w:tcPr>
            <w:tcW w:w="770" w:type="pct"/>
            <w:tcBorders>
              <w:top w:val="single" w:sz="4" w:space="0" w:color="auto"/>
              <w:left w:val="nil"/>
              <w:bottom w:val="single" w:sz="4" w:space="0" w:color="auto"/>
              <w:right w:val="single" w:sz="4" w:space="0" w:color="auto"/>
            </w:tcBorders>
            <w:vAlign w:val="center"/>
          </w:tcPr>
          <w:p w14:paraId="5113DBF0"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5CEB6BA1" w14:textId="77777777">
        <w:trPr>
          <w:trHeight w:val="623"/>
          <w:jc w:val="center"/>
        </w:trPr>
        <w:tc>
          <w:tcPr>
            <w:tcW w:w="421" w:type="pct"/>
            <w:tcBorders>
              <w:top w:val="single" w:sz="4" w:space="0" w:color="auto"/>
              <w:left w:val="single" w:sz="4" w:space="0" w:color="auto"/>
              <w:bottom w:val="single" w:sz="4" w:space="0" w:color="auto"/>
              <w:right w:val="single" w:sz="4" w:space="0" w:color="auto"/>
            </w:tcBorders>
            <w:vAlign w:val="center"/>
          </w:tcPr>
          <w:p w14:paraId="73BC1FB1"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7</w:t>
            </w:r>
          </w:p>
        </w:tc>
        <w:tc>
          <w:tcPr>
            <w:tcW w:w="2218" w:type="pct"/>
            <w:tcBorders>
              <w:top w:val="single" w:sz="4" w:space="0" w:color="auto"/>
              <w:left w:val="nil"/>
              <w:bottom w:val="single" w:sz="4" w:space="0" w:color="auto"/>
              <w:right w:val="single" w:sz="4" w:space="0" w:color="auto"/>
            </w:tcBorders>
            <w:vAlign w:val="center"/>
          </w:tcPr>
          <w:p w14:paraId="1318BB92"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中小学生体质健康优良率（%）</w:t>
            </w:r>
          </w:p>
        </w:tc>
        <w:tc>
          <w:tcPr>
            <w:tcW w:w="853" w:type="pct"/>
            <w:tcBorders>
              <w:top w:val="single" w:sz="4" w:space="0" w:color="auto"/>
              <w:left w:val="nil"/>
              <w:bottom w:val="single" w:sz="4" w:space="0" w:color="auto"/>
              <w:right w:val="single" w:sz="4" w:space="0" w:color="auto"/>
            </w:tcBorders>
            <w:vAlign w:val="center"/>
          </w:tcPr>
          <w:p w14:paraId="36E09A98"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54.68</w:t>
            </w:r>
          </w:p>
        </w:tc>
        <w:tc>
          <w:tcPr>
            <w:tcW w:w="736" w:type="pct"/>
            <w:tcBorders>
              <w:top w:val="single" w:sz="4" w:space="0" w:color="auto"/>
              <w:left w:val="nil"/>
              <w:bottom w:val="single" w:sz="4" w:space="0" w:color="auto"/>
              <w:right w:val="single" w:sz="4" w:space="0" w:color="auto"/>
            </w:tcBorders>
            <w:vAlign w:val="center"/>
          </w:tcPr>
          <w:p w14:paraId="619788CA"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58.10</w:t>
            </w:r>
          </w:p>
        </w:tc>
        <w:tc>
          <w:tcPr>
            <w:tcW w:w="770" w:type="pct"/>
            <w:tcBorders>
              <w:top w:val="single" w:sz="4" w:space="0" w:color="auto"/>
              <w:left w:val="nil"/>
              <w:bottom w:val="single" w:sz="4" w:space="0" w:color="auto"/>
              <w:right w:val="single" w:sz="4" w:space="0" w:color="auto"/>
            </w:tcBorders>
            <w:vAlign w:val="center"/>
          </w:tcPr>
          <w:p w14:paraId="0D67A9D8"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19F2EE8F" w14:textId="77777777">
        <w:trPr>
          <w:trHeight w:val="315"/>
          <w:jc w:val="center"/>
        </w:trPr>
        <w:tc>
          <w:tcPr>
            <w:tcW w:w="421" w:type="pct"/>
            <w:tcBorders>
              <w:top w:val="single" w:sz="4" w:space="0" w:color="auto"/>
              <w:left w:val="single" w:sz="4" w:space="0" w:color="auto"/>
              <w:bottom w:val="single" w:sz="4" w:space="0" w:color="auto"/>
              <w:right w:val="single" w:sz="4" w:space="0" w:color="auto"/>
            </w:tcBorders>
            <w:vAlign w:val="center"/>
          </w:tcPr>
          <w:p w14:paraId="4E8CE71D"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8</w:t>
            </w:r>
          </w:p>
        </w:tc>
        <w:tc>
          <w:tcPr>
            <w:tcW w:w="2218" w:type="pct"/>
            <w:tcBorders>
              <w:top w:val="single" w:sz="4" w:space="0" w:color="auto"/>
              <w:left w:val="nil"/>
              <w:bottom w:val="single" w:sz="4" w:space="0" w:color="auto"/>
              <w:right w:val="single" w:sz="4" w:space="0" w:color="auto"/>
            </w:tcBorders>
            <w:vAlign w:val="center"/>
          </w:tcPr>
          <w:p w14:paraId="0E8B2565"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高中阶段毛入学率（%）</w:t>
            </w:r>
          </w:p>
        </w:tc>
        <w:tc>
          <w:tcPr>
            <w:tcW w:w="853" w:type="pct"/>
            <w:tcBorders>
              <w:top w:val="single" w:sz="4" w:space="0" w:color="auto"/>
              <w:left w:val="nil"/>
              <w:bottom w:val="single" w:sz="4" w:space="0" w:color="auto"/>
              <w:right w:val="single" w:sz="4" w:space="0" w:color="auto"/>
            </w:tcBorders>
            <w:vAlign w:val="center"/>
          </w:tcPr>
          <w:p w14:paraId="0B264FB6"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122.02</w:t>
            </w:r>
          </w:p>
        </w:tc>
        <w:tc>
          <w:tcPr>
            <w:tcW w:w="736" w:type="pct"/>
            <w:tcBorders>
              <w:top w:val="single" w:sz="4" w:space="0" w:color="auto"/>
              <w:left w:val="nil"/>
              <w:bottom w:val="single" w:sz="4" w:space="0" w:color="auto"/>
              <w:right w:val="single" w:sz="4" w:space="0" w:color="auto"/>
            </w:tcBorders>
            <w:vAlign w:val="center"/>
          </w:tcPr>
          <w:p w14:paraId="57CCBF8C"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125.02</w:t>
            </w:r>
          </w:p>
        </w:tc>
        <w:tc>
          <w:tcPr>
            <w:tcW w:w="770" w:type="pct"/>
            <w:tcBorders>
              <w:top w:val="single" w:sz="4" w:space="0" w:color="auto"/>
              <w:left w:val="nil"/>
              <w:bottom w:val="single" w:sz="4" w:space="0" w:color="auto"/>
              <w:right w:val="single" w:sz="4" w:space="0" w:color="auto"/>
            </w:tcBorders>
            <w:vAlign w:val="center"/>
          </w:tcPr>
          <w:p w14:paraId="64DD542B"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540AAAF1" w14:textId="77777777">
        <w:trPr>
          <w:trHeight w:val="315"/>
          <w:jc w:val="center"/>
        </w:trPr>
        <w:tc>
          <w:tcPr>
            <w:tcW w:w="421" w:type="pct"/>
            <w:tcBorders>
              <w:top w:val="single" w:sz="4" w:space="0" w:color="auto"/>
              <w:left w:val="single" w:sz="4" w:space="0" w:color="auto"/>
              <w:bottom w:val="single" w:sz="4" w:space="0" w:color="auto"/>
              <w:right w:val="single" w:sz="4" w:space="0" w:color="auto"/>
            </w:tcBorders>
            <w:vAlign w:val="center"/>
          </w:tcPr>
          <w:p w14:paraId="17B69DDF" w14:textId="77777777" w:rsidR="004E2B7C" w:rsidRDefault="004E2B7C">
            <w:pPr>
              <w:spacing w:line="520" w:lineRule="exact"/>
              <w:ind w:right="105" w:firstLineChars="50" w:firstLine="138"/>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9</w:t>
            </w:r>
          </w:p>
        </w:tc>
        <w:tc>
          <w:tcPr>
            <w:tcW w:w="2218" w:type="pct"/>
            <w:tcBorders>
              <w:top w:val="single" w:sz="4" w:space="0" w:color="auto"/>
              <w:left w:val="nil"/>
              <w:bottom w:val="single" w:sz="4" w:space="0" w:color="auto"/>
              <w:right w:val="single" w:sz="4" w:space="0" w:color="auto"/>
            </w:tcBorders>
            <w:vAlign w:val="center"/>
          </w:tcPr>
          <w:p w14:paraId="53D33726"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来穗人员随迁子女义务教育阶段以积分入学等方式入读公办学校和政府补贴民办学校学位的比例（%）</w:t>
            </w:r>
          </w:p>
        </w:tc>
        <w:tc>
          <w:tcPr>
            <w:tcW w:w="853" w:type="pct"/>
            <w:tcBorders>
              <w:top w:val="single" w:sz="4" w:space="0" w:color="auto"/>
              <w:left w:val="nil"/>
              <w:bottom w:val="single" w:sz="4" w:space="0" w:color="auto"/>
              <w:right w:val="single" w:sz="4" w:space="0" w:color="auto"/>
            </w:tcBorders>
            <w:vAlign w:val="center"/>
          </w:tcPr>
          <w:p w14:paraId="68F77D0D"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53.29</w:t>
            </w:r>
          </w:p>
        </w:tc>
        <w:tc>
          <w:tcPr>
            <w:tcW w:w="736" w:type="pct"/>
            <w:tcBorders>
              <w:top w:val="single" w:sz="4" w:space="0" w:color="auto"/>
              <w:left w:val="nil"/>
              <w:bottom w:val="single" w:sz="4" w:space="0" w:color="auto"/>
              <w:right w:val="single" w:sz="4" w:space="0" w:color="auto"/>
            </w:tcBorders>
            <w:vAlign w:val="center"/>
          </w:tcPr>
          <w:p w14:paraId="79854A2A"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60.55</w:t>
            </w:r>
          </w:p>
        </w:tc>
        <w:tc>
          <w:tcPr>
            <w:tcW w:w="770" w:type="pct"/>
            <w:tcBorders>
              <w:top w:val="single" w:sz="4" w:space="0" w:color="auto"/>
              <w:left w:val="nil"/>
              <w:bottom w:val="single" w:sz="4" w:space="0" w:color="auto"/>
              <w:right w:val="single" w:sz="4" w:space="0" w:color="auto"/>
            </w:tcBorders>
            <w:vAlign w:val="center"/>
          </w:tcPr>
          <w:p w14:paraId="097B236C"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预期性</w:t>
            </w:r>
          </w:p>
        </w:tc>
      </w:tr>
      <w:tr w:rsidR="004E2B7C" w14:paraId="6A3259F1" w14:textId="77777777">
        <w:trPr>
          <w:trHeight w:val="210"/>
          <w:jc w:val="center"/>
        </w:trPr>
        <w:tc>
          <w:tcPr>
            <w:tcW w:w="421" w:type="pct"/>
            <w:tcBorders>
              <w:top w:val="single" w:sz="4" w:space="0" w:color="auto"/>
              <w:left w:val="single" w:sz="4" w:space="0" w:color="auto"/>
              <w:bottom w:val="single" w:sz="4" w:space="0" w:color="auto"/>
              <w:right w:val="single" w:sz="4" w:space="0" w:color="auto"/>
            </w:tcBorders>
            <w:vAlign w:val="center"/>
          </w:tcPr>
          <w:p w14:paraId="384CCF0B"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10</w:t>
            </w:r>
          </w:p>
        </w:tc>
        <w:tc>
          <w:tcPr>
            <w:tcW w:w="2218" w:type="pct"/>
            <w:tcBorders>
              <w:top w:val="single" w:sz="4" w:space="0" w:color="auto"/>
              <w:left w:val="nil"/>
              <w:bottom w:val="single" w:sz="4" w:space="0" w:color="auto"/>
              <w:right w:val="single" w:sz="4" w:space="0" w:color="auto"/>
            </w:tcBorders>
            <w:vAlign w:val="center"/>
          </w:tcPr>
          <w:p w14:paraId="75AFBD9F"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新增公办基础教育学位</w:t>
            </w:r>
          </w:p>
          <w:p w14:paraId="720A7ACA" w14:textId="77777777" w:rsidR="004E2B7C" w:rsidRDefault="004E2B7C">
            <w:pPr>
              <w:spacing w:line="520" w:lineRule="exact"/>
              <w:ind w:left="105"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（万个）</w:t>
            </w:r>
          </w:p>
        </w:tc>
        <w:tc>
          <w:tcPr>
            <w:tcW w:w="853" w:type="pct"/>
            <w:tcBorders>
              <w:top w:val="single" w:sz="4" w:space="0" w:color="auto"/>
              <w:left w:val="nil"/>
              <w:bottom w:val="single" w:sz="4" w:space="0" w:color="auto"/>
              <w:right w:val="single" w:sz="4" w:space="0" w:color="auto"/>
            </w:tcBorders>
            <w:vAlign w:val="center"/>
          </w:tcPr>
          <w:p w14:paraId="1715854E" w14:textId="77777777" w:rsidR="004E2B7C" w:rsidRDefault="004E2B7C">
            <w:pPr>
              <w:spacing w:line="520" w:lineRule="exact"/>
              <w:ind w:left="105" w:right="105" w:firstLineChars="100" w:firstLine="276"/>
              <w:jc w:val="center"/>
              <w:rPr>
                <w:rFonts w:ascii="仿宋_GB2312" w:hAnsi="仿宋_GB2312" w:cs="仿宋_GB2312" w:hint="eastAsia"/>
                <w:snapToGrid w:val="0"/>
                <w:sz w:val="28"/>
                <w:szCs w:val="28"/>
              </w:rPr>
            </w:pPr>
          </w:p>
        </w:tc>
        <w:tc>
          <w:tcPr>
            <w:tcW w:w="736" w:type="pct"/>
            <w:tcBorders>
              <w:top w:val="single" w:sz="4" w:space="0" w:color="auto"/>
              <w:left w:val="nil"/>
              <w:bottom w:val="single" w:sz="4" w:space="0" w:color="auto"/>
              <w:right w:val="single" w:sz="4" w:space="0" w:color="auto"/>
            </w:tcBorders>
            <w:vAlign w:val="center"/>
          </w:tcPr>
          <w:p w14:paraId="2FA7C6CC" w14:textId="77777777" w:rsidR="004E2B7C" w:rsidRDefault="004E2B7C">
            <w:pPr>
              <w:spacing w:line="520" w:lineRule="exact"/>
              <w:ind w:left="105" w:right="105" w:firstLineChars="100" w:firstLine="276"/>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6.6</w:t>
            </w:r>
          </w:p>
        </w:tc>
        <w:tc>
          <w:tcPr>
            <w:tcW w:w="770" w:type="pct"/>
            <w:tcBorders>
              <w:top w:val="single" w:sz="4" w:space="0" w:color="auto"/>
              <w:left w:val="nil"/>
              <w:bottom w:val="single" w:sz="4" w:space="0" w:color="auto"/>
              <w:right w:val="single" w:sz="4" w:space="0" w:color="auto"/>
            </w:tcBorders>
            <w:vAlign w:val="center"/>
          </w:tcPr>
          <w:p w14:paraId="52824232" w14:textId="77777777" w:rsidR="004E2B7C" w:rsidRDefault="004E2B7C">
            <w:pPr>
              <w:spacing w:line="520" w:lineRule="exact"/>
              <w:ind w:right="105"/>
              <w:jc w:val="center"/>
              <w:rPr>
                <w:rFonts w:ascii="仿宋_GB2312" w:hAnsi="仿宋_GB2312" w:cs="仿宋_GB2312" w:hint="eastAsia"/>
                <w:snapToGrid w:val="0"/>
                <w:sz w:val="28"/>
                <w:szCs w:val="28"/>
              </w:rPr>
            </w:pPr>
            <w:r>
              <w:rPr>
                <w:rFonts w:ascii="仿宋_GB2312" w:hAnsi="仿宋_GB2312" w:cs="仿宋_GB2312" w:hint="eastAsia"/>
                <w:snapToGrid w:val="0"/>
                <w:sz w:val="28"/>
                <w:szCs w:val="28"/>
              </w:rPr>
              <w:t>约束性</w:t>
            </w:r>
          </w:p>
        </w:tc>
      </w:tr>
    </w:tbl>
    <w:p w14:paraId="28B17454" w14:textId="77777777" w:rsidR="004E2B7C" w:rsidRDefault="004E2B7C">
      <w:pPr>
        <w:spacing w:line="560" w:lineRule="exact"/>
        <w:ind w:firstLineChars="200" w:firstLine="632"/>
        <w:rPr>
          <w:rFonts w:ascii="仿宋_GB2312" w:hint="eastAsia"/>
          <w:color w:val="000000"/>
          <w:szCs w:val="32"/>
        </w:rPr>
      </w:pPr>
    </w:p>
    <w:p w14:paraId="3AC88512" w14:textId="77777777" w:rsidR="004E2B7C" w:rsidRDefault="004E2B7C">
      <w:pPr>
        <w:spacing w:line="560" w:lineRule="exact"/>
        <w:jc w:val="center"/>
        <w:outlineLvl w:val="0"/>
        <w:rPr>
          <w:rFonts w:ascii="黑体" w:eastAsia="黑体" w:hAnsi="黑体" w:cs="黑体" w:hint="eastAsia"/>
          <w:color w:val="000000"/>
          <w:szCs w:val="32"/>
        </w:rPr>
      </w:pPr>
      <w:bookmarkStart w:id="84" w:name="_Toc408560108"/>
      <w:bookmarkStart w:id="85" w:name="_Toc1970382709"/>
      <w:bookmarkStart w:id="86" w:name="_Toc797950110"/>
      <w:bookmarkStart w:id="87" w:name="_Toc10068"/>
      <w:r>
        <w:rPr>
          <w:rFonts w:ascii="黑体" w:eastAsia="黑体" w:hAnsi="黑体" w:cs="黑体" w:hint="eastAsia"/>
          <w:color w:val="000000"/>
          <w:szCs w:val="32"/>
        </w:rPr>
        <w:t>第三章  主要任务与重点工程</w:t>
      </w:r>
      <w:bookmarkEnd w:id="84"/>
      <w:bookmarkEnd w:id="85"/>
      <w:bookmarkEnd w:id="86"/>
      <w:bookmarkEnd w:id="87"/>
    </w:p>
    <w:p w14:paraId="39A5D31D" w14:textId="77777777" w:rsidR="004E2B7C" w:rsidRDefault="004E2B7C">
      <w:pPr>
        <w:spacing w:line="560" w:lineRule="exact"/>
        <w:ind w:firstLineChars="200" w:firstLine="632"/>
        <w:rPr>
          <w:rFonts w:ascii="仿宋_GB2312" w:hint="eastAsia"/>
          <w:color w:val="000000"/>
          <w:szCs w:val="32"/>
        </w:rPr>
      </w:pPr>
    </w:p>
    <w:p w14:paraId="29A0D5A1"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88" w:name="_Toc869433454"/>
      <w:bookmarkStart w:id="89" w:name="_Toc1131163404"/>
      <w:bookmarkStart w:id="90" w:name="_Toc1966002304"/>
      <w:bookmarkStart w:id="91" w:name="_Toc31047"/>
      <w:r>
        <w:rPr>
          <w:rFonts w:ascii="黑体" w:eastAsia="黑体" w:hAnsi="黑体" w:cs="黑体" w:hint="eastAsia"/>
          <w:color w:val="000000"/>
          <w:szCs w:val="32"/>
        </w:rPr>
        <w:t>一、主要任务</w:t>
      </w:r>
      <w:bookmarkEnd w:id="88"/>
      <w:bookmarkEnd w:id="89"/>
      <w:bookmarkEnd w:id="90"/>
      <w:bookmarkEnd w:id="91"/>
    </w:p>
    <w:p w14:paraId="1A305004"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92" w:name="_Toc687036652"/>
      <w:bookmarkStart w:id="93" w:name="_Toc876202978"/>
      <w:bookmarkStart w:id="94" w:name="_Toc1189618912"/>
      <w:bookmarkStart w:id="95" w:name="_Toc9182"/>
      <w:r>
        <w:rPr>
          <w:rFonts w:ascii="楷体_GB2312" w:eastAsia="楷体_GB2312" w:hAnsi="楷体_GB2312" w:cs="楷体_GB2312" w:hint="eastAsia"/>
          <w:color w:val="000000"/>
          <w:szCs w:val="32"/>
        </w:rPr>
        <w:t>（一）学前教育普惠优质发展</w:t>
      </w:r>
      <w:bookmarkEnd w:id="92"/>
      <w:bookmarkEnd w:id="93"/>
      <w:bookmarkEnd w:id="94"/>
      <w:bookmarkEnd w:id="95"/>
    </w:p>
    <w:p w14:paraId="4A7A6AB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1.优化布局与办园结构。</w:t>
      </w:r>
    </w:p>
    <w:p w14:paraId="555CD05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保持公办园在园幼儿占比在50%以上，普惠性幼儿园覆盖率在85%以上。按照“新建一批、置换一批、改造一批”的思路，充分利用集体物业、公共服务设施、中小学闲置校舍等资源加快公办幼儿园建设，集中力量推进23所公办幼儿园建设。</w:t>
      </w:r>
    </w:p>
    <w:p w14:paraId="64B1559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根据人口变化和城镇化发展趋势，把幼儿园建设纳入城乡公共管理和公共服务设施统一规划。着力解决偏远地区幼儿入园难问题，以“公办为主”的思路发展农村学前教育，满足农村适龄儿童就近入园的需求。</w:t>
      </w:r>
    </w:p>
    <w:p w14:paraId="022EA19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鼓励国有企事业单位、各类院校、集体单位或机构等举办公办幼儿园，推进公办园办学主体多元化，增加普惠性学前教育资源供给。完善普惠性民办园认定标准、补助标准及扶持政策。通过综合奖补、减免租金、派驻公办教师、培训教师、教研指导等方式，支持普惠性民办园发展。</w:t>
      </w:r>
    </w:p>
    <w:p w14:paraId="51F8BAE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2.推动学前教育高质量发展。</w:t>
      </w:r>
    </w:p>
    <w:p w14:paraId="4E26DC2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（1）进一步发挥国家和省学前教育改革发展实验区的示范引领作用，推动全区学前教育集团化、联盟式发展，发挥名园的示范辐射作用，扩大优质教育资源辐射范围，促进全区学前教育质量提升。</w:t>
      </w:r>
    </w:p>
    <w:p w14:paraId="43D7AEE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（2）推进岭南特色幼儿园建设，推动岭南特色园本课程建设，支持优质幼儿园园本课程精品化、品牌化发展，构建资源共享平台，推广经验成果。</w:t>
      </w:r>
    </w:p>
    <w:p w14:paraId="445E011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3）加强学前教育师资队伍建设。提升幼儿园教师素养，实施系列工程，进一步推进“教、研、培”一体化研修模式；重点对领域带头人进行高级研修，对名园长、名教师进行“一对一”导师制培训，对农村薄弱园教师进行提高培训，对教龄在3年以下的教师开展基本能力培训。</w:t>
      </w:r>
    </w:p>
    <w:p w14:paraId="655C2D5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（4）深入开展幼儿园活动的实践优化、研究和指导，以游戏活动为主，以观察和解读幼儿为重点，进行积极有效的师幼互动，持续提升学前教育保教质量。</w:t>
      </w:r>
    </w:p>
    <w:p w14:paraId="1C442A9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3.强化学前教育综合管理。</w:t>
      </w:r>
    </w:p>
    <w:p w14:paraId="7E2391D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（1）完善学前教育生均日常公用经费投入机制。逐步提高普惠性幼儿园生均公用经费标准，确保覆盖到各级各类普惠性幼儿园。</w:t>
      </w:r>
    </w:p>
    <w:p w14:paraId="359FBA6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（2）健全学前教育成本分担机制。合理提高公办幼儿园和普惠性民办幼儿园收费标准并建立定期动态调整机制。健全非营利性民办幼儿园收费管理办法和营利性民办幼儿园收费价格监管机制。</w:t>
      </w:r>
    </w:p>
    <w:p w14:paraId="4BBEE9A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（3）完善学前教育质量评估与监测体系。强化对幼儿园活动和教育过程的质量评估与监测。积极探索质量监测的路径与方法，明确监测内容，形成动态多元的质量监测与分析反馈机制。</w:t>
      </w:r>
    </w:p>
    <w:p w14:paraId="76162BD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（4）完善小区配套幼儿园建设管理办法，做好配套幼儿园规划、土地出让、园舍设计建设、验收、移交、办园等环节的监督管理。</w:t>
      </w:r>
    </w:p>
    <w:p w14:paraId="4B9BD8B3"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96" w:name="_Toc155620790"/>
      <w:bookmarkStart w:id="97" w:name="_Toc1061675147"/>
      <w:bookmarkStart w:id="98" w:name="_Toc1087437344"/>
      <w:bookmarkStart w:id="99" w:name="_Toc29492"/>
      <w:r>
        <w:rPr>
          <w:rFonts w:ascii="楷体_GB2312" w:eastAsia="楷体_GB2312" w:hAnsi="楷体_GB2312" w:cs="楷体_GB2312" w:hint="eastAsia"/>
          <w:color w:val="000000"/>
          <w:szCs w:val="32"/>
        </w:rPr>
        <w:lastRenderedPageBreak/>
        <w:t>（二）义务教育优质均衡发展</w:t>
      </w:r>
      <w:bookmarkEnd w:id="96"/>
      <w:bookmarkEnd w:id="97"/>
      <w:bookmarkEnd w:id="98"/>
      <w:bookmarkEnd w:id="99"/>
    </w:p>
    <w:p w14:paraId="34D53AE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1.保障义务教育学位供给。</w:t>
      </w:r>
    </w:p>
    <w:p w14:paraId="7341444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合理规划，优先保障学位需求。综合考虑人口变化、城镇化进程不断加快、外来人口大量流入等情况带来的入学高峰，合理规划义务教育学位供给。统筹安排中小学教育用地供应，坚持以需定供适度超前的原则，科学制定义务教育学位布局规划。依法落实小区配套学校建设，完善小区配套学校建设管理办法，深化名校合作办学模式，确保办一所优一所。</w:t>
      </w:r>
    </w:p>
    <w:p w14:paraId="29E6010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进一步完善招生制度。依法保障适龄儿童入学，合理设置义务教育阶段学区和学校，贯彻义务教育免试就近入学政策。科学全面规划各校招生人数，减少班额。进一步完善公民同招、保障随迁子女等特殊群体入学的相关政策。建立招生入学工作预告制度，加强对学龄人口变化趋势的预测分析，当出现常住人口中适龄儿童逐年增加、学位供给紧张的情况时，及时向社会发布预告提示，合理引导家长预期。</w:t>
      </w:r>
    </w:p>
    <w:p w14:paraId="77C27F9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2.促进义务教育均衡发展。</w:t>
      </w:r>
    </w:p>
    <w:p w14:paraId="7BA6F04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（1）健全城乡义务教育一体化均衡发展机制，在财政拨款、学校建设、师资配置等方面向农村学校倾斜。</w:t>
      </w:r>
    </w:p>
    <w:p w14:paraId="4E5D5F1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采取多样化的城乡对口支援方式，推动优质教育资源向农村地区辐射，精准实施对口帮扶机制，继续深化“名校+弱校”“名校+新校”模式。建立“三名共享教师”机制，深化“区管校聘”在促进教师合理流动方面的作用，探索“三名”教师到薄弱</w:t>
      </w:r>
      <w:r>
        <w:rPr>
          <w:rFonts w:ascii="仿宋_GB2312" w:hint="eastAsia"/>
          <w:color w:val="000000"/>
          <w:szCs w:val="32"/>
        </w:rPr>
        <w:lastRenderedPageBreak/>
        <w:t>学校授课、学科教师组团“走校”授课、名师在线辅导等多种方式开展对薄弱学校的帮扶。</w:t>
      </w:r>
    </w:p>
    <w:p w14:paraId="6F14BF5A"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（3）着力提升乡村教师专业素养，通过结对帮扶、系统化培训、联片教研、落实评价激励机制等方式促进乡村教师专业能力提升。</w:t>
      </w:r>
    </w:p>
    <w:p w14:paraId="09FDD80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3.全面提高义务教育质量。</w:t>
      </w:r>
    </w:p>
    <w:p w14:paraId="6A5579F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（1）全面推进集团化办学，以“名校+”“名校长+”集团化办学模式，带动全区整体教育质量的提升。</w:t>
      </w:r>
    </w:p>
    <w:p w14:paraId="6C3477A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（2）着力提升初中教育质量。加快推进初中品牌学校建设，区级层面打造2</w:t>
      </w:r>
      <w:r>
        <w:rPr>
          <w:rFonts w:ascii="仿宋_GB2312" w:hAnsi="仿宋_GB2312" w:cs="仿宋_GB2312" w:hint="eastAsia"/>
          <w:color w:val="000000"/>
          <w:szCs w:val="32"/>
        </w:rPr>
        <w:t>～</w:t>
      </w:r>
      <w:r>
        <w:rPr>
          <w:rFonts w:ascii="仿宋_GB2312" w:hint="eastAsia"/>
          <w:color w:val="000000"/>
          <w:szCs w:val="32"/>
        </w:rPr>
        <w:t>3所在全市领先的高品质品牌初中学校，各片区至少建成1所优质品牌初中学校，实现“一片一品”的初中教育新格局。通过创新办学体制激活初中办学活力，探索通过集团化办学构建以品牌初中为连接点的小初衔接、初高衔接的强强联合办学体制。引导学校以品牌学科建设为抓手提升学校教学质量，加强师资配备及实验室、计算机室、教学器材等方面的条件保障。</w:t>
      </w:r>
    </w:p>
    <w:p w14:paraId="33E0399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探索九年一贯制学校管理模式，从整体育人理念、统一制度体系、课程与教学衔接、优化学校资源配置等方面深入研究一体化办学理论及实践，真正发挥九年一贯制学校一体化办学的效益，打造九年一贯制品牌学校。</w:t>
      </w:r>
    </w:p>
    <w:p w14:paraId="3C0DEE35"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00" w:name="_Toc731125950"/>
      <w:bookmarkStart w:id="101" w:name="_Toc2111433100"/>
      <w:bookmarkStart w:id="102" w:name="_Toc443836675"/>
      <w:bookmarkStart w:id="103" w:name="_Toc18063"/>
      <w:r>
        <w:rPr>
          <w:rFonts w:ascii="楷体_GB2312" w:eastAsia="楷体_GB2312" w:hAnsi="楷体_GB2312" w:cs="楷体_GB2312" w:hint="eastAsia"/>
          <w:color w:val="000000"/>
          <w:szCs w:val="32"/>
        </w:rPr>
        <w:t>（三）普通高中优质特色发展</w:t>
      </w:r>
      <w:bookmarkEnd w:id="100"/>
      <w:bookmarkEnd w:id="101"/>
      <w:bookmarkEnd w:id="102"/>
      <w:bookmarkEnd w:id="103"/>
    </w:p>
    <w:p w14:paraId="7D78425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1.推进普通高中高质量发展。</w:t>
      </w:r>
    </w:p>
    <w:p w14:paraId="0996E532"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（1）提升仲元中学、番禺中学两大教育集团影响力，全面推</w:t>
      </w:r>
      <w:r>
        <w:rPr>
          <w:rFonts w:ascii="仿宋_GB2312" w:hint="eastAsia"/>
          <w:color w:val="000000"/>
          <w:szCs w:val="32"/>
        </w:rPr>
        <w:lastRenderedPageBreak/>
        <w:t>进普通高中集团化办学，促进集团学校内涵发展和品质提升。打造1</w:t>
      </w:r>
      <w:r>
        <w:rPr>
          <w:rFonts w:ascii="仿宋_GB2312" w:hAnsi="仿宋_GB2312" w:cs="仿宋_GB2312" w:hint="eastAsia"/>
          <w:color w:val="000000"/>
          <w:szCs w:val="32"/>
        </w:rPr>
        <w:t>～</w:t>
      </w:r>
      <w:r>
        <w:rPr>
          <w:rFonts w:ascii="仿宋_GB2312" w:hint="eastAsia"/>
          <w:color w:val="000000"/>
          <w:szCs w:val="32"/>
        </w:rPr>
        <w:t>2所国内一流、省内领先的卓越高中。</w:t>
      </w:r>
    </w:p>
    <w:p w14:paraId="7CE368E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全面落实高中新课程新教材改革，推进普通高中新课程、新教材示范校建设。完善学校课程管理，推进“课程—教材—教学—评价”一体化改革。构建自主选择、分层学习的选课制度，建立个性化选课菜单，扩大学生课程选择权。有序开展“走班制”教学，完善个性化学程和学分制建设。</w:t>
      </w:r>
    </w:p>
    <w:p w14:paraId="3B3D746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（3）深化课堂教学改革，强化课堂主阵地作用，探索推进课堂教学质量综合评价，提升课堂教学质量，着力培养创新型人才。</w:t>
      </w:r>
    </w:p>
    <w:p w14:paraId="3FA6D29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促进普通高中多样化发展。确立区域特色高中“错位发展”“学校自主”“区域统筹”三大建设原则。引导学校自主凝练办学定位和特色发展方向。开展以丰富且具有特色的学校课程体系建设为核心的普通高中特色学校建设，形成以科技、人文、数理、艺术、体育等为主要办学特色的多样化发展格局。构建丰富多样的校本课程体系，将学校课程体系作为学校特色的重要考察指标，由教育行政部门统筹安排资源，适当将经费和师资向特色学校倾斜。</w:t>
      </w:r>
    </w:p>
    <w:p w14:paraId="7DEA599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3.推进高中教育管理体制改革。</w:t>
      </w:r>
    </w:p>
    <w:p w14:paraId="227B515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（1）完善高中教育管理体制，推动镇（街）属高中全部收归区属，统一配置教育资源，推动标准化办学，提升城市教育公共服务功能。</w:t>
      </w:r>
    </w:p>
    <w:p w14:paraId="6FED4B7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（2）鼓励有条件的高中与高等院校、科研院所等联合培养拔</w:t>
      </w:r>
      <w:r>
        <w:rPr>
          <w:rFonts w:ascii="仿宋_GB2312" w:hint="eastAsia"/>
          <w:color w:val="000000"/>
          <w:szCs w:val="32"/>
        </w:rPr>
        <w:lastRenderedPageBreak/>
        <w:t>尖创新人才，通过联合开发课程、开放学术资源、共创联合培养基地等形式，培养有志于服务国家重大战略需求或基础学科拔尖的学生。</w:t>
      </w:r>
    </w:p>
    <w:p w14:paraId="7D7485D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构建政府引领、社会支撑、科研促进、家校联动的普通高中育人新格局，完善社会各界与普通高中联动机制，突破学校围墙，进行多样化的职业体验，引导学生进行自我认知，储备职业素养，为学生的终身发展奠定基础。</w:t>
      </w:r>
    </w:p>
    <w:p w14:paraId="7A3F8E1A"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04" w:name="_Toc20120574"/>
      <w:bookmarkStart w:id="105" w:name="_Toc1570410731"/>
      <w:bookmarkStart w:id="106" w:name="_Toc792595341"/>
      <w:bookmarkStart w:id="107" w:name="_Toc15450"/>
      <w:r>
        <w:rPr>
          <w:rFonts w:ascii="楷体_GB2312" w:eastAsia="楷体_GB2312" w:hAnsi="楷体_GB2312" w:cs="楷体_GB2312" w:hint="eastAsia"/>
          <w:color w:val="000000"/>
          <w:szCs w:val="32"/>
        </w:rPr>
        <w:t>（四）中职教育融通优化发展</w:t>
      </w:r>
      <w:bookmarkEnd w:id="104"/>
      <w:bookmarkEnd w:id="105"/>
      <w:bookmarkEnd w:id="106"/>
      <w:bookmarkEnd w:id="107"/>
    </w:p>
    <w:p w14:paraId="733B652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1.提高办学水平和专业建设水平。</w:t>
      </w:r>
    </w:p>
    <w:p w14:paraId="48A507D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加强学校基础能力建设，加大投入，提高办学条件达标率，推进校舍升级扩容，提升学校现代化水平，扩大招生规模。将番禺职业技术学校建设成为省“高水平中职学校”，力促成为国家“高水平中职学校”，将其打造成“全国一流、广东特色、区域品牌”职业学校。</w:t>
      </w:r>
    </w:p>
    <w:p w14:paraId="7E2AF8F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（2）继续完善职业教育管理体系。以标准化建设作为统领职业教育发展的突破口，为职业教育现代化发展提供制度保障。</w:t>
      </w:r>
    </w:p>
    <w:p w14:paraId="519DA2C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实施错位发展战略，引导学校根据区域经济结构及本校实际情况打造优势专业，力促形成以现代制造业、现代服务业、人文艺术类专业为主的番禺职业教育格局。着力将数控技术应用和电子商务2个专业群建成“全国一流、广东特色、区域品牌、接轨国际”的专业群，形成引领国内同类专业群发展的培养方案、课程标准、教材教法等典型范式。</w:t>
      </w:r>
    </w:p>
    <w:p w14:paraId="277A62C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（4）完善与产业转型相适应的专业动态调整机制，提升专业建设与我区经济社会发展的匹配度，建立紧密对接产业链、创新链的学校布局和专业体系，建设区域特色品牌高水平专业群。</w:t>
      </w:r>
    </w:p>
    <w:p w14:paraId="1D2BD51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（5）深化职普融通，探索建立职业技术教育和普通教育双向互认、纵向流动机制。</w:t>
      </w:r>
    </w:p>
    <w:p w14:paraId="3599BB2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2.进一步推动产教融合。</w:t>
      </w:r>
    </w:p>
    <w:p w14:paraId="65AE8A8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（1）推进区职教集团优化升级，支持区职教集团争创省级示范性职教集团。</w:t>
      </w:r>
    </w:p>
    <w:p w14:paraId="7406684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（2）打造一批高水平实训基地。建设1</w:t>
      </w:r>
      <w:r>
        <w:rPr>
          <w:rFonts w:ascii="仿宋_GB2312" w:hAnsi="仿宋_GB2312" w:cs="仿宋_GB2312" w:hint="eastAsia"/>
          <w:color w:val="000000"/>
          <w:szCs w:val="32"/>
        </w:rPr>
        <w:t>～</w:t>
      </w:r>
      <w:r>
        <w:rPr>
          <w:rFonts w:ascii="仿宋_GB2312" w:hint="eastAsia"/>
          <w:color w:val="000000"/>
          <w:szCs w:val="32"/>
        </w:rPr>
        <w:t>2个广东领先的生产性实训中心，打造多个高水平专业化产教融合实训基地。</w:t>
      </w:r>
    </w:p>
    <w:p w14:paraId="34DBBEA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加大“双师型”教师队伍培养。探索建立高等学校、职业学校和行业企业联合培养“双师型”教师机制。优化编制结构，向“双师型”教师队伍倾斜。开展在职教师的双师素质培训进修，探索建设“双师型”教师培养培训基地。培养一批高水平专业群建设带头人，发挥领军人才和大师名匠的引领作用，带动教师素质整体提升。</w:t>
      </w:r>
    </w:p>
    <w:p w14:paraId="6D2D78C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（4）探索中国特色现代学徒制和企业新型学徒制改革，深化技术技能人才培养培训模式改革。</w:t>
      </w:r>
    </w:p>
    <w:p w14:paraId="0480983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3.提升对外合作水平。</w:t>
      </w:r>
    </w:p>
    <w:p w14:paraId="545CF32A"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（1）高水平搭建国际教育交流平台，促进我区职业教育与国际先进职业教育的交流与合作，提升我区职业教育国际化水平。</w:t>
      </w:r>
    </w:p>
    <w:p w14:paraId="0CE9630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（2）积极对接区域经济社会发展和粤港澳大湾区建设需求，</w:t>
      </w:r>
      <w:r>
        <w:rPr>
          <w:rFonts w:ascii="仿宋_GB2312" w:hint="eastAsia"/>
          <w:color w:val="000000"/>
          <w:szCs w:val="32"/>
        </w:rPr>
        <w:lastRenderedPageBreak/>
        <w:t>加强与香港专修学院、澳门旅游学院等开展交流合作。</w:t>
      </w:r>
    </w:p>
    <w:p w14:paraId="7088FC66"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08" w:name="_Toc2017606234"/>
      <w:bookmarkStart w:id="109" w:name="_Toc855825896"/>
      <w:bookmarkStart w:id="110" w:name="_Toc1508643402"/>
      <w:bookmarkStart w:id="111" w:name="_Toc12183"/>
      <w:r>
        <w:rPr>
          <w:rFonts w:ascii="楷体_GB2312" w:eastAsia="楷体_GB2312" w:hAnsi="楷体_GB2312" w:cs="楷体_GB2312" w:hint="eastAsia"/>
          <w:color w:val="000000"/>
          <w:szCs w:val="32"/>
        </w:rPr>
        <w:t>（五）特殊教育多元融合发展</w:t>
      </w:r>
      <w:bookmarkEnd w:id="108"/>
      <w:bookmarkEnd w:id="109"/>
      <w:bookmarkEnd w:id="110"/>
      <w:bookmarkEnd w:id="111"/>
    </w:p>
    <w:p w14:paraId="5247D4B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深度推进普特融合工作。进一步落实“第一、二期特殊教育提升计划”，完善特教指导中心职能，做好特殊学生的统筹管理。丰富普通学校特教资源，深度开展融合教育，做好特殊学生“一人一案”教育服务。完善“番禺特教网”的建设，实现特教管理信息化和课程资源共建共享。全面提升残疾儿童转介安置工作的计划性、规范性与科学性。</w:t>
      </w:r>
    </w:p>
    <w:p w14:paraId="28B8F78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2.建立特殊教育联动机制。</w:t>
      </w:r>
    </w:p>
    <w:p w14:paraId="5AFDD27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建立特殊教育发展联席会议制度。探索建立政府主导、部门协作、区域推进的特殊教育良性发展运行机制，加强部门间信息交流共享，建立健全特殊教育专业服务网络平台，开展医教结合改革试点工作，为残疾儿童、少年提供个性化的特殊教育和康复医疗服务。</w:t>
      </w:r>
    </w:p>
    <w:p w14:paraId="567FC47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探索特殊教育社会支持机制。加大特殊教育宣传工作，充分挖掘、整合及利用社区、社会机构、家长群众等各类社会资源，动员社会各界采用多种形式扶残助学，形成政府主导、社会支持、全面覆盖、通畅便利的特殊教育服务保障机制，推动特殊教育可持续发展。</w:t>
      </w:r>
    </w:p>
    <w:p w14:paraId="7EA113F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3.加强特殊教育教师队伍建设。</w:t>
      </w:r>
    </w:p>
    <w:p w14:paraId="048906C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（1）加强特殊教育师资配备。按照《广东省特殊教育学校教职员编制标准暂行办法》，为特殊教育学校及特教班配齐配足教职</w:t>
      </w:r>
      <w:r>
        <w:rPr>
          <w:rFonts w:ascii="仿宋_GB2312" w:hint="eastAsia"/>
          <w:color w:val="000000"/>
          <w:szCs w:val="32"/>
        </w:rPr>
        <w:lastRenderedPageBreak/>
        <w:t>工，加强各类康复专业人员及其他专业技术人员配备，为招收残疾学生的普通学校（含幼儿园）加强师资配备。</w:t>
      </w:r>
    </w:p>
    <w:p w14:paraId="17D53AB0"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加强特殊教育师资培训。以融合发展为导向，根据特殊教育4种安置形式（特殊教育学校、特教班、随班就读及送教上门）明确教师分级分类培训体系，采取支持进修、选送培训、互帮互带等方式，提升师资队伍整体素质和教学能力。</w:t>
      </w:r>
    </w:p>
    <w:p w14:paraId="6A392F3A"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12" w:name="_Toc797748483"/>
      <w:bookmarkStart w:id="113" w:name="_Toc1448162002"/>
      <w:bookmarkStart w:id="114" w:name="_Toc1243538118"/>
      <w:bookmarkStart w:id="115" w:name="_Toc11125"/>
      <w:r>
        <w:rPr>
          <w:rFonts w:ascii="楷体_GB2312" w:eastAsia="楷体_GB2312" w:hAnsi="楷体_GB2312" w:cs="楷体_GB2312" w:hint="eastAsia"/>
          <w:color w:val="000000"/>
          <w:szCs w:val="32"/>
        </w:rPr>
        <w:t>（六）社区教育智能开放发展</w:t>
      </w:r>
      <w:bookmarkEnd w:id="112"/>
      <w:bookmarkEnd w:id="113"/>
      <w:bookmarkEnd w:id="114"/>
      <w:bookmarkEnd w:id="115"/>
    </w:p>
    <w:p w14:paraId="2ED5B43D"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1.深化全国社区教育示范区建设。加强社区教育六大课程体系建设，继续做好课程建设和开发，逐步形成良性循环的课程生态链。到2025年，建设6</w:t>
      </w:r>
      <w:r>
        <w:rPr>
          <w:rFonts w:ascii="仿宋_GB2312" w:hAnsi="仿宋_GB2312" w:cs="仿宋_GB2312" w:hint="eastAsia"/>
          <w:color w:val="000000"/>
          <w:szCs w:val="32"/>
        </w:rPr>
        <w:t>～</w:t>
      </w:r>
      <w:r>
        <w:rPr>
          <w:rFonts w:ascii="仿宋_GB2312" w:hint="eastAsia"/>
          <w:color w:val="000000"/>
          <w:szCs w:val="32"/>
        </w:rPr>
        <w:t>8个具有番禺特色的社区教育课程。进一步推进社区教育多元结构，开展社区教育混合式教学研究，探索构建具有番禺特色的社区教育模式。</w:t>
      </w:r>
    </w:p>
    <w:p w14:paraId="57705EC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2.建设高素质社区教育师资队伍。</w:t>
      </w:r>
    </w:p>
    <w:p w14:paraId="0CF0D13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（1）优化社区教育师资结构。统筹规划社区教育教师配置，加强师资交流，吸引企事业单位、社区、社会组织的专业人才参与社区教育。</w:t>
      </w:r>
    </w:p>
    <w:p w14:paraId="0D97B59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（2）提高社区教育教师素养。加强与高等院校合作，邀请家庭教育、法律、心理健康等方面专家教授成立社区教育讲师团，建立多元分层高质量的培训体系。</w:t>
      </w:r>
    </w:p>
    <w:p w14:paraId="101DACE2"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（3）深入挖潜社区人力资源，构建常态化的社区教育志愿者队伍，建立志愿者台账，掌握社区内的人才分布和动向，充分利用离退休人员、优秀大学生等人才资源为社区教育注入新鲜血液。</w:t>
      </w:r>
    </w:p>
    <w:p w14:paraId="5D7E23D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（4）构建社区教育专业工作者队伍。规范化、系统性地培养社区教育工作者，助推我区社会综合治理科学持续发展。</w:t>
      </w:r>
    </w:p>
    <w:p w14:paraId="4B31720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3.完善社区教育管理制度。建立社区教育监测体系，建立健全组织保障、监控评估、沟通反馈、持续改进一体化的社区教育质量监控机制。选取2</w:t>
      </w:r>
      <w:r>
        <w:rPr>
          <w:rFonts w:ascii="仿宋_GB2312" w:hAnsi="仿宋_GB2312" w:cs="仿宋_GB2312" w:hint="eastAsia"/>
          <w:color w:val="000000"/>
          <w:szCs w:val="32"/>
        </w:rPr>
        <w:t>～</w:t>
      </w:r>
      <w:r>
        <w:rPr>
          <w:rFonts w:ascii="仿宋_GB2312" w:hint="eastAsia"/>
          <w:color w:val="000000"/>
          <w:szCs w:val="32"/>
        </w:rPr>
        <w:t>3个镇（街）开展社区教育监测试点工作，推进社区教育的本土化特色发展。完善社区教育统计工作制度，每年至少统计1次社区教育情况。</w:t>
      </w:r>
    </w:p>
    <w:p w14:paraId="42F0539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4.推动老年教育高质量发展。</w:t>
      </w:r>
    </w:p>
    <w:p w14:paraId="18C42BB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（1）依托广州老年开放大学番禺学院设立区级老年教育办公室，负责实施老年教育具体工作，重点完成区级线上线下资源平台建设，实现全区老年教育资源科学统筹、共享。</w:t>
      </w:r>
    </w:p>
    <w:p w14:paraId="38CDCD1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完善“老年教育学习地图”，优化区级老年教育的个性化课程体系，研发区域文化特色的精品课程，同时依托老年教育三级学习网络，采取线上线下同步学习方式，将区级教育资源向镇（街）社区辐射。到2025年，实现老年人群以各种形式参与教育学习占比达50%以上。</w:t>
      </w:r>
    </w:p>
    <w:p w14:paraId="4A42D63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深入推进“游学养”项目。加快建设“游学养”特色基地，启动养教结合、康养学游的试点工作，打造线下实现场景、实体课堂，线上虚构场景、社群运营全生态网络课程，以点带面向周边辐射，形成“岭南文化学习活动圈”。</w:t>
      </w:r>
    </w:p>
    <w:p w14:paraId="0121899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（4）加大老年教育交流合作。利用粤港澳大湾区中西文化长期交汇共存的综合优势，搭建境内外老年教育交流合作平台，积</w:t>
      </w:r>
      <w:r>
        <w:rPr>
          <w:rFonts w:ascii="仿宋_GB2312" w:hint="eastAsia"/>
          <w:color w:val="000000"/>
          <w:szCs w:val="32"/>
        </w:rPr>
        <w:lastRenderedPageBreak/>
        <w:t>极与世界友好国家城市（地区）等开展老年教育研究交流，提升老年教育品质。</w:t>
      </w:r>
    </w:p>
    <w:p w14:paraId="7EA794B4"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16" w:name="_Toc744644930"/>
      <w:bookmarkStart w:id="117" w:name="_Toc629257220"/>
      <w:bookmarkStart w:id="118" w:name="_Toc263898359"/>
      <w:bookmarkStart w:id="119" w:name="_Toc31946"/>
      <w:r>
        <w:rPr>
          <w:rFonts w:ascii="楷体_GB2312" w:eastAsia="楷体_GB2312" w:hAnsi="楷体_GB2312" w:cs="楷体_GB2312" w:hint="eastAsia"/>
          <w:color w:val="000000"/>
          <w:szCs w:val="32"/>
        </w:rPr>
        <w:t>（七）民办教育规范优质发展</w:t>
      </w:r>
      <w:bookmarkEnd w:id="116"/>
      <w:bookmarkEnd w:id="117"/>
      <w:bookmarkEnd w:id="118"/>
      <w:bookmarkEnd w:id="119"/>
    </w:p>
    <w:p w14:paraId="7E00C87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实施民办教育分类改革。建立逐批分类登记工作机制，推进民办教育领域社会信用体系建设，落实准入负面清单制度，规范行政审批制度，完善退出机制。健全财政对民办学校的差别化扶持政策，明确土地、税收、人才等优惠政策。建立区级民办教育工作联席会议制度和民办教育信息管理系统。全面落实校外培训机构常态化监管机制。</w:t>
      </w:r>
    </w:p>
    <w:p w14:paraId="7F171AA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推进民办学校特色发展。引导学校根据自身情况，结合当地自然环境、社会环境、人文环境，从学校文化、课程架构、课程设置等方面建设学校特色，在“上品教化”的区域理念引领下，打造具有番禺特色的民办教育。</w:t>
      </w:r>
    </w:p>
    <w:p w14:paraId="34674786"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3.促进公民办学校协同发展。</w:t>
      </w:r>
    </w:p>
    <w:p w14:paraId="792FB01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（1）构建公民办学校发展共同体。建立公民办学校联盟，加强公民办学校交流，构建以优质校为主导，联盟校相互辐射的发展共同体。</w:t>
      </w:r>
    </w:p>
    <w:p w14:paraId="3582C549"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（2）探索“一对一”项目打包式帮带发展模式。针对民办学校的需求，明确帮扶项目，选取优质的公办学校，制定以“项目帮带”为主的打包式共建方案。</w:t>
      </w:r>
    </w:p>
    <w:p w14:paraId="74D7491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（3）探索“一对多”差异式量身帮带发展模式。形成托管模式的公民办教育集团，以一所优质公办校或民办校带多所薄弱校</w:t>
      </w:r>
      <w:r>
        <w:rPr>
          <w:rFonts w:ascii="仿宋_GB2312" w:hint="eastAsia"/>
          <w:color w:val="000000"/>
          <w:szCs w:val="32"/>
        </w:rPr>
        <w:lastRenderedPageBreak/>
        <w:t>的方式，关注各个薄弱校的差异化需求，针对学校特点量身定制帮带与辐射方案。</w:t>
      </w:r>
    </w:p>
    <w:p w14:paraId="021B49A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4.提升民办学校师资队伍水平。</w:t>
      </w:r>
    </w:p>
    <w:p w14:paraId="6BE546E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推进教师学历提升工作，鼓励民办学校校长教师参加继续教育培训，联合高校办学，举办民办学校专任教师学历提升培训班，开办教育管理学、心理教育学硕士研究生课程班，提高民办学校教师高一层次学历比例。</w:t>
      </w:r>
    </w:p>
    <w:p w14:paraId="55DF32AA"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探索民办学校教师培养模式，创建区、片、校三级联动，集教研、科研、培训于一体的“民办学校教师三级联动研修模式”。依托市、区级名校长、名班主任、名师工作室，开展民办学校骨干教师培养行动。</w:t>
      </w:r>
    </w:p>
    <w:p w14:paraId="6EA78DA1"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20" w:name="_Toc1522895938"/>
      <w:bookmarkStart w:id="121" w:name="_Toc1702807457"/>
      <w:bookmarkStart w:id="122" w:name="_Toc1005875466"/>
      <w:bookmarkStart w:id="123" w:name="_Toc10479"/>
      <w:r>
        <w:rPr>
          <w:rFonts w:ascii="楷体_GB2312" w:eastAsia="楷体_GB2312" w:hAnsi="楷体_GB2312" w:cs="楷体_GB2312" w:hint="eastAsia"/>
          <w:color w:val="000000"/>
          <w:szCs w:val="32"/>
        </w:rPr>
        <w:t>（八）国际化教育规范特色发展</w:t>
      </w:r>
      <w:bookmarkEnd w:id="120"/>
      <w:bookmarkEnd w:id="121"/>
      <w:bookmarkEnd w:id="122"/>
      <w:bookmarkEnd w:id="123"/>
    </w:p>
    <w:p w14:paraId="2CF14C9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1.加强基础教育对外开放和国际化水平。</w:t>
      </w:r>
    </w:p>
    <w:p w14:paraId="4013A39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（1）开展国际理解教育。抓好国际理解特色项目，增强师生国际理解和国际素养。</w:t>
      </w:r>
    </w:p>
    <w:p w14:paraId="4C7842F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加强对外交流合作。鼓励更多中小学与国（境）外学校建立合作结对关系，依托粤港澳大湾区各类开放型平台，推动中小学校、幼儿园缔结穗港澳姊妹校（园）、国际友好学校，举办多种形式的青少年交流活动。</w:t>
      </w:r>
    </w:p>
    <w:p w14:paraId="3CAE709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（3）深化国际交流与合作，打造教育国际化示范校，探索依托高校的专家团队和科研资源优势，共建高端的国际化教育智库，开展面向世界、面向未来的基础教育研究。</w:t>
      </w:r>
    </w:p>
    <w:p w14:paraId="0B2185A2"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lastRenderedPageBreak/>
        <w:t>2.推动国际化学校优质特色发展。</w:t>
      </w:r>
    </w:p>
    <w:p w14:paraId="20103D3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（1）加快国际化学校建设。推进广州南站国际化学校建设项目，积极引进国际和港澳名校在我区办学，到2025年建设1</w:t>
      </w:r>
      <w:r>
        <w:rPr>
          <w:rFonts w:ascii="仿宋_GB2312" w:hAnsi="仿宋_GB2312" w:cs="仿宋_GB2312" w:hint="eastAsia"/>
          <w:color w:val="000000"/>
          <w:szCs w:val="32"/>
        </w:rPr>
        <w:t>～</w:t>
      </w:r>
      <w:r>
        <w:rPr>
          <w:rFonts w:ascii="仿宋_GB2312" w:hint="eastAsia"/>
          <w:color w:val="000000"/>
          <w:szCs w:val="32"/>
        </w:rPr>
        <w:t>2所高端国际化学校。</w:t>
      </w:r>
    </w:p>
    <w:p w14:paraId="2A0A3F8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（2）规范国际化学校发展。明确国际化学校建设标准，包括校园规划、建筑设备、技术支持、师资标准等，规范国际化学校管理，加强国际化学校评价，保证国际化学校办学质量。</w:t>
      </w:r>
    </w:p>
    <w:p w14:paraId="6632F26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（3）构建国际化学校共同体。以国际化学校为中心，联合本土学校组成发展共同体，通过教科研合作、集中培训等方式，加强教育国际化交流。</w:t>
      </w:r>
    </w:p>
    <w:p w14:paraId="4B896E1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（4）推动国际教育本土化。邀请国内外专家与学校共同开展国际化课程与本土课程的融合研究，促进国（境）外优质教育资源与本土特色相融合，打造具有番禺特色的国际化教育。</w:t>
      </w:r>
    </w:p>
    <w:p w14:paraId="725270E7"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124" w:name="_Toc393984835"/>
      <w:bookmarkStart w:id="125" w:name="_Toc915945126"/>
      <w:bookmarkStart w:id="126" w:name="_Toc522197828"/>
      <w:bookmarkStart w:id="127" w:name="_Toc14151"/>
      <w:r>
        <w:rPr>
          <w:rFonts w:ascii="黑体" w:eastAsia="黑体" w:hAnsi="黑体" w:cs="黑体" w:hint="eastAsia"/>
          <w:color w:val="000000"/>
          <w:szCs w:val="32"/>
        </w:rPr>
        <w:t>二、重点工程</w:t>
      </w:r>
      <w:bookmarkEnd w:id="124"/>
      <w:bookmarkEnd w:id="125"/>
      <w:bookmarkEnd w:id="126"/>
      <w:bookmarkEnd w:id="127"/>
    </w:p>
    <w:p w14:paraId="5FC23F5C"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28" w:name="_Toc1654024639"/>
      <w:bookmarkStart w:id="129" w:name="_Toc1067728679"/>
      <w:bookmarkStart w:id="130" w:name="_Toc1913337814"/>
      <w:bookmarkStart w:id="131" w:name="_Toc14938"/>
      <w:r>
        <w:rPr>
          <w:rFonts w:ascii="楷体_GB2312" w:eastAsia="楷体_GB2312" w:hAnsi="楷体_GB2312" w:cs="楷体_GB2312" w:hint="eastAsia"/>
          <w:color w:val="000000"/>
          <w:szCs w:val="32"/>
        </w:rPr>
        <w:t>（一）特色工程</w:t>
      </w:r>
      <w:bookmarkEnd w:id="128"/>
      <w:bookmarkEnd w:id="129"/>
      <w:bookmarkEnd w:id="130"/>
      <w:bookmarkEnd w:id="131"/>
    </w:p>
    <w:p w14:paraId="3A05869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坚持“上品教化”区域教育发展理念，推动“文化德育”“岭南校园文化”“研学后教”三驾马车齐驱，促进</w:t>
      </w:r>
      <w:r>
        <w:rPr>
          <w:rFonts w:ascii="仿宋_GB2312" w:hAnsi="仿宋_GB2312" w:cs="仿宋_GB2312" w:hint="eastAsia"/>
          <w:color w:val="000000"/>
          <w:szCs w:val="32"/>
          <w:lang w:val="en"/>
        </w:rPr>
        <w:t>我区</w:t>
      </w:r>
      <w:r>
        <w:rPr>
          <w:rFonts w:ascii="仿宋_GB2312" w:hAnsi="仿宋_GB2312" w:cs="仿宋_GB2312" w:hint="eastAsia"/>
          <w:color w:val="000000"/>
          <w:szCs w:val="32"/>
        </w:rPr>
        <w:t>教育特色发展。</w:t>
      </w:r>
    </w:p>
    <w:p w14:paraId="0108098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1.“文化德育”夯实铸魂育人主阵地</w:t>
      </w:r>
      <w:r>
        <w:rPr>
          <w:rFonts w:ascii="仿宋_GB2312" w:hAnsi="仿宋_GB2312" w:cs="仿宋_GB2312" w:hint="eastAsia"/>
          <w:color w:val="000000"/>
          <w:szCs w:val="32"/>
          <w:lang w:val="en"/>
        </w:rPr>
        <w:t>。</w:t>
      </w:r>
      <w:r>
        <w:rPr>
          <w:rFonts w:ascii="仿宋_GB2312" w:hAnsi="仿宋_GB2312" w:cs="仿宋_GB2312" w:hint="eastAsia"/>
          <w:color w:val="000000"/>
          <w:szCs w:val="32"/>
        </w:rPr>
        <w:t>统筹推进中小幼文化德育一体化建设，推动德育工作内涵式发展，加强文化德育课程内容一体化设计，推进纵向衔接、横向协同、有效管理，以史育人、以文化人、以德树人，培养具有“番禺文化素养”的番禺现代君子。</w:t>
      </w:r>
    </w:p>
    <w:p w14:paraId="2C61160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（1）发挥“思政教育”引领作用。</w:t>
      </w:r>
    </w:p>
    <w:p w14:paraId="239773B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坚定思政教育主方向。以习近平新时代中国特色社会主义思想为引领，以立德树人为根本任务，强化党的领导，充分发挥“番禺区新时代思政政治理论宣讲团”作用，建设区域“书记、校长第一课”区域品牌课程，深入开展理想信念、社会主义核心价值观、中华优秀传统文化、生态文明、心理健康、民主法治等教育。</w:t>
      </w:r>
    </w:p>
    <w:p w14:paraId="043F496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②推进思政教育一体化建设。统筹推进区域中小幼思政课教师队伍培养、思政课程建设、思政教育评价体系建设。发挥</w:t>
      </w:r>
      <w:r>
        <w:rPr>
          <w:rFonts w:ascii="仿宋_GB2312" w:hAnsi="仿宋_GB2312" w:cs="仿宋_GB2312" w:hint="eastAsia"/>
          <w:color w:val="000000"/>
          <w:szCs w:val="32"/>
          <w:lang w:val="en"/>
        </w:rPr>
        <w:t>我</w:t>
      </w:r>
      <w:r>
        <w:rPr>
          <w:rFonts w:ascii="仿宋_GB2312" w:hAnsi="仿宋_GB2312" w:cs="仿宋_GB2312" w:hint="eastAsia"/>
          <w:color w:val="000000"/>
          <w:szCs w:val="32"/>
        </w:rPr>
        <w:t>区新时代思想政治理论宣讲团、思想政治课名师工作室孵化、引领作用，培养一批在国家、省、市有一定影响力的思政名师、名班主任、名校长。</w:t>
      </w:r>
    </w:p>
    <w:p w14:paraId="0AEEBCC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③打造番禺大思政教育品牌。深入推进“广东省‘三全育人’体制机制建设实验区”建设工作，立足</w:t>
      </w:r>
      <w:r>
        <w:rPr>
          <w:rFonts w:ascii="仿宋_GB2312" w:hAnsi="仿宋_GB2312" w:cs="仿宋_GB2312" w:hint="eastAsia"/>
          <w:color w:val="000000"/>
          <w:szCs w:val="32"/>
          <w:lang w:val="en"/>
        </w:rPr>
        <w:t>我区</w:t>
      </w:r>
      <w:r>
        <w:rPr>
          <w:rFonts w:ascii="仿宋_GB2312" w:hAnsi="仿宋_GB2312" w:cs="仿宋_GB2312" w:hint="eastAsia"/>
          <w:color w:val="000000"/>
          <w:szCs w:val="32"/>
        </w:rPr>
        <w:t>文化德育，加大思政课程与课程思政的改革力度，打造“思政+生活”“思政+文化”“思政+互联网”“思政+羊城时政学堂”等大思政立体教育品牌。</w:t>
      </w:r>
    </w:p>
    <w:p w14:paraId="03CE13A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（2）推进“文化德育”品牌升级。</w:t>
      </w:r>
    </w:p>
    <w:p w14:paraId="13D3A8B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①健全三级一体管理机制。完善“区—镇（街）—学校”三级的“一会四室”（德育研究会、名德育干部工作室、名班主任工作室、思政课名教师工作室、家庭教育名师工作室）建设。</w:t>
      </w:r>
    </w:p>
    <w:p w14:paraId="39FC76E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②完善三级一体课程体系。严格落实国家课程，选树一批在国家课程地方课程校本化、校本课程品牌化方面出色的特色项目、</w:t>
      </w:r>
      <w:r>
        <w:rPr>
          <w:rFonts w:ascii="仿宋_GB2312" w:hAnsi="仿宋_GB2312" w:cs="仿宋_GB2312" w:hint="eastAsia"/>
          <w:color w:val="000000"/>
          <w:szCs w:val="32"/>
        </w:rPr>
        <w:lastRenderedPageBreak/>
        <w:t>精品课程和优秀案例，全面提升课程育人实效。</w:t>
      </w:r>
    </w:p>
    <w:p w14:paraId="2569FB6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③加强地方文化资源整合。开展爱国主义教育、革命传统教育等主题文化教育活动。依托</w:t>
      </w:r>
      <w:r>
        <w:rPr>
          <w:rFonts w:ascii="仿宋_GB2312" w:hAnsi="仿宋_GB2312" w:cs="仿宋_GB2312" w:hint="eastAsia"/>
          <w:color w:val="000000"/>
          <w:szCs w:val="32"/>
          <w:lang w:val="en"/>
        </w:rPr>
        <w:t>我区</w:t>
      </w:r>
      <w:r>
        <w:rPr>
          <w:rFonts w:ascii="仿宋_GB2312" w:hAnsi="仿宋_GB2312" w:cs="仿宋_GB2312" w:hint="eastAsia"/>
          <w:color w:val="000000"/>
          <w:szCs w:val="32"/>
        </w:rPr>
        <w:t>文化德育区级课程、文化德育实践基地、区少儿民族团结进步教育实践基地，开展馆校协作、家校协同及学校协力的实践教育。</w:t>
      </w:r>
    </w:p>
    <w:p w14:paraId="6DDF910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建立文化德育研究机制。进一步探索人文德育、风雅德育、生活德育和幸福德育四大文化德育有效途径，开展激发办学活力背景下学校文化德育内生动力建设的研究和增强德育教科研实效性的实践研究，以强化优秀文化引领、健全德育管理机制、提升课程育人质量、优化文化德育评价、加强德育资源保障、推进文化德育教研和深耕文化德育品牌系统为主要研究内容，通过优秀项目推动、实验学校带动、一体建设联动、实践基地促动，推动文化德育品牌升级，打造大湾区文化高地。</w:t>
      </w:r>
    </w:p>
    <w:p w14:paraId="34CB0911" w14:textId="77777777" w:rsidR="004E2B7C" w:rsidRDefault="004E2B7C">
      <w:pPr>
        <w:spacing w:line="560" w:lineRule="exact"/>
        <w:ind w:firstLineChars="200" w:firstLine="632"/>
        <w:rPr>
          <w:rFonts w:ascii="仿宋_GB2312" w:hAnsi="仿宋_GB2312" w:cs="仿宋_GB2312" w:hint="eastAsia"/>
          <w:color w:val="000000"/>
          <w:szCs w:val="32"/>
          <w:lang w:val="en"/>
        </w:rPr>
      </w:pPr>
      <w:r>
        <w:rPr>
          <w:rFonts w:ascii="仿宋_GB2312" w:hAnsi="仿宋_GB2312" w:cs="仿宋_GB2312" w:hint="eastAsia"/>
          <w:color w:val="000000"/>
          <w:szCs w:val="32"/>
        </w:rPr>
        <w:t>2.“岭南校园文化”引领学校特色发展</w:t>
      </w:r>
      <w:r>
        <w:rPr>
          <w:rFonts w:ascii="仿宋_GB2312" w:hAnsi="仿宋_GB2312" w:cs="仿宋_GB2312" w:hint="eastAsia"/>
          <w:color w:val="000000"/>
          <w:szCs w:val="32"/>
          <w:lang w:val="en"/>
        </w:rPr>
        <w:t>。</w:t>
      </w:r>
    </w:p>
    <w:p w14:paraId="6C27971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（1）推动校园文化精品化建设。</w:t>
      </w:r>
    </w:p>
    <w:p w14:paraId="45DBEC8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①打造镇（街）特色教育品牌。创新提升已形成的镇（街）教育品牌，打造1～2个在全国知名、省市有较大影响力的镇（街）教育品牌。</w:t>
      </w:r>
    </w:p>
    <w:p w14:paraId="210DC01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推进“一校一品”“一校多品”的校园文化精品化、品牌化建设，以岭南特色校园文化为依托，推进学校制度文化、环境文化、精神文化、行为文化建设，形成制度体系铸造特色、学校环境绘就特色、校园风貌彰显特色、师生行为践行特色的岭南校园</w:t>
      </w:r>
      <w:r>
        <w:rPr>
          <w:rFonts w:ascii="仿宋_GB2312" w:hAnsi="仿宋_GB2312" w:cs="仿宋_GB2312" w:hint="eastAsia"/>
          <w:color w:val="000000"/>
          <w:szCs w:val="32"/>
        </w:rPr>
        <w:lastRenderedPageBreak/>
        <w:t>文化新气象。到2025年，培育一批在省、市、区颇具影响力的校园文化精品学校。</w:t>
      </w:r>
    </w:p>
    <w:p w14:paraId="278F5CB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（2）深化岭南文化特色校本课程体系建设。</w:t>
      </w:r>
    </w:p>
    <w:p w14:paraId="41E5C0D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深度挖掘更多适合学校教育的岭南文化素材，以专项课题为抓手，将岭南文化校本化课程建设与劳动教育、综合实践等课程建设相融合，开展岭南建筑、工艺制作、瓜果花卉、饮食文化、文学拓展等专项研究，编制富有岭南特色的一日生活小贴士、游学指引，培育一批传承优秀岭南文化的精品课程。</w:t>
      </w:r>
    </w:p>
    <w:p w14:paraId="2622B29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打造“岭南印记”区域学前教育品牌，将具有“岭南印记”的童谣、诗词、灰塑、编织、游戏等文化遗产与学前教育五大领域融合，树立一批岭南特色课程的示范幼儿园，并通过示范园帮带种子园的方式，逐步形成区域园所课程特色。</w:t>
      </w:r>
    </w:p>
    <w:p w14:paraId="1C2A528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③通过挖掘和改造，将岭南民间游戏和玩具进行归类整理，研发一套岭南特色的民间游戏和玩具。</w:t>
      </w:r>
    </w:p>
    <w:p w14:paraId="1EADC33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（3）推动岭南校园文化教育资源的交流共享。</w:t>
      </w:r>
    </w:p>
    <w:p w14:paraId="0B25EBB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①建立岭南特色课程资源库，结合区域课程质量评价和校（园）本课程建设，形成区域性的、面向不同层次学校、幼儿园的岭南特色课程建设指南。</w:t>
      </w:r>
    </w:p>
    <w:p w14:paraId="48D0BF2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②搭建岭南校园文化及文化课程建设的展示平台，强化区域品牌打造力度和行业影响力，通过平台带动对外交流和学习。</w:t>
      </w:r>
    </w:p>
    <w:p w14:paraId="0B42BFD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③定期开展岭南文化特色学校、幼儿园建设评定活动，梳理</w:t>
      </w:r>
      <w:r>
        <w:rPr>
          <w:rFonts w:ascii="仿宋_GB2312" w:hAnsi="仿宋_GB2312" w:cs="仿宋_GB2312" w:hint="eastAsia"/>
          <w:color w:val="000000"/>
          <w:szCs w:val="32"/>
          <w:lang w:val="en"/>
        </w:rPr>
        <w:t>我</w:t>
      </w:r>
      <w:r>
        <w:rPr>
          <w:rFonts w:ascii="仿宋_GB2312" w:hAnsi="仿宋_GB2312" w:cs="仿宋_GB2312" w:hint="eastAsia"/>
          <w:color w:val="000000"/>
          <w:szCs w:val="32"/>
        </w:rPr>
        <w:t>区岭南文化特色学校、幼儿园的典型案例，将相应成果在全区</w:t>
      </w:r>
      <w:r>
        <w:rPr>
          <w:rFonts w:ascii="仿宋_GB2312" w:hAnsi="仿宋_GB2312" w:cs="仿宋_GB2312" w:hint="eastAsia"/>
          <w:color w:val="000000"/>
          <w:szCs w:val="32"/>
        </w:rPr>
        <w:lastRenderedPageBreak/>
        <w:t>范围内推广，推动岭南校园文化建设水平整体提升。</w:t>
      </w:r>
    </w:p>
    <w:p w14:paraId="1AC6988A" w14:textId="77777777" w:rsidR="004E2B7C" w:rsidRDefault="004E2B7C">
      <w:pPr>
        <w:spacing w:line="560" w:lineRule="exact"/>
        <w:ind w:firstLineChars="200" w:firstLine="632"/>
        <w:rPr>
          <w:rFonts w:ascii="仿宋_GB2312" w:hAnsi="仿宋_GB2312" w:cs="仿宋_GB2312" w:hint="eastAsia"/>
          <w:color w:val="000000"/>
          <w:szCs w:val="32"/>
          <w:lang w:val="en"/>
        </w:rPr>
      </w:pPr>
      <w:r>
        <w:rPr>
          <w:rFonts w:ascii="仿宋_GB2312" w:hAnsi="仿宋_GB2312" w:cs="仿宋_GB2312" w:hint="eastAsia"/>
          <w:color w:val="000000"/>
          <w:szCs w:val="32"/>
        </w:rPr>
        <w:t>3.“研学后教”锻造高质量发展主抓手</w:t>
      </w:r>
      <w:r>
        <w:rPr>
          <w:rFonts w:ascii="仿宋_GB2312" w:hAnsi="仿宋_GB2312" w:cs="仿宋_GB2312" w:hint="eastAsia"/>
          <w:color w:val="000000"/>
          <w:szCs w:val="32"/>
          <w:lang w:val="en"/>
        </w:rPr>
        <w:t>。</w:t>
      </w:r>
    </w:p>
    <w:p w14:paraId="4FD69C2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（1）推进“研学后教”巩固升级。</w:t>
      </w:r>
    </w:p>
    <w:p w14:paraId="773182F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①巩固强化研学后教的已有成果，坚持“研学后教”基本理念，着力在“教学环境”“教学设计”“教学技术”和“教学评价”等方面实现升级。</w:t>
      </w:r>
    </w:p>
    <w:p w14:paraId="417964A4"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在“研学后教”中加入“融·乐”元素，打造乐学样态。融合五育，构建以学生全面发展为本的新型教学关系。融通技术，探索“研学后教”与信息技术的深度融合，通过数据手段驱动并优化教研关键环节，推动“研学后教”从经验向数据变革。融汇四评，通过改进结果评价、强化过程评价、探索增值评价、健全综合评价，提高教育评价的科学性、专业性、客观性。在此基础上建构乐研、乐学、乐教、乐动、乐思、乐创的“研学后教”课堂新样态。</w:t>
      </w:r>
    </w:p>
    <w:p w14:paraId="6916C29D"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（2）拓展“研学后教”新内涵。将“研学后教”的内涵由“课堂教学改革”向教学全过程延伸，深度研究课程和教材，推动课程改革进程。</w:t>
      </w:r>
    </w:p>
    <w:p w14:paraId="2934F57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①深入研究国家课程标准，创造性落实国家课程的校本化实施，着力培养学生的创新精神、创造能力、审美意识和社会责任感。</w:t>
      </w:r>
    </w:p>
    <w:p w14:paraId="6FBA072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②促进跨学科、多学科融合的课程建设探索，进行融合课程的开发，打造番禺特色的融合课程样态。</w:t>
      </w:r>
    </w:p>
    <w:p w14:paraId="4EB09DEF"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lastRenderedPageBreak/>
        <w:t>③强化以学为中心的课堂教学模式，强化自主、合作、探究学习和互动式、启发式、探究式、体验式教学，探索基于学科的课程综合化教学，开展研究型、项目式学习，重视差异化教学和个别化指导。</w:t>
      </w:r>
    </w:p>
    <w:p w14:paraId="68A7B9F4"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32" w:name="_Toc1499451280"/>
      <w:bookmarkStart w:id="133" w:name="_Toc1511002054"/>
      <w:bookmarkStart w:id="134" w:name="_Toc2077047562"/>
      <w:bookmarkStart w:id="135" w:name="_Toc13182"/>
      <w:r>
        <w:rPr>
          <w:rFonts w:ascii="楷体_GB2312" w:eastAsia="楷体_GB2312" w:hAnsi="楷体_GB2312" w:cs="楷体_GB2312" w:hint="eastAsia"/>
          <w:color w:val="000000"/>
          <w:szCs w:val="32"/>
        </w:rPr>
        <w:t>（二）专项工程</w:t>
      </w:r>
      <w:bookmarkEnd w:id="132"/>
      <w:bookmarkEnd w:id="133"/>
      <w:bookmarkEnd w:id="134"/>
      <w:bookmarkEnd w:id="135"/>
    </w:p>
    <w:p w14:paraId="0595C79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以“建设高质量教育体系”为中心，强优势，补短板，进一步推进专项教育工程，高标准、高质量办好人民满意的教育。</w:t>
      </w:r>
    </w:p>
    <w:p w14:paraId="5E15DE2A" w14:textId="77777777" w:rsidR="004E2B7C" w:rsidRDefault="004E2B7C">
      <w:pPr>
        <w:spacing w:line="560" w:lineRule="exact"/>
        <w:ind w:firstLineChars="200" w:firstLine="632"/>
        <w:rPr>
          <w:rFonts w:ascii="仿宋_GB2312" w:hAnsi="仿宋_GB2312" w:cs="仿宋_GB2312" w:hint="eastAsia"/>
          <w:color w:val="000000"/>
          <w:szCs w:val="32"/>
          <w:lang w:val="en"/>
        </w:rPr>
      </w:pPr>
      <w:r>
        <w:rPr>
          <w:rFonts w:ascii="仿宋_GB2312" w:hAnsi="仿宋_GB2312" w:cs="仿宋_GB2312" w:hint="eastAsia"/>
          <w:color w:val="000000"/>
          <w:szCs w:val="32"/>
        </w:rPr>
        <w:t>1.优质均衡区综合实施工程</w:t>
      </w:r>
      <w:r>
        <w:rPr>
          <w:rFonts w:ascii="仿宋_GB2312" w:hAnsi="仿宋_GB2312" w:cs="仿宋_GB2312" w:hint="eastAsia"/>
          <w:color w:val="000000"/>
          <w:szCs w:val="32"/>
          <w:lang w:val="en"/>
        </w:rPr>
        <w:t>。</w:t>
      </w:r>
    </w:p>
    <w:p w14:paraId="07F8DEF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lang w:val="en"/>
        </w:rPr>
        <w:t>（1）</w:t>
      </w:r>
      <w:r>
        <w:rPr>
          <w:rFonts w:ascii="仿宋_GB2312" w:hAnsi="仿宋_GB2312" w:cs="仿宋_GB2312" w:hint="eastAsia"/>
          <w:color w:val="000000"/>
          <w:szCs w:val="32"/>
        </w:rPr>
        <w:t>加强学校布点统筹规划。研究制定全区专项工作方案，合理规划达标进度。优先将教育用地纳入年度国有建设用地供应计划，健全教育建设用地审核、审批机制，为办理教育建设用地手续开辟绿色通道。通过推动旧村改造和改建、新建学校等方式，有计划地缩小教育资源配置的校际差距，达到教育优质均衡。到2025年，实现生均教学及辅助用房面积达标学校数占比达到90%，争取实现生均体育运动场馆面积达标学校数占比达到80%以上，美术室、音乐室数量达标学校占比达到90%以上。</w:t>
      </w:r>
    </w:p>
    <w:p w14:paraId="718E0D7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lang w:val="en"/>
        </w:rPr>
        <w:t>（2）</w:t>
      </w:r>
      <w:r>
        <w:rPr>
          <w:rFonts w:ascii="仿宋_GB2312" w:hAnsi="仿宋_GB2312" w:cs="仿宋_GB2312" w:hint="eastAsia"/>
          <w:color w:val="000000"/>
          <w:szCs w:val="32"/>
        </w:rPr>
        <w:t>优化教师队伍结构。探索多元、开放的教师评价机制和退出机制。实施“三名工程”，发挥名校长、名教师、名班主任的示范引领作用，到2025年实现小学、初中每百名学生拥有区县级以上骨干教师均达到1人以上的目标。</w:t>
      </w:r>
    </w:p>
    <w:p w14:paraId="71A8158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（3）加大教师培训经费投入。逐步实现全区所有学校按学校年度公用经费预算总额的10%的比例安排教师培训经费，提高全</w:t>
      </w:r>
      <w:r>
        <w:rPr>
          <w:rFonts w:ascii="仿宋_GB2312" w:hAnsi="仿宋_GB2312" w:cs="仿宋_GB2312" w:hint="eastAsia"/>
          <w:color w:val="000000"/>
          <w:szCs w:val="32"/>
        </w:rPr>
        <w:lastRenderedPageBreak/>
        <w:t>区教师的整体素质。</w:t>
      </w:r>
    </w:p>
    <w:p w14:paraId="584EC0F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（4）强化教育质量监测结果应用工作。成立教育质量监测结果应用专门机构，建立监测结果应用的发布、整改、反馈和督察机制。</w:t>
      </w:r>
    </w:p>
    <w:p w14:paraId="604DDDB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5）科学确定学校办学规模。加快已规划教育配套建设速度，进一步完善学校布点规划，合理调整公办学校招生地段，适时启动向民办学校购买学位工作，逐步降低大规模公办义务教育学校的招生计划，基本消除大规模公办学校、超班额现象。</w:t>
      </w:r>
    </w:p>
    <w:p w14:paraId="263F4D0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（6）逐年增加积分入学学位供给数量。按照“两个为主”的要求，保障随迁子女在当地接受义务教育权利，逐步实现符合条件的随迁子女在公办学校和政府购买服务的民办学校就读的比例不低于85%的要求。</w:t>
      </w:r>
    </w:p>
    <w:p w14:paraId="657A20E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2.教育治理改革工程。</w:t>
      </w:r>
    </w:p>
    <w:p w14:paraId="194D8D0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（1）进一步强化党建引领作用。</w:t>
      </w:r>
    </w:p>
    <w:p w14:paraId="4F27D4C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①加强党的思想建设。坚持和加强党对教育事业的全面领导，贯彻落实两个“强化”，大力强化政治理论学习与学校思政工作。</w:t>
      </w:r>
    </w:p>
    <w:p w14:paraId="4619C51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②加强党的基层组织建设。建立健全教育领域基层党员评星定级量化管理办法，开展基层党组织达标创优活动，充分发挥优秀党员教师的先锋模范作用。</w:t>
      </w:r>
    </w:p>
    <w:p w14:paraId="65AA8FB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③加强党风廉政建设。做实“两个延伸”，抓住“三个关键”，着力“四个聚焦”，精准开展廉政风险排查、防控并实施动态管理，抓实专项整治，维护教育系统风清气正的良好政治生态。</w:t>
      </w:r>
    </w:p>
    <w:p w14:paraId="5B585E8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（2）进一步推进教育治理结构改革。</w:t>
      </w:r>
    </w:p>
    <w:p w14:paraId="6830702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落实学校办学主体地位。支持学校在符合教学标准的基础上自主安排教学计划，保障学校教育教学自主权。完善教师“区管校聘”实施办法，扩大学校在选聘干部、教师招聘中的参与权和选择权。探索经费自主使用的赋权模式，加大学校经费使用自主权。</w:t>
      </w:r>
    </w:p>
    <w:p w14:paraId="254CABE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深化“放管服”改革，提升网上政务服务能力。加快政务服务“一件事”套餐建设，推动服务事项按频度分阶段有序纳入政务晓屋，运用信息化技术方便企业、个人办理政务服务事项，积极推行申请材料电子化并完善电子证照制发及共享工作，按标准落实“数字政府”建设工作。</w:t>
      </w:r>
    </w:p>
    <w:p w14:paraId="096C1EF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推进“减负”行动。创新落实减负增效举措，实施“负面”清单管理，提升教育服务效能。清理精简各类考核评估、社会事务进校园等事项。大力缩减会议数量和会议时间，提高会议质量。精简基层上报材料的项目数量和字数要求。</w:t>
      </w:r>
    </w:p>
    <w:p w14:paraId="13ED370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④扎实做好减轻义务教育阶段学生作业负担和校外培训负担工作，坚决压减学科类校外培训，合理利用校内外资源，强化培训收费监管，确保治理工作稳妥推进。</w:t>
      </w:r>
    </w:p>
    <w:p w14:paraId="0E65226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（3）进一步提升教育督导效能。</w:t>
      </w:r>
    </w:p>
    <w:p w14:paraId="58E64E04"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①优化教育督导工作机制。加强督导工作流程调控，做到督导前抓自评，自行纠错整改；督导中抓考核，明确发展短板；督导后抓回访，保障督导成效。全面实现以“督政”促进“督学”，</w:t>
      </w:r>
      <w:r>
        <w:rPr>
          <w:rFonts w:ascii="仿宋_GB2312" w:hAnsi="仿宋_GB2312" w:cs="仿宋_GB2312" w:hint="eastAsia"/>
          <w:color w:val="000000"/>
          <w:szCs w:val="32"/>
        </w:rPr>
        <w:lastRenderedPageBreak/>
        <w:t>又以“督学”落实“督政”的督导工作格局。</w:t>
      </w:r>
    </w:p>
    <w:p w14:paraId="164BE5E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加强教育督导队伍建设。将督导培训纳入教育管理干部培训计划，提高教育督导队伍整体专业水平，同时从退休年限较短的干部、教师中聘用一批政治素质过硬、专业经历丰富、工作责任心强的专职督导人员，提高督导队伍的稳定性。</w:t>
      </w:r>
    </w:p>
    <w:p w14:paraId="78C0228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探索“互联网+教育督导”模式。依托互联网平台，联合国内高校、民间智库力量，构建一个集成度高、公共服务性强、应用操作便捷、可持续发展的教育督导智慧平台，开展大数据分析评估，进一步推进责任督学挂牌创新区工作。</w:t>
      </w:r>
    </w:p>
    <w:p w14:paraId="7DF8F9F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（4）进一步提升集团办学效益。</w:t>
      </w:r>
    </w:p>
    <w:p w14:paraId="539B6F9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①继续推进仲元中学和番禺中学集团化办学，对集团的办学工作进行整体规划与指引。</w:t>
      </w:r>
    </w:p>
    <w:p w14:paraId="0D1510D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②探索“名校+”“名校长+”等模式，加快组建中小学教育集团，逐步实现全区中小学校学区化、集团化办学覆盖达30%以上的目标。</w:t>
      </w:r>
    </w:p>
    <w:p w14:paraId="7C33837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③创新幼教集团化办学体制，积极推进托幼教育一体化建设。建设以优质园为核心的幼教集团或学区联盟。到2025年，办好10个幼教集团。</w:t>
      </w:r>
    </w:p>
    <w:p w14:paraId="5F4715A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健全集团发展治理体系，优化内部治理结构，搭建资源共享平台、教师交流平台、学生互通平台，建立“特色联建、资源联享、教师联聘、学生联招、活动联合、中小联动”的集团化办学运行机制，提高集团化办学活力。</w:t>
      </w:r>
    </w:p>
    <w:p w14:paraId="451705D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（5）进一步提升校内课后服务质量。</w:t>
      </w:r>
    </w:p>
    <w:p w14:paraId="1F47858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①建立多渠道成本共担机制，鼓励社会力量参与投入、共同发展。完善教师激励机制，细化合理取酬规则。鼓励家长深度参与校内课后服务，建立共生共建共享机制。</w:t>
      </w:r>
    </w:p>
    <w:p w14:paraId="15D9B0D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②着力推动“舒适午休”项目，改造午休场室，投放午休床，逐步实现服务质量从“提供基本看护”向“优化服务环境”提升。</w:t>
      </w:r>
    </w:p>
    <w:p w14:paraId="5B62993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丰富校内课后服务课程。推动中小学阅读素养提升行动、青少年校园足球发展计划等与课后托管有机融合，引导学校设置体艺、科普、社团活动等服务菜单。建立弹性服务时间与课程设置相对应的课后兴趣班，优化个性化课程设置，满足学生与家长个性化、差异化与多样化的需求。</w:t>
      </w:r>
    </w:p>
    <w:p w14:paraId="709D0D7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区域教育资源优化组合工程。结合社会经济发展、城市规划、更新改造等，通过完善中小学、幼儿园规划布局，采取新建、改（扩）建等途径，高起点、高标准规划建设学校项目，满足入学规模增长刚性需求，解决超核定办学规模和超标准班额办学等问题。重点缓解广州南站、万博商务区、北片、莲花湾区、市桥城区等重点区域的学位供给状况。</w:t>
      </w:r>
    </w:p>
    <w:p w14:paraId="541ADF2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高品位、高标准推进新学校、幼儿园建设。引进优质资源，深化名校合作办学、委托管理等方式，提升新建学校的办学品质。优化新建学校建设标准，探索新理念、新技术与学校空间设计的深度融合，建设面向未来的新型学校。“十四五”期间，实现新建幼儿园35所、小学10所、九年一贯制学校8所、中学3所、完</w:t>
      </w:r>
      <w:r>
        <w:rPr>
          <w:rFonts w:ascii="仿宋_GB2312" w:hAnsi="仿宋_GB2312" w:cs="仿宋_GB2312" w:hint="eastAsia"/>
          <w:color w:val="000000"/>
          <w:szCs w:val="32"/>
        </w:rPr>
        <w:lastRenderedPageBreak/>
        <w:t>全中学1所，改扩建小学20所（每年约4所）、中学10所（每年约2所）、中职学校2所，新增学前教育学位20490个、义务教育学位42330个、高中教育学位3300个。</w:t>
      </w:r>
    </w:p>
    <w:p w14:paraId="25EEDEB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科学优化学校布局。在科学规划新建学校的基础上，根据区域社会经济发展及各学段入学需求预测情况对存量学校进行优化整合。在全区范围内布局至少5所高水平高中，重点将市桥城区、北片、莲花湾区域的部分高中学校调整为义务教育阶段学校，满足区域义务教育阶段学位需求。科学设定普职比例，加快新造职业技术学校扩建工程建设，增加职业技术学校学位。</w:t>
      </w:r>
    </w:p>
    <w:p w14:paraId="57E2D14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4.校园安全保障提升工程。</w:t>
      </w:r>
    </w:p>
    <w:p w14:paraId="3383262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（1）夯实安防建设基础。</w:t>
      </w:r>
    </w:p>
    <w:p w14:paraId="495B50B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①健全校（园）安保工作责任制，设立专职安全管理机构，学校（幼儿园）100%按治安重点单位标准配足配齐专职安全工作人员。</w:t>
      </w:r>
    </w:p>
    <w:p w14:paraId="4F34D00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进一步完善学校围墙、防护栏等实体防范建设，学校100%实行封闭式管理，按标准设置学校门口隔离栏、隔离墩或升降柱等硬质防冲撞设施。规范门卫值班室建设和来访接待窗口设置。完善校园周边交通安全设施。</w:t>
      </w:r>
    </w:p>
    <w:p w14:paraId="381C877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推进智能技防建设，提升学校视频覆盖面和完好率，校园视频监控100%与公安机关联网。结合5G试点工程的开展，打造5G校园生态建设典型案例，打造2个智慧学校安防示范点，对学校安防信息系统进行升级改造，全面提升安全教育标准化、信息</w:t>
      </w:r>
      <w:r>
        <w:rPr>
          <w:rFonts w:ascii="仿宋_GB2312" w:hAnsi="仿宋_GB2312" w:cs="仿宋_GB2312" w:hint="eastAsia"/>
          <w:color w:val="000000"/>
          <w:szCs w:val="32"/>
        </w:rPr>
        <w:lastRenderedPageBreak/>
        <w:t>化和常态化水平。</w:t>
      </w:r>
    </w:p>
    <w:p w14:paraId="39849BB2"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增强风险防控能力。健全防控风险预警体系建设，完善校园安全防控体系。将学校安全建设指标纳入办学前置条件。全面开展校园应急避险和安全防范疏散演练达标单位创建活动，到2025年实现校园安全100%达标。探索在学校周边200米范围内建立学生安全保护区，加强安全保护区域内综合治理。健全防控学生欺凌和暴力行为的长效机制，加强对学生危险行为的及时监测、风险评估和有效解决。</w:t>
      </w:r>
    </w:p>
    <w:p w14:paraId="2F55C47F"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（3）健全安全教育机制。科学系统开展学校安全宣传教育和学生心理健康教育，强化安全教育师资培养，将安全教育知识列入教职工继续教育和校本培训计划，建立区级专家库和宣讲队伍。</w:t>
      </w:r>
    </w:p>
    <w:p w14:paraId="086004E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完善考核评价体系。深入开展安全文明校园创建工作，对学校安全实施画像管理。将安全风险防控落实情况纳入教育督导评估体系，作为考核学校依法办学、学校领导班子工作以及教职工绩效考核的重要内容。</w:t>
      </w:r>
    </w:p>
    <w:p w14:paraId="66A886FA"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5.教师队伍优化提升工程。</w:t>
      </w:r>
    </w:p>
    <w:p w14:paraId="6A4F111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（1）强化教师师德师风建设。</w:t>
      </w:r>
    </w:p>
    <w:p w14:paraId="764F8B4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①强化思想引领。将师德教育作为教师培训的首要任务和重点内容，以活动为主线，多渠道、多层次开展形式多样的师德教育，全面提升校长、教师思想政治素质和职业道德水平。</w:t>
      </w:r>
    </w:p>
    <w:p w14:paraId="649E05A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②强化榜样示范作用。聚焦党员示范岗、思想政治榜样，树立好校长、好教师典型，加强典型宣传工作，以先进典型引领教</w:t>
      </w:r>
      <w:r>
        <w:rPr>
          <w:rFonts w:ascii="仿宋_GB2312" w:hAnsi="仿宋_GB2312" w:cs="仿宋_GB2312" w:hint="eastAsia"/>
          <w:color w:val="000000"/>
          <w:szCs w:val="32"/>
        </w:rPr>
        <w:lastRenderedPageBreak/>
        <w:t>师队伍师德师风建设。</w:t>
      </w:r>
    </w:p>
    <w:p w14:paraId="1D4C4ED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③强化考核监督机制。完善多方参与的师德师风监督机制，设立师德负面清单，严格师德考核，实行师德考核“一票否决制”。</w:t>
      </w:r>
    </w:p>
    <w:p w14:paraId="137A0A5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（2）推动教研培一体化建设。</w:t>
      </w:r>
    </w:p>
    <w:p w14:paraId="4BEA885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①深入推进教师发展中心的建设，实现培训、教研、科研、电教等职能和资源的有效整合，将其打造成为“理念先进、资源丰富、特色卓越、服务创新”的有一定影响力的区域教师发展中心。</w:t>
      </w:r>
    </w:p>
    <w:p w14:paraId="7F7D2CF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②构建高品质区级专项培训课程体系。实施青年教师培养工程、新教师入职培训项目等，全面提升教师专业素质和教育教学能力。</w:t>
      </w:r>
    </w:p>
    <w:p w14:paraId="00323AB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③开发微课程、微案例、微故事等具备实操性、实用性和实效性的精品教师培训课程，形成“做中学，学中做”的体验式教师培养模式。</w:t>
      </w:r>
    </w:p>
    <w:p w14:paraId="220399F5"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④完善区、片、校三级教研工作体系，健全教研员准入、退出、考核激励与培养机制。到2025年，实现按照国家课程方案配齐配强区级学科专职教研员，教研员比例达到广东省配备标准（5‰）。</w:t>
      </w:r>
    </w:p>
    <w:p w14:paraId="7F36222B"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（3）实施教师培养资源库建设。</w:t>
      </w:r>
    </w:p>
    <w:p w14:paraId="5AC9D5DD"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①加强全区教师培养资源库建设的顶层设计。借助互联网平台，以教师梯级培养、学科培养、主题培养、特色培养为基础，遵循“统一平台、统一标准、合作建设、集中服务、全面共享”</w:t>
      </w:r>
      <w:r>
        <w:rPr>
          <w:rFonts w:ascii="仿宋_GB2312" w:hAnsi="仿宋_GB2312" w:cs="仿宋_GB2312" w:hint="eastAsia"/>
          <w:color w:val="000000"/>
          <w:szCs w:val="32"/>
        </w:rPr>
        <w:lastRenderedPageBreak/>
        <w:t>的原则，建立我区教师培养资源库体系。</w:t>
      </w:r>
    </w:p>
    <w:p w14:paraId="0C1E5E1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②建立“双名”专家资源库，成立区教师培训导师团队，开展我区“名师大讲堂”系列工作。</w:t>
      </w:r>
    </w:p>
    <w:p w14:paraId="040BA9C4"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③加大“美师美课”资源的开发与应用。充分利用广州大学城专家团队与科研资源优势，聚集国内外优质课程，建立我区教师教育课程库。</w:t>
      </w:r>
    </w:p>
    <w:p w14:paraId="4E7C73C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④依托“一师一优课”等国家级课程资源库，建立我区教师教育精品课程库。</w:t>
      </w:r>
    </w:p>
    <w:p w14:paraId="1772A69C"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（4）健全教师管理体制机制。</w:t>
      </w:r>
    </w:p>
    <w:p w14:paraId="246E782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①统筹调配编制资源，盘活事业编制存量，按照要求逐步配齐配足教师编制，加大对薄弱区域（学校）编制配备的倾斜力度，实现编制动态调整。</w:t>
      </w:r>
    </w:p>
    <w:p w14:paraId="3D05377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继续推进“区管校聘”改革，规范教师队伍编制配备，合理配置学科教师，解决教师结构性缺编问题。优化校长教师交流轮岗与帮扶机制，推动骨干教师、学科带头人等优质资源合理流动，提高教师队伍专业素养。</w:t>
      </w:r>
    </w:p>
    <w:p w14:paraId="0C2D469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实施教师学历提升计划，将教师学历提升工作列为学校年度考核重要内容，加大力度提升中小学教师高一层次学历占比。到2025年，小学、初中、高中阶段专任教师高一级学历比例分别达到93%、98%、25%，幼儿园教师大专以上学历比例达到98%。</w:t>
      </w:r>
    </w:p>
    <w:p w14:paraId="3FF8F1F5"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④加大临聘教师管理力度，实行“1+1”管理模式，组织骨干教师对临聘教师进行结对指导。加强临聘教师岗前培训，探索开</w:t>
      </w:r>
      <w:r>
        <w:rPr>
          <w:rFonts w:ascii="仿宋_GB2312" w:hAnsi="仿宋_GB2312" w:cs="仿宋_GB2312" w:hint="eastAsia"/>
          <w:color w:val="000000"/>
          <w:szCs w:val="32"/>
        </w:rPr>
        <w:lastRenderedPageBreak/>
        <w:t>发以“微课”“直播课”等形式开展临聘教师线上课程教育。</w:t>
      </w:r>
    </w:p>
    <w:p w14:paraId="4C671035"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（5）加强紧缺型人才队伍建设。</w:t>
      </w:r>
    </w:p>
    <w:p w14:paraId="28E590A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①推动青年干部“8050”培养计划。分级分类建立青年干部培训班，严格遴选培训专家，实现高质量、差异化精准培养。到2025年，培养50名80后青年校长，加强干部储备，培养青年干部100名。</w:t>
      </w:r>
    </w:p>
    <w:p w14:paraId="09EC2B5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②开展“双名”教师培养项目。加大财政经费投入，组织全区名师、名校长工作室大力开展省、市、区级培训项目，同时搭建名师、名校长专业成长平台，推动一批校长和教师成长为教育名家。</w:t>
      </w:r>
    </w:p>
    <w:p w14:paraId="44488BEA"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③加强骨干教师队伍建设。继续实施“引培行动计划”，拓宽优秀教育人才引进渠道，积极推进基础教育、职业教育高层次人才引进工作，每年引进一定数量的高层次人才，打造学科领军人物。建立健全骨干教师培养激励机制，推进区级骨干教师认定和培养工作，实现区级以上骨干教师占全区教师总人数达到10%。教师队伍建设有关量化指标具体详见表4。</w:t>
      </w:r>
    </w:p>
    <w:p w14:paraId="2E2C76E3" w14:textId="77777777" w:rsidR="004E2B7C" w:rsidRDefault="004E2B7C">
      <w:pPr>
        <w:spacing w:line="560" w:lineRule="exact"/>
        <w:jc w:val="center"/>
        <w:rPr>
          <w:rFonts w:ascii="仿宋_GB2312" w:hint="eastAsia"/>
          <w:color w:val="000000"/>
          <w:sz w:val="28"/>
          <w:szCs w:val="28"/>
        </w:rPr>
      </w:pPr>
      <w:r>
        <w:rPr>
          <w:rFonts w:ascii="仿宋_GB2312" w:hint="eastAsia"/>
          <w:color w:val="000000"/>
          <w:sz w:val="28"/>
          <w:szCs w:val="28"/>
        </w:rPr>
        <w:t>表4 番禺区教师队伍建设有关量化指标</w:t>
      </w: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2"/>
        <w:gridCol w:w="3167"/>
        <w:gridCol w:w="2111"/>
        <w:gridCol w:w="2200"/>
      </w:tblGrid>
      <w:tr w:rsidR="004E2B7C" w:rsidRPr="004E2B7C" w14:paraId="687B3282" w14:textId="77777777" w:rsidTr="004E2B7C">
        <w:trPr>
          <w:trHeight w:val="553"/>
          <w:jc w:val="center"/>
        </w:trPr>
        <w:tc>
          <w:tcPr>
            <w:tcW w:w="765" w:type="pct"/>
            <w:shd w:val="clear" w:color="auto" w:fill="auto"/>
            <w:vAlign w:val="center"/>
          </w:tcPr>
          <w:p w14:paraId="7AD9A4FF" w14:textId="77777777" w:rsidR="004E2B7C" w:rsidRPr="004E2B7C" w:rsidRDefault="004E2B7C" w:rsidP="004E2B7C">
            <w:pPr>
              <w:spacing w:line="520" w:lineRule="exact"/>
              <w:ind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学段</w:t>
            </w:r>
          </w:p>
        </w:tc>
        <w:tc>
          <w:tcPr>
            <w:tcW w:w="1792" w:type="pct"/>
            <w:shd w:val="clear" w:color="auto" w:fill="auto"/>
            <w:vAlign w:val="center"/>
          </w:tcPr>
          <w:p w14:paraId="0A9BD63B" w14:textId="77777777" w:rsidR="004E2B7C" w:rsidRPr="004E2B7C" w:rsidRDefault="004E2B7C" w:rsidP="004E2B7C">
            <w:pPr>
              <w:spacing w:line="520" w:lineRule="exact"/>
              <w:ind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学历层次</w:t>
            </w:r>
          </w:p>
        </w:tc>
        <w:tc>
          <w:tcPr>
            <w:tcW w:w="1195" w:type="pct"/>
            <w:shd w:val="clear" w:color="auto" w:fill="auto"/>
            <w:vAlign w:val="center"/>
          </w:tcPr>
          <w:p w14:paraId="17765833" w14:textId="77777777" w:rsidR="004E2B7C" w:rsidRPr="004E2B7C" w:rsidRDefault="004E2B7C" w:rsidP="004E2B7C">
            <w:pPr>
              <w:snapToGrid w:val="0"/>
              <w:spacing w:line="520" w:lineRule="exact"/>
              <w:ind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2022年目标</w:t>
            </w:r>
          </w:p>
        </w:tc>
        <w:tc>
          <w:tcPr>
            <w:tcW w:w="1246" w:type="pct"/>
            <w:shd w:val="clear" w:color="auto" w:fill="auto"/>
            <w:vAlign w:val="center"/>
          </w:tcPr>
          <w:p w14:paraId="322249EF" w14:textId="77777777" w:rsidR="004E2B7C" w:rsidRPr="004E2B7C" w:rsidRDefault="004E2B7C" w:rsidP="004E2B7C">
            <w:pPr>
              <w:snapToGrid w:val="0"/>
              <w:spacing w:line="520" w:lineRule="exact"/>
              <w:ind w:left="108"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2025年目标</w:t>
            </w:r>
          </w:p>
        </w:tc>
      </w:tr>
      <w:tr w:rsidR="004E2B7C" w:rsidRPr="004E2B7C" w14:paraId="5D21DBD5" w14:textId="77777777" w:rsidTr="004E2B7C">
        <w:trPr>
          <w:jc w:val="center"/>
        </w:trPr>
        <w:tc>
          <w:tcPr>
            <w:tcW w:w="765" w:type="pct"/>
            <w:shd w:val="clear" w:color="auto" w:fill="auto"/>
            <w:vAlign w:val="center"/>
          </w:tcPr>
          <w:p w14:paraId="594D9984"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幼儿园</w:t>
            </w:r>
          </w:p>
        </w:tc>
        <w:tc>
          <w:tcPr>
            <w:tcW w:w="1792" w:type="pct"/>
            <w:shd w:val="clear" w:color="auto" w:fill="auto"/>
            <w:vAlign w:val="center"/>
          </w:tcPr>
          <w:p w14:paraId="11073333"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大专学历以上(%)</w:t>
            </w:r>
          </w:p>
        </w:tc>
        <w:tc>
          <w:tcPr>
            <w:tcW w:w="1195" w:type="pct"/>
            <w:shd w:val="clear" w:color="auto" w:fill="auto"/>
            <w:vAlign w:val="center"/>
          </w:tcPr>
          <w:p w14:paraId="5C43E1A0"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95</w:t>
            </w:r>
          </w:p>
        </w:tc>
        <w:tc>
          <w:tcPr>
            <w:tcW w:w="1246" w:type="pct"/>
            <w:shd w:val="clear" w:color="auto" w:fill="auto"/>
            <w:vAlign w:val="center"/>
          </w:tcPr>
          <w:p w14:paraId="33339683"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98</w:t>
            </w:r>
          </w:p>
        </w:tc>
      </w:tr>
      <w:tr w:rsidR="004E2B7C" w:rsidRPr="004E2B7C" w14:paraId="26843F94" w14:textId="77777777" w:rsidTr="004E2B7C">
        <w:trPr>
          <w:jc w:val="center"/>
        </w:trPr>
        <w:tc>
          <w:tcPr>
            <w:tcW w:w="765" w:type="pct"/>
            <w:shd w:val="clear" w:color="auto" w:fill="auto"/>
            <w:vAlign w:val="center"/>
          </w:tcPr>
          <w:p w14:paraId="76FB55B7"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小学</w:t>
            </w:r>
          </w:p>
        </w:tc>
        <w:tc>
          <w:tcPr>
            <w:tcW w:w="1792" w:type="pct"/>
            <w:shd w:val="clear" w:color="auto" w:fill="auto"/>
            <w:vAlign w:val="center"/>
          </w:tcPr>
          <w:p w14:paraId="2314376E"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本科学历以上(%)</w:t>
            </w:r>
          </w:p>
        </w:tc>
        <w:tc>
          <w:tcPr>
            <w:tcW w:w="1195" w:type="pct"/>
            <w:shd w:val="clear" w:color="auto" w:fill="auto"/>
            <w:vAlign w:val="center"/>
          </w:tcPr>
          <w:p w14:paraId="599F4ACE"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90</w:t>
            </w:r>
          </w:p>
        </w:tc>
        <w:tc>
          <w:tcPr>
            <w:tcW w:w="1246" w:type="pct"/>
            <w:shd w:val="clear" w:color="auto" w:fill="auto"/>
            <w:vAlign w:val="center"/>
          </w:tcPr>
          <w:p w14:paraId="4F05A47D"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≥93</w:t>
            </w:r>
          </w:p>
        </w:tc>
      </w:tr>
      <w:tr w:rsidR="004E2B7C" w:rsidRPr="004E2B7C" w14:paraId="248B0760" w14:textId="77777777" w:rsidTr="004E2B7C">
        <w:trPr>
          <w:jc w:val="center"/>
        </w:trPr>
        <w:tc>
          <w:tcPr>
            <w:tcW w:w="765" w:type="pct"/>
            <w:shd w:val="clear" w:color="auto" w:fill="auto"/>
            <w:vAlign w:val="center"/>
          </w:tcPr>
          <w:p w14:paraId="3A87E762"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初中</w:t>
            </w:r>
          </w:p>
        </w:tc>
        <w:tc>
          <w:tcPr>
            <w:tcW w:w="1792" w:type="pct"/>
            <w:shd w:val="clear" w:color="auto" w:fill="auto"/>
            <w:vAlign w:val="center"/>
          </w:tcPr>
          <w:p w14:paraId="0AC4738C"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本科学历以上(%)</w:t>
            </w:r>
          </w:p>
        </w:tc>
        <w:tc>
          <w:tcPr>
            <w:tcW w:w="1195" w:type="pct"/>
            <w:shd w:val="clear" w:color="auto" w:fill="auto"/>
            <w:vAlign w:val="center"/>
          </w:tcPr>
          <w:p w14:paraId="2D916647"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98</w:t>
            </w:r>
          </w:p>
        </w:tc>
        <w:tc>
          <w:tcPr>
            <w:tcW w:w="1246" w:type="pct"/>
            <w:shd w:val="clear" w:color="auto" w:fill="auto"/>
            <w:vAlign w:val="center"/>
          </w:tcPr>
          <w:p w14:paraId="3E0D6FE9"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≥98</w:t>
            </w:r>
          </w:p>
        </w:tc>
      </w:tr>
      <w:tr w:rsidR="004E2B7C" w:rsidRPr="004E2B7C" w14:paraId="7BC591EA" w14:textId="77777777" w:rsidTr="004E2B7C">
        <w:trPr>
          <w:jc w:val="center"/>
        </w:trPr>
        <w:tc>
          <w:tcPr>
            <w:tcW w:w="765" w:type="pct"/>
            <w:shd w:val="clear" w:color="auto" w:fill="auto"/>
            <w:vAlign w:val="center"/>
          </w:tcPr>
          <w:p w14:paraId="04A6BD87"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高中</w:t>
            </w:r>
          </w:p>
        </w:tc>
        <w:tc>
          <w:tcPr>
            <w:tcW w:w="1792" w:type="pct"/>
            <w:shd w:val="clear" w:color="auto" w:fill="auto"/>
            <w:vAlign w:val="center"/>
          </w:tcPr>
          <w:p w14:paraId="0BC19ABE"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硕士学历以上(%)</w:t>
            </w:r>
          </w:p>
        </w:tc>
        <w:tc>
          <w:tcPr>
            <w:tcW w:w="1195" w:type="pct"/>
            <w:shd w:val="clear" w:color="auto" w:fill="auto"/>
            <w:vAlign w:val="center"/>
          </w:tcPr>
          <w:p w14:paraId="1D5A356E"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23</w:t>
            </w:r>
          </w:p>
        </w:tc>
        <w:tc>
          <w:tcPr>
            <w:tcW w:w="1246" w:type="pct"/>
            <w:shd w:val="clear" w:color="auto" w:fill="auto"/>
            <w:vAlign w:val="center"/>
          </w:tcPr>
          <w:p w14:paraId="28C07E9A"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≥25</w:t>
            </w:r>
          </w:p>
        </w:tc>
      </w:tr>
      <w:tr w:rsidR="004E2B7C" w:rsidRPr="004E2B7C" w14:paraId="164285CB" w14:textId="77777777" w:rsidTr="004E2B7C">
        <w:trPr>
          <w:jc w:val="center"/>
        </w:trPr>
        <w:tc>
          <w:tcPr>
            <w:tcW w:w="2558" w:type="pct"/>
            <w:gridSpan w:val="2"/>
            <w:shd w:val="clear" w:color="auto" w:fill="auto"/>
            <w:vAlign w:val="center"/>
          </w:tcPr>
          <w:p w14:paraId="657BB225"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80后青年校长(名)</w:t>
            </w:r>
          </w:p>
        </w:tc>
        <w:tc>
          <w:tcPr>
            <w:tcW w:w="1195" w:type="pct"/>
            <w:shd w:val="clear" w:color="auto" w:fill="auto"/>
            <w:vAlign w:val="center"/>
          </w:tcPr>
          <w:p w14:paraId="556E2442"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20</w:t>
            </w:r>
          </w:p>
        </w:tc>
        <w:tc>
          <w:tcPr>
            <w:tcW w:w="1246" w:type="pct"/>
            <w:shd w:val="clear" w:color="auto" w:fill="auto"/>
            <w:vAlign w:val="center"/>
          </w:tcPr>
          <w:p w14:paraId="7D71EA9D"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50</w:t>
            </w:r>
          </w:p>
        </w:tc>
      </w:tr>
      <w:tr w:rsidR="004E2B7C" w:rsidRPr="004E2B7C" w14:paraId="626381BA" w14:textId="77777777" w:rsidTr="004E2B7C">
        <w:trPr>
          <w:jc w:val="center"/>
        </w:trPr>
        <w:tc>
          <w:tcPr>
            <w:tcW w:w="2558" w:type="pct"/>
            <w:gridSpan w:val="2"/>
            <w:shd w:val="clear" w:color="auto" w:fill="auto"/>
            <w:vAlign w:val="center"/>
          </w:tcPr>
          <w:p w14:paraId="111380DC" w14:textId="77777777" w:rsidR="004E2B7C" w:rsidRPr="004E2B7C" w:rsidRDefault="004E2B7C" w:rsidP="004E2B7C">
            <w:pPr>
              <w:snapToGrid w:val="0"/>
              <w:spacing w:line="520" w:lineRule="exact"/>
              <w:ind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lastRenderedPageBreak/>
              <w:t>骨干教师认定占全区教师总人数的比例(%)</w:t>
            </w:r>
          </w:p>
        </w:tc>
        <w:tc>
          <w:tcPr>
            <w:tcW w:w="1195" w:type="pct"/>
            <w:shd w:val="clear" w:color="auto" w:fill="auto"/>
            <w:vAlign w:val="center"/>
          </w:tcPr>
          <w:p w14:paraId="34432FAB"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10</w:t>
            </w:r>
          </w:p>
        </w:tc>
        <w:tc>
          <w:tcPr>
            <w:tcW w:w="1246" w:type="pct"/>
            <w:shd w:val="clear" w:color="auto" w:fill="auto"/>
            <w:vAlign w:val="center"/>
          </w:tcPr>
          <w:p w14:paraId="1088925C"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10</w:t>
            </w:r>
          </w:p>
        </w:tc>
      </w:tr>
      <w:tr w:rsidR="004E2B7C" w:rsidRPr="004E2B7C" w14:paraId="1782F01B" w14:textId="77777777" w:rsidTr="004E2B7C">
        <w:trPr>
          <w:jc w:val="center"/>
        </w:trPr>
        <w:tc>
          <w:tcPr>
            <w:tcW w:w="2558" w:type="pct"/>
            <w:gridSpan w:val="2"/>
            <w:shd w:val="clear" w:color="auto" w:fill="auto"/>
            <w:vAlign w:val="center"/>
          </w:tcPr>
          <w:p w14:paraId="1E74A027" w14:textId="77777777" w:rsidR="004E2B7C" w:rsidRPr="004E2B7C" w:rsidRDefault="004E2B7C" w:rsidP="004E2B7C">
            <w:pPr>
              <w:snapToGrid w:val="0"/>
              <w:spacing w:line="520" w:lineRule="exact"/>
              <w:ind w:right="108"/>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教研员人数</w:t>
            </w:r>
          </w:p>
        </w:tc>
        <w:tc>
          <w:tcPr>
            <w:tcW w:w="2441" w:type="pct"/>
            <w:gridSpan w:val="2"/>
            <w:shd w:val="clear" w:color="auto" w:fill="auto"/>
            <w:vAlign w:val="center"/>
          </w:tcPr>
          <w:p w14:paraId="7B30BB00" w14:textId="77777777" w:rsidR="004E2B7C" w:rsidRPr="004E2B7C" w:rsidRDefault="004E2B7C" w:rsidP="004E2B7C">
            <w:pPr>
              <w:spacing w:line="520" w:lineRule="exact"/>
              <w:ind w:right="105"/>
              <w:jc w:val="center"/>
              <w:rPr>
                <w:rFonts w:ascii="仿宋_GB2312" w:hAnsi="仿宋_GB2312" w:cs="仿宋_GB2312" w:hint="eastAsia"/>
                <w:bCs/>
                <w:snapToGrid w:val="0"/>
                <w:sz w:val="28"/>
                <w:szCs w:val="28"/>
              </w:rPr>
            </w:pPr>
            <w:r w:rsidRPr="004E2B7C">
              <w:rPr>
                <w:rFonts w:ascii="仿宋_GB2312" w:hAnsi="仿宋_GB2312" w:cs="仿宋_GB2312" w:hint="eastAsia"/>
                <w:bCs/>
                <w:snapToGrid w:val="0"/>
                <w:sz w:val="28"/>
                <w:szCs w:val="28"/>
              </w:rPr>
              <w:t>达到广东省配备标准（5‰）</w:t>
            </w:r>
          </w:p>
        </w:tc>
      </w:tr>
    </w:tbl>
    <w:p w14:paraId="1541EE1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（6）完善教师待遇保障机制。</w:t>
      </w:r>
    </w:p>
    <w:p w14:paraId="1D579743"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落实公办中小学教师工资收入水平“两个不低于或高于”要求，保障公办幼儿园教师工资待遇。完善教师收入分配激励机制，绩效工资分配向重点岗位合理倾斜，重点奖励贡献突出的教学一线的教师。推进落实临聘教师与公办教师同工同酬。提高公办幼儿园编外教师和民办幼儿园教师的待遇。保障基础教育民办学校教师合法权益，鼓励民办学校建立年金制度，完善民办教师从教津贴制度。鼓励社会出资奖励教师，营造尊师重教的社会氛围。</w:t>
      </w:r>
    </w:p>
    <w:p w14:paraId="4452B3F1"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6.健康与幸福校园建设工程。</w:t>
      </w:r>
    </w:p>
    <w:p w14:paraId="33CDECC8"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（1）夯实健康之基。</w:t>
      </w:r>
    </w:p>
    <w:p w14:paraId="7E01926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建立联防联控机制，打通家校社教育边界。厘清职能部门、家长、学校、医疗机构等社会各方工作职责，利用社区卫生服务中心、慢病站、红十字会等资源，充分调动家庭积极性，形成学生健康联防联控工作网络。</w:t>
      </w:r>
    </w:p>
    <w:p w14:paraId="1D59E91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②加强校医队伍建设。通过公开招聘、购买服务、医疗机构派驻等方式配足配齐校医，以专题培训促进队伍技能提升。</w:t>
      </w:r>
    </w:p>
    <w:p w14:paraId="1D4FB40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③丰富健康教育内容。以健康小卫士志愿队为抓手，以主题活动为契机，多途径开展健康教育，保证学科教学每学期6～7课时，每年通过健康教育测评检测教育效果。</w:t>
      </w:r>
    </w:p>
    <w:p w14:paraId="15BB465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④创建市、区两级健康学校，建立长效工作模式。以“健康学校”为载体，提升学校健康教育、卫生服务、食品安全、生活技能培养等各项学校卫生安全工作，到2023年全区65%的学校及幼儿园达到区级健康学校标准，每年至少创建5所市级健康学校。到2025年，实现全区儿童、少年新发近视率明显下降，6岁儿童近视率控制在6％左右，小学生近视率下降到40％以下，初中生近视率下降到68％以下，高中阶段学生近视率下降到76％以下。</w:t>
      </w:r>
    </w:p>
    <w:p w14:paraId="4C87505A"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⑤构建三级督导评级机制，激发内生动力。通过学校自查自纠、镇（街）全面检查、区级联合督查等方式，确保学校卫生及食品安全工作到位。</w:t>
      </w:r>
    </w:p>
    <w:p w14:paraId="7E225C1E"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（2）打造美育之城。</w:t>
      </w:r>
    </w:p>
    <w:p w14:paraId="0734D96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探索艺术人才培养新模式。通过整合校内外美育资源，构建美术馆、艺术馆、剧院等校外机构、艺术院校与学校艺术教育协同发展机制，探索产学研用一体化的艺术人才培养模式。完善学生艺术素质测评制度，确保义务教育阶段每位学生掌握1～2项艺术特长。</w:t>
      </w:r>
    </w:p>
    <w:p w14:paraId="1185B4B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开发地方特色艺术课程。严格执行国家课程，开足开齐音乐、美术、书法等艺术课程，推进美育与学科教学、社会实践和校园文化建设的深度融合，积极探索开发校本艺术特色课程，构建中小幼相衔接的美育课程体系。到2025年，创建5所以上中华优秀传统文化艺术特色学校。</w:t>
      </w:r>
    </w:p>
    <w:p w14:paraId="517297F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③建设高水平学生艺术团队。鼓励学校丰富各类艺术社团，</w:t>
      </w:r>
      <w:r>
        <w:rPr>
          <w:rFonts w:ascii="仿宋_GB2312" w:hAnsi="仿宋_GB2312" w:cs="仿宋_GB2312" w:hint="eastAsia"/>
          <w:color w:val="000000"/>
          <w:szCs w:val="32"/>
        </w:rPr>
        <w:lastRenderedPageBreak/>
        <w:t>建立高质量、高水平学生艺术团队，注重艺术普及教育，面向全体学生，搭建区域艺术比赛交流平台，以赛事促进艺术教育发展，形成艺术人才梯队。</w:t>
      </w:r>
    </w:p>
    <w:p w14:paraId="343C9D26"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④完善学生艺术素质测评指标体系，加强美育教学质量评价。</w:t>
      </w:r>
    </w:p>
    <w:p w14:paraId="14657A0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（3）构建大体育格局。</w:t>
      </w:r>
    </w:p>
    <w:p w14:paraId="1407DD8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①配足配齐体育教师和体育教研员，开足开齐体育课，着力保障学生每天校内、校外各1小时体育活动时间。</w:t>
      </w:r>
    </w:p>
    <w:p w14:paraId="0CCA3C3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全面落实“体育艺术2+1项目”，打造区域特色品牌学校。通过深挖校本课程资源，深入开展“特色体育大课间活动”，形成“人人有项目，班班有活动，校校有特色”的体育氛围，推动我区学校体育科学发展。到2025年，实现全区85%的中小学校形成自身的品牌特色项目的目标。</w:t>
      </w:r>
    </w:p>
    <w:p w14:paraId="4575D2D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③大力发展校园足球运动。实施“三个一”活动：公办中小学校每班每周1节足球课、每周1次全校性足球活动大课间、每学年1次校级足球联赛。</w:t>
      </w:r>
    </w:p>
    <w:p w14:paraId="5426646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④构建“健康知识+基本运动技能+专项体育运动技能”的学校体育教学模式。深入开展“体育大课堂”活动，探索特色走班制度。</w:t>
      </w:r>
    </w:p>
    <w:p w14:paraId="5FE6F5F8"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⑤加强体教融合，建立学校体育大联盟。实现区域体育整体规划，突出特色，资源共享，建立一支专业化的体育团队。完善小学、初中、高中体育人才衔接培养机制，构建高水平运动员队伍。到2025年，实现我区中小学生对照《国家学生体质健康标准》</w:t>
      </w:r>
      <w:r>
        <w:rPr>
          <w:rFonts w:ascii="仿宋_GB2312" w:hAnsi="仿宋_GB2312" w:cs="仿宋_GB2312" w:hint="eastAsia"/>
          <w:color w:val="000000"/>
          <w:szCs w:val="32"/>
        </w:rPr>
        <w:lastRenderedPageBreak/>
        <w:t>测试优良率达55%以上。</w:t>
      </w:r>
    </w:p>
    <w:p w14:paraId="3A772587"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（4）营造劳动教育生态圈。把劳动教育纳入人才培养全过程，融合校内外力量，创新劳动教育模式，探索“田园+家园+社园+校园”四园联动的劳动教育生态圈。</w:t>
      </w:r>
    </w:p>
    <w:p w14:paraId="07E77E3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建设劳动教育特色学校。对劳动教育进行整体规划，研发劳动教育课程，探索劳动教育新模式，建立特色鲜明、课程完善、资源丰富、模式多样的劳动教育体系。到2025年，全区创建50所区级劳动实践教育特色学校。</w:t>
      </w:r>
    </w:p>
    <w:p w14:paraId="56E2CDF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打造区级劳动实践教育基地。规划一批土地、山林、草场等作为学农实践基地，联合一批企事业单位、职业院校、普通高等学校实训场所作为学工实践基地，利用博物馆、图书馆等社会机构作为服务性劳动基地，丰富和拓展劳动实践场所。到2025年，建设10个以上校外劳动教育实践基地。</w:t>
      </w:r>
    </w:p>
    <w:p w14:paraId="5604547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③促进家校合作劳动教育模式。学校每年组织1～2次劳动教育亲子活动，通过劳动主题讲座、劳动知识竞赛、亲子合作劳动等方式，加强家校共育，鼓励学生参加家务劳动，每年学会1～2项生活技能。</w:t>
      </w:r>
    </w:p>
    <w:p w14:paraId="7F297454" w14:textId="77777777" w:rsidR="004E2B7C" w:rsidRDefault="004E2B7C">
      <w:pPr>
        <w:spacing w:line="560" w:lineRule="exact"/>
        <w:ind w:firstLineChars="200" w:firstLine="632"/>
        <w:rPr>
          <w:rFonts w:ascii="仿宋_GB2312" w:hint="eastAsia"/>
          <w:color w:val="000000"/>
          <w:szCs w:val="32"/>
        </w:rPr>
      </w:pPr>
      <w:r>
        <w:rPr>
          <w:rFonts w:ascii="仿宋_GB2312" w:hint="eastAsia"/>
          <w:color w:val="000000"/>
          <w:szCs w:val="32"/>
        </w:rPr>
        <w:t>（5）打造心理健康教育品牌。</w:t>
      </w:r>
    </w:p>
    <w:p w14:paraId="7460BA9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加强心理健康师资队伍建设。按上级要求配足、配齐心理专业老师，依托心理健康教育名师工作室，以点带面，开展省、市、区级心理健康教育教师培训，促进心理教师专业技能与心灵成长，培育良好的心理工作生态。</w:t>
      </w:r>
    </w:p>
    <w:p w14:paraId="3DE236D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②丰富心理健康教育课程。进一步打造各学段“学习心理”系列课程，通过心理课、班队活动、综合实践活动、团队拓展活动等推动心理健康教育。</w:t>
      </w:r>
    </w:p>
    <w:p w14:paraId="2A5F0B8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优化心理危机预防、预警和干预工作。完善区级学生心理健康档案，充分利用区域医疗卫生资源优势，加强教育、卫生、公安、团委、妇联、社区等多方部门协作，健全学生心理危机预防、预警和干预工作体系，为校园安全和学生健康成长保驾护航。</w:t>
      </w:r>
    </w:p>
    <w:p w14:paraId="1B494A8D" w14:textId="77777777" w:rsidR="004E2B7C" w:rsidRDefault="004E2B7C">
      <w:pPr>
        <w:spacing w:line="560" w:lineRule="exact"/>
        <w:ind w:firstLineChars="200" w:firstLine="632"/>
        <w:rPr>
          <w:rFonts w:ascii="仿宋_GB2312" w:hint="eastAsia"/>
          <w:color w:val="000000"/>
          <w:szCs w:val="32"/>
        </w:rPr>
      </w:pPr>
      <w:r>
        <w:rPr>
          <w:rFonts w:ascii="仿宋_GB2312" w:hAnsi="仿宋_GB2312" w:cs="仿宋_GB2312" w:hint="eastAsia"/>
          <w:color w:val="000000"/>
          <w:szCs w:val="32"/>
        </w:rPr>
        <w:t>④打造我区“幸福教育”品牌。以培养积极心理品质为目标，推广《番禺幸福课》，提升师生幸福感，争取创建全国心理健康教育示范区。</w:t>
      </w:r>
    </w:p>
    <w:p w14:paraId="65BDD245"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7.家校共育提升工程。</w:t>
      </w:r>
    </w:p>
    <w:p w14:paraId="3E38931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（1）健全协同工作体系。</w:t>
      </w:r>
    </w:p>
    <w:p w14:paraId="1B705E2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①健全家校社协同共育体系，发挥区家校协同育人中心作用，形成政府主导、部门协作、学校组织、家长参与、社会支持的学校家庭教育指导工作格局。</w:t>
      </w:r>
    </w:p>
    <w:p w14:paraId="40D9EFB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②健全“区—镇（街）—学校”三级工作体系，发挥区家庭教育工作研究会、区家庭教育名师工作室的辐射带动作用，建立三级研究会与家庭教育工作坊，实现家庭教育全覆盖。</w:t>
      </w:r>
    </w:p>
    <w:p w14:paraId="13D3BA4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③健全学校三级家长委员会建设体系，开展家庭教育指导服务和实践活动。</w:t>
      </w:r>
    </w:p>
    <w:p w14:paraId="3C9E889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④健全家校共育评价体系，将家庭教育纳入教育综合督导评估体系。</w:t>
      </w:r>
    </w:p>
    <w:p w14:paraId="28E9FAC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（2）完善共育课程体系。</w:t>
      </w:r>
    </w:p>
    <w:p w14:paraId="3347089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建设中小幼家校共育一体化课程体系，制定家庭教育课程实施方案，系统设计地方家庭教育指导课程。完善家庭教育课程内容，形成未成年人保护、法治教育和文明礼仪教育等系列课程，全面提升学生文明素养与综合能力。</w:t>
      </w:r>
    </w:p>
    <w:p w14:paraId="4721C10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②创新优化师培计划，巩固并推广家庭教育培训课程成果，全面提升全区德育干部、班主任及新教师家庭教育指导能力。</w:t>
      </w:r>
    </w:p>
    <w:p w14:paraId="74F7158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③依托区家校协同育人中心，建立一支学校为主体、专兼职相结合的家庭教育专家团与讲师团，开展送课送教活动，指导学校开展家庭教育课程建设。</w:t>
      </w:r>
    </w:p>
    <w:p w14:paraId="460138FA"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（3）加强协同教育创新。</w:t>
      </w:r>
    </w:p>
    <w:p w14:paraId="37F3A85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①营造良好的协同教育环境，推动家长依法履行家庭教育职责，推动社会关注和支持家庭教育工作，为学生提供安全、健康、幸福的成长环境。</w:t>
      </w:r>
    </w:p>
    <w:p w14:paraId="198EAD9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②开展基于区情、校情、生情的家庭教育研究，将家校共育研究纳入教育科学研究整体规划，形成一批高质量的研究成果，并应用于工作实践中。</w:t>
      </w:r>
    </w:p>
    <w:p w14:paraId="11A6170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③拓宽家校沟通渠道，探索“万名教师访万家”家庭教育有效方式，落实4个100%（100%家访，100%建立家长学校，100%成立家长委员会，100%新生家长第一课全覆盖），切实提升家校共育的针对性和实效性。</w:t>
      </w:r>
    </w:p>
    <w:p w14:paraId="2BCD4E1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④优化“互联网+”家庭教育指导模式，丰富家庭教育资源库</w:t>
      </w:r>
      <w:r>
        <w:rPr>
          <w:rFonts w:ascii="仿宋_GB2312" w:hAnsi="仿宋_GB2312" w:cs="仿宋_GB2312" w:hint="eastAsia"/>
          <w:color w:val="000000"/>
          <w:szCs w:val="32"/>
        </w:rPr>
        <w:lastRenderedPageBreak/>
        <w:t>和家庭教育线上课程，擦亮“番禺区家校共育云课堂”和“家教有方”品牌。</w:t>
      </w:r>
    </w:p>
    <w:p w14:paraId="7E39A23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8.教育装备和信息化建设提升工程。</w:t>
      </w:r>
    </w:p>
    <w:p w14:paraId="041029D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（1）推进更新优化工程。</w:t>
      </w:r>
    </w:p>
    <w:p w14:paraId="7B21D04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①完善教育装备现代化发展体系。建立教育装备与信息化发展理念体系、发展水平评价指标体系和教育装备产品教育教学适用性论证机制，完善学校教育信息化装备管理办法，探索建设教育装备改革创新试验区。</w:t>
      </w:r>
    </w:p>
    <w:p w14:paraId="5B403651"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②加大财政经费投入，全面推进装备与信息化的更新改造。调整教育经费支出结构，重点向农村和薄弱学校倾斜，推动教育信息化装备“改薄”项目，加快缩小区域、校际硬件建设差距。</w:t>
      </w:r>
    </w:p>
    <w:p w14:paraId="4970AB7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③提升基础环境智能化程度。加快5G、IPV6等网络技术应用，实现多网无缝连接，构筑智能教学环境，创新智慧课堂教学模式。</w:t>
      </w:r>
    </w:p>
    <w:p w14:paraId="026E357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④强化优质教育资源供给服务。完善全区教育装备管理和应用大数据平台，打通国家、省、市、区、校资源平台，形成优质教育资源汇聚态势。</w:t>
      </w:r>
    </w:p>
    <w:p w14:paraId="590501A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（2）推动教育装备创新融合精准应用。</w:t>
      </w:r>
    </w:p>
    <w:p w14:paraId="301D0FB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①以人工智能试点校、智慧教育示范区支撑校、智慧阅读项目等为抓手，打造智慧教育特色典型案例。到2025年，打造80所智慧校园。</w:t>
      </w:r>
    </w:p>
    <w:p w14:paraId="65F13BE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②提升教师教育信息化水平，实施信息技术与教育教学融合</w:t>
      </w:r>
      <w:r>
        <w:rPr>
          <w:rFonts w:ascii="仿宋_GB2312" w:hAnsi="仿宋_GB2312" w:cs="仿宋_GB2312" w:hint="eastAsia"/>
          <w:color w:val="000000"/>
          <w:szCs w:val="32"/>
        </w:rPr>
        <w:lastRenderedPageBreak/>
        <w:t>创新工程。到2025年，打造2～3个信息化领军人才工作室、20个信息化专家工作室、培养100名骨干教师。</w:t>
      </w:r>
    </w:p>
    <w:p w14:paraId="72948F0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③精准推进“轻智慧课堂”“电子书包—智慧学习卡”等信息化项目，构建线上线下教育常态化融合发展机制。</w:t>
      </w:r>
    </w:p>
    <w:p w14:paraId="48408FA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④推进“教育+互联网”“教育+人工智能”“教育+VR/AR/MR”和“教育+AI”创新工程，开展人工智能教育课程实验，将人工智能教育与STEM、创客教育有机融合，为学生提供多元、协作的学习活动和体验。到2025年，全区人工智能课程改革100%覆盖义务教育阶段学校。</w:t>
      </w:r>
    </w:p>
    <w:p w14:paraId="6FD4FB9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⑤推动我区“大阅读圈”未来图书馆建设。探索面向未来的中小学图书馆应用升级和书香校园建设一体化解决方案，利用新一代信息技术构建“以阅促教、以阅促学、家校协作”的“大阅读圈”。到2025年，全区100%小学开展智慧阅读。</w:t>
      </w:r>
    </w:p>
    <w:p w14:paraId="58C5F4CD"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（3）探索未来学校建设。</w:t>
      </w:r>
    </w:p>
    <w:p w14:paraId="3D4D47F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探索建设一批未来学校实验校。充分利用互联网、物联网、人工智能等技术，着力在核心课程、教师培养、管理与服务、目标与学生评价等方面不断进行创新型实践，推动信息技术与教育教学的精准深度融合。探索虚实融合的云端学校样态，打造教、学、考、管、研等全面数字化的未来学校。</w:t>
      </w:r>
    </w:p>
    <w:p w14:paraId="58CFCE3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②探索建设一批未来教育体验中心。基于德智体美劳全面发展的育人目标，结合特色学校、特色项目建设，运用互联网技术和智能化的虚拟现实设备等，加强与企业和各类社会资源的对接，</w:t>
      </w:r>
      <w:r>
        <w:rPr>
          <w:rFonts w:ascii="仿宋_GB2312" w:hAnsi="仿宋_GB2312" w:cs="仿宋_GB2312" w:hint="eastAsia"/>
          <w:color w:val="000000"/>
          <w:szCs w:val="32"/>
        </w:rPr>
        <w:lastRenderedPageBreak/>
        <w:t>探索建设未来德育中心、未来创新中心、未来学习中心、未来体能中心、未来艺术中心、未来生活体验中心等，满足学生全面发展的要求。</w:t>
      </w:r>
    </w:p>
    <w:p w14:paraId="3726DFE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9.教育评价改革工程。</w:t>
      </w:r>
    </w:p>
    <w:p w14:paraId="6967BB0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（1）改革学生评价。</w:t>
      </w:r>
    </w:p>
    <w:p w14:paraId="4B7E611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健全德育过程性评价方法。根据各年段学生身心特点，科学设置德育目标要求与评价标准，同时依托互联网平台，对学生日常品行表现进行过程性记录、评价与反馈，探索学生、家长、教师与社区多方参与的德育评价体系。</w:t>
      </w:r>
    </w:p>
    <w:p w14:paraId="4A5FAAFD"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②改进学科素养评价方式。坚持评价多元性，建立过程性考核与结果性考核相结合、定性评价与定量评价相结合的学业考评制度。</w:t>
      </w:r>
    </w:p>
    <w:p w14:paraId="532F7A8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完善综合素质评价体系。建立健全学生综合素质档案，明确学生综合素质评价要求与评价要点，突出素质导向，推动学生评价向以“五育”为核心的多元化、科学化、素养化方向转变，促进德智体美劳全面发展。</w:t>
      </w:r>
    </w:p>
    <w:p w14:paraId="5F7BBBD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（2）完善教师评价。</w:t>
      </w:r>
    </w:p>
    <w:p w14:paraId="28E1450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①加强教师师德师风评价。全面落实新时代幼儿园、中小学教师职业行为准则，细化师德师风评价标准，严格落实“师德一票否决制”，推动师德师风建设常态化、长效化。</w:t>
      </w:r>
    </w:p>
    <w:p w14:paraId="6521D9EF"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②优化教师评价指标体系。优化教师考评制度，采取自我评价与他人评价相结合、绝对评价与相对评价相结合等多种评价方</w:t>
      </w:r>
      <w:r>
        <w:rPr>
          <w:rFonts w:ascii="仿宋_GB2312" w:hAnsi="仿宋_GB2312" w:cs="仿宋_GB2312" w:hint="eastAsia"/>
          <w:color w:val="000000"/>
          <w:szCs w:val="32"/>
        </w:rPr>
        <w:lastRenderedPageBreak/>
        <w:t>式，通过改进结果评价、强化过程评价、探索增值评价、健全综合评价，为教师专业发展提供有力支撑。</w:t>
      </w:r>
    </w:p>
    <w:p w14:paraId="5EB28F19"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③完善教师评价反馈机制。注重教师评价结果的公开与反馈，建立健全教师评价反馈机制，充分发挥教师评价促进教师能力提升的作用，激发教师队伍活力。</w:t>
      </w:r>
    </w:p>
    <w:p w14:paraId="032893CB"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（3）健全学校评价。</w:t>
      </w:r>
    </w:p>
    <w:p w14:paraId="46BA80D4"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①健全学校评价体系。坚持把立德树人成效作为根本标准，根据不同学段、不同类型学校的特点，健全各级各类学校评价标准，借助社会、家长、媒体等监督力量，督促学校落实国家教育发展要求。</w:t>
      </w:r>
    </w:p>
    <w:p w14:paraId="7BED13B0"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②加强学校教育质量监测。推进教育质量监测工作，组织开展监测指标和评价标准的开发、测评工具的研发及相关试点工作，充分利用监测结果，加强对学校教育质量状况的常态分析和观察，探索建立基于监测结果的反馈、约谈、问责与整改机制，以促进区域教育优质均衡发展。</w:t>
      </w:r>
    </w:p>
    <w:p w14:paraId="51195381" w14:textId="77777777" w:rsidR="004E2B7C" w:rsidRDefault="004E2B7C">
      <w:pPr>
        <w:spacing w:line="560" w:lineRule="exact"/>
        <w:ind w:firstLineChars="200" w:firstLine="632"/>
        <w:rPr>
          <w:rFonts w:ascii="仿宋_GB2312" w:hAnsi="仿宋_GB2312" w:cs="仿宋_GB2312" w:hint="eastAsia"/>
          <w:color w:val="000000"/>
          <w:szCs w:val="32"/>
        </w:rPr>
      </w:pPr>
    </w:p>
    <w:p w14:paraId="53A54C69" w14:textId="77777777" w:rsidR="004E2B7C" w:rsidRDefault="004E2B7C">
      <w:pPr>
        <w:spacing w:line="560" w:lineRule="exact"/>
        <w:jc w:val="center"/>
        <w:outlineLvl w:val="0"/>
        <w:rPr>
          <w:rFonts w:ascii="黑体" w:eastAsia="黑体" w:hAnsi="黑体" w:cs="黑体" w:hint="eastAsia"/>
          <w:color w:val="000000"/>
          <w:szCs w:val="32"/>
        </w:rPr>
      </w:pPr>
      <w:bookmarkStart w:id="136" w:name="_Toc923723574"/>
      <w:bookmarkStart w:id="137" w:name="_Toc660652704"/>
      <w:bookmarkStart w:id="138" w:name="_Toc2083904009"/>
      <w:bookmarkStart w:id="139" w:name="_Toc23272"/>
      <w:r>
        <w:rPr>
          <w:rFonts w:ascii="黑体" w:eastAsia="黑体" w:hAnsi="黑体" w:cs="黑体" w:hint="eastAsia"/>
          <w:color w:val="000000"/>
          <w:szCs w:val="32"/>
        </w:rPr>
        <w:t>第四章  保障措施</w:t>
      </w:r>
      <w:bookmarkEnd w:id="136"/>
      <w:bookmarkEnd w:id="137"/>
      <w:bookmarkEnd w:id="138"/>
      <w:bookmarkEnd w:id="139"/>
    </w:p>
    <w:p w14:paraId="07713C1A" w14:textId="77777777" w:rsidR="004E2B7C" w:rsidRDefault="004E2B7C">
      <w:pPr>
        <w:spacing w:line="560" w:lineRule="exact"/>
        <w:ind w:firstLineChars="200" w:firstLine="632"/>
        <w:rPr>
          <w:rFonts w:ascii="仿宋_GB2312" w:hAnsi="仿宋_GB2312" w:cs="仿宋_GB2312" w:hint="eastAsia"/>
          <w:color w:val="000000"/>
          <w:szCs w:val="32"/>
        </w:rPr>
      </w:pPr>
    </w:p>
    <w:p w14:paraId="1E1B70C3"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坚持和加强党对教育工作的全面领导，建立健全规划实施保障机制，更好履行政府教育职能，激发教育的活力和创造力，为实现我区教育高质量发展凝聚合力。</w:t>
      </w:r>
    </w:p>
    <w:p w14:paraId="1DC1AEFA"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140" w:name="_Toc1069821780"/>
      <w:bookmarkStart w:id="141" w:name="_Toc27395311"/>
      <w:bookmarkStart w:id="142" w:name="_Toc1480375410"/>
      <w:bookmarkStart w:id="143" w:name="_Toc7766"/>
      <w:r>
        <w:rPr>
          <w:rFonts w:ascii="黑体" w:eastAsia="黑体" w:hAnsi="黑体" w:cs="黑体" w:hint="eastAsia"/>
          <w:color w:val="000000"/>
          <w:szCs w:val="32"/>
        </w:rPr>
        <w:t>一、强化党的领导</w:t>
      </w:r>
      <w:bookmarkEnd w:id="140"/>
      <w:bookmarkEnd w:id="141"/>
      <w:bookmarkEnd w:id="142"/>
      <w:bookmarkEnd w:id="143"/>
    </w:p>
    <w:p w14:paraId="2A6260E6"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lastRenderedPageBreak/>
        <w:t>一方面，进一步坚持和加强党对教育工作的全面领导，贯彻党把方向、谋大局、定政策、促改革的要求，深入学习贯彻习近平新时代中国特色社会主义思想，忠诚拥护“两个确立”，坚决做到“两个维护”，不断提高政治判断力、政治领悟力、政治执行力，把党的领导贯穿到规划实施的各领域和全过程，确保党中央重大决策部署贯彻落实，充分发挥全面从严治党引领保障作用，把监督体系融入规划实施之中。完善上下贯通、执行有力的组织体系，提高各级领导班子和干部适应新时代新要求抓改革、促发展、保稳定的政治能力和专业化水平。同时，进一步完善区教育局党组、局直属机关党委和行政班子的议事规范和实施细则，进一步明确学校党组织、行政班子在学校议事决策、执行、监督等各环节的权责、具体内容和工作方式，确保学校党组织发挥政治核心作用。另一方面，加强民办学校党组织建设。持续加大民办学校党的组织和党的工作“两个覆盖”力度，落实民办学校党建摸查排查、组织建设和引领服务“三同步”，推动民办学校党组织全面进步、全面过硬。</w:t>
      </w:r>
    </w:p>
    <w:p w14:paraId="1B2C1440"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144" w:name="_Toc348336924"/>
      <w:bookmarkStart w:id="145" w:name="_Toc492211948"/>
      <w:bookmarkStart w:id="146" w:name="_Toc2027433791"/>
      <w:bookmarkStart w:id="147" w:name="_Toc4217"/>
      <w:r>
        <w:rPr>
          <w:rFonts w:ascii="黑体" w:eastAsia="黑体" w:hAnsi="黑体" w:cs="黑体" w:hint="eastAsia"/>
          <w:color w:val="000000"/>
          <w:szCs w:val="32"/>
        </w:rPr>
        <w:t>二、加大经费投入</w:t>
      </w:r>
      <w:bookmarkEnd w:id="144"/>
      <w:bookmarkEnd w:id="145"/>
      <w:bookmarkEnd w:id="146"/>
      <w:bookmarkEnd w:id="147"/>
    </w:p>
    <w:p w14:paraId="051193AD"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坚持教育优先发展战略，依法加大教育投入，健全以政府投入为主、多渠道筹集教育经费机制，落实教育经费“三个增长”的法定要求，以满足教育高质量发展需要。加强区级统筹，优化教育经费支出结构，优先保障学校建设、生均公用经费投入、教育装备信息化优化提升等，倾斜投入相对薄弱区域和学校，逐步</w:t>
      </w:r>
      <w:r>
        <w:rPr>
          <w:rFonts w:ascii="仿宋_GB2312" w:hAnsi="仿宋_GB2312" w:cs="仿宋_GB2312" w:hint="eastAsia"/>
          <w:color w:val="000000"/>
          <w:szCs w:val="32"/>
        </w:rPr>
        <w:lastRenderedPageBreak/>
        <w:t>缩小区域教育差距。鼓励扩大社会投入，加强教育基金会的支持作用，引导社会力量加大教育投入。全面落实预算绩效管理，提高教育经费使用效益。</w:t>
      </w:r>
    </w:p>
    <w:p w14:paraId="0E5AFEB6"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148" w:name="_Toc1368207989"/>
      <w:bookmarkStart w:id="149" w:name="_Toc1862022422"/>
      <w:bookmarkStart w:id="150" w:name="_Toc1055090654"/>
      <w:bookmarkStart w:id="151" w:name="_Toc2168"/>
      <w:r>
        <w:rPr>
          <w:rFonts w:ascii="黑体" w:eastAsia="黑体" w:hAnsi="黑体" w:cs="黑体" w:hint="eastAsia"/>
          <w:color w:val="000000"/>
          <w:szCs w:val="32"/>
        </w:rPr>
        <w:t>三、落实依法治教</w:t>
      </w:r>
      <w:bookmarkEnd w:id="148"/>
      <w:bookmarkEnd w:id="149"/>
      <w:bookmarkEnd w:id="150"/>
      <w:bookmarkEnd w:id="151"/>
    </w:p>
    <w:p w14:paraId="53EA3BB2"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一方面，完善各种教育规章及制度，确保依法治教。构建政府依法行政、学校依法办学、教师依法执教、社会依法支持和参与教育治理的教育发展新格局；建立健全教育审计制度，发挥教育审计的内部控制和“免疫系统”功能；同时，完善依法办学、自主管理、民主监督、社会参与的现代学校制度，进一步明确学校办学权利和义务，推动学校内部治理结构改革，推进学校治理能力提升和治理体系现代化；完善师生权益保护机制，健全相应的章程执行与监督评价机制，切实全面落实学校法治工作。另一方面，深入推进面向学生、家长和社会的教育普法宣传工作，完善青少年学生法治教育和宣传机制，引导家长确立科学的教育认知；同时，建立健全校长、教师学法制度，确保全社会在教育理念、教育方式、教育规律上形成共识。</w:t>
      </w:r>
    </w:p>
    <w:p w14:paraId="5C01029D" w14:textId="77777777" w:rsidR="004E2B7C" w:rsidRDefault="004E2B7C">
      <w:pPr>
        <w:spacing w:line="560" w:lineRule="exact"/>
        <w:ind w:firstLineChars="200" w:firstLine="632"/>
        <w:outlineLvl w:val="1"/>
        <w:rPr>
          <w:rFonts w:ascii="黑体" w:eastAsia="黑体" w:hAnsi="黑体" w:cs="黑体" w:hint="eastAsia"/>
          <w:color w:val="000000"/>
          <w:szCs w:val="32"/>
        </w:rPr>
      </w:pPr>
      <w:bookmarkStart w:id="152" w:name="_Toc1932081712"/>
      <w:bookmarkStart w:id="153" w:name="_Toc1035863666"/>
      <w:bookmarkStart w:id="154" w:name="_Toc28675988"/>
      <w:bookmarkStart w:id="155" w:name="_Toc27186"/>
      <w:r>
        <w:rPr>
          <w:rFonts w:ascii="黑体" w:eastAsia="黑体" w:hAnsi="黑体" w:cs="黑体" w:hint="eastAsia"/>
          <w:color w:val="000000"/>
          <w:szCs w:val="32"/>
        </w:rPr>
        <w:t>四、完善实施机制</w:t>
      </w:r>
      <w:bookmarkEnd w:id="152"/>
      <w:bookmarkEnd w:id="153"/>
      <w:bookmarkEnd w:id="154"/>
      <w:bookmarkEnd w:id="155"/>
    </w:p>
    <w:p w14:paraId="2DCE30E8"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加强对本规划实施的组织、协调和督导，建立健全规划实施监测、评估、政策保障、考核监督机制。</w:t>
      </w:r>
    </w:p>
    <w:p w14:paraId="5A36EF06"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56" w:name="_Toc1505154328"/>
      <w:bookmarkStart w:id="157" w:name="_Toc1837471468"/>
      <w:bookmarkStart w:id="158" w:name="_Toc1643312912"/>
      <w:bookmarkStart w:id="159" w:name="_Toc2322"/>
      <w:r>
        <w:rPr>
          <w:rFonts w:ascii="楷体_GB2312" w:eastAsia="楷体_GB2312" w:hAnsi="楷体_GB2312" w:cs="楷体_GB2312" w:hint="eastAsia"/>
          <w:color w:val="000000"/>
          <w:szCs w:val="32"/>
        </w:rPr>
        <w:t>（一）落实规划实施责任</w:t>
      </w:r>
      <w:bookmarkEnd w:id="156"/>
      <w:bookmarkEnd w:id="157"/>
      <w:bookmarkEnd w:id="158"/>
      <w:bookmarkEnd w:id="159"/>
    </w:p>
    <w:p w14:paraId="087CA29C"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各部门要根据职责分工，明确责任主体和进度要求，分解主要指标，纳入年度计划指标体系，合理配置资源，确保目标如期</w:t>
      </w:r>
      <w:r>
        <w:rPr>
          <w:rFonts w:ascii="仿宋_GB2312" w:hAnsi="仿宋_GB2312" w:cs="仿宋_GB2312" w:hint="eastAsia"/>
          <w:color w:val="000000"/>
          <w:szCs w:val="32"/>
        </w:rPr>
        <w:lastRenderedPageBreak/>
        <w:t>完成。</w:t>
      </w:r>
    </w:p>
    <w:p w14:paraId="3076DD97"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60" w:name="_Toc980269696"/>
      <w:bookmarkStart w:id="161" w:name="_Toc9101287"/>
      <w:bookmarkStart w:id="162" w:name="_Toc1740274966"/>
      <w:bookmarkStart w:id="163" w:name="_Toc15549"/>
      <w:r>
        <w:rPr>
          <w:rFonts w:ascii="楷体_GB2312" w:eastAsia="楷体_GB2312" w:hAnsi="楷体_GB2312" w:cs="楷体_GB2312" w:hint="eastAsia"/>
          <w:color w:val="000000"/>
          <w:szCs w:val="32"/>
        </w:rPr>
        <w:t>（二）强化规划实施监测评估</w:t>
      </w:r>
      <w:bookmarkEnd w:id="160"/>
      <w:bookmarkEnd w:id="161"/>
      <w:bookmarkEnd w:id="162"/>
      <w:bookmarkEnd w:id="163"/>
    </w:p>
    <w:p w14:paraId="5B1FB60E"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开展规划实施情况动态监测，自觉接受人大和社会监督，规划实施情况要进行绩效评估。</w:t>
      </w:r>
    </w:p>
    <w:p w14:paraId="6A982CDF" w14:textId="77777777" w:rsidR="004E2B7C" w:rsidRDefault="004E2B7C">
      <w:pPr>
        <w:spacing w:line="560" w:lineRule="exact"/>
        <w:ind w:firstLineChars="200" w:firstLine="632"/>
        <w:outlineLvl w:val="2"/>
        <w:rPr>
          <w:rFonts w:ascii="楷体_GB2312" w:eastAsia="楷体_GB2312" w:hAnsi="楷体_GB2312" w:cs="楷体_GB2312" w:hint="eastAsia"/>
          <w:color w:val="000000"/>
          <w:szCs w:val="32"/>
        </w:rPr>
      </w:pPr>
      <w:bookmarkStart w:id="164" w:name="_Toc977985310"/>
      <w:bookmarkStart w:id="165" w:name="_Toc1455586164"/>
      <w:bookmarkStart w:id="166" w:name="_Toc585783474"/>
      <w:bookmarkStart w:id="167" w:name="_Toc7050"/>
      <w:r>
        <w:rPr>
          <w:rFonts w:ascii="楷体_GB2312" w:eastAsia="楷体_GB2312" w:hAnsi="楷体_GB2312" w:cs="楷体_GB2312" w:hint="eastAsia"/>
          <w:color w:val="000000"/>
          <w:szCs w:val="32"/>
        </w:rPr>
        <w:t>（三）强化政策协同保障</w:t>
      </w:r>
      <w:bookmarkEnd w:id="164"/>
      <w:bookmarkEnd w:id="165"/>
      <w:bookmarkEnd w:id="166"/>
      <w:bookmarkEnd w:id="167"/>
    </w:p>
    <w:p w14:paraId="6AFE5587" w14:textId="77777777" w:rsidR="004E2B7C" w:rsidRDefault="004E2B7C">
      <w:pPr>
        <w:spacing w:line="560" w:lineRule="exact"/>
        <w:ind w:firstLineChars="200" w:firstLine="632"/>
        <w:rPr>
          <w:rFonts w:ascii="仿宋_GB2312" w:hAnsi="仿宋_GB2312" w:cs="仿宋_GB2312" w:hint="eastAsia"/>
          <w:color w:val="000000"/>
          <w:szCs w:val="32"/>
        </w:rPr>
      </w:pPr>
      <w:r>
        <w:rPr>
          <w:rFonts w:ascii="仿宋_GB2312" w:hAnsi="仿宋_GB2312" w:cs="仿宋_GB2312" w:hint="eastAsia"/>
          <w:color w:val="000000"/>
          <w:szCs w:val="32"/>
        </w:rPr>
        <w:t>坚持规划定方向、财政作保障、其他政策相协调，坚持教育重大项目跟着规划走、财政资金跟着项目走，着力构建规划与政策的协调联动机制。</w:t>
      </w:r>
    </w:p>
    <w:p w14:paraId="3A24192D" w14:textId="77777777" w:rsidR="004E2B7C" w:rsidRDefault="004E2B7C">
      <w:pPr>
        <w:spacing w:line="560" w:lineRule="exact"/>
        <w:ind w:firstLineChars="200" w:firstLine="632"/>
        <w:rPr>
          <w:rFonts w:ascii="仿宋_GB2312" w:hAnsi="仿宋_GB2312" w:cs="仿宋_GB2312" w:hint="eastAsia"/>
          <w:color w:val="000000"/>
          <w:szCs w:val="32"/>
        </w:rPr>
      </w:pPr>
    </w:p>
    <w:p w14:paraId="15E69403" w14:textId="77777777" w:rsidR="004E2B7C" w:rsidRDefault="004E2B7C">
      <w:pPr>
        <w:spacing w:line="560" w:lineRule="exact"/>
        <w:ind w:leftChars="200" w:left="1899" w:hangingChars="401" w:hanging="1267"/>
        <w:rPr>
          <w:rFonts w:ascii="仿宋_GB2312" w:hAnsi="仿宋_GB2312" w:cs="仿宋_GB2312" w:hint="eastAsia"/>
          <w:color w:val="000000"/>
          <w:szCs w:val="32"/>
        </w:rPr>
      </w:pPr>
      <w:r>
        <w:rPr>
          <w:rFonts w:ascii="仿宋_GB2312" w:hAnsi="仿宋_GB2312" w:cs="仿宋_GB2312" w:hint="eastAsia"/>
          <w:color w:val="000000"/>
          <w:szCs w:val="32"/>
        </w:rPr>
        <w:t>附件：1.番禺区教育事业发展“十四五”时期片区教育发展重点</w:t>
      </w:r>
    </w:p>
    <w:p w14:paraId="49C90790" w14:textId="77777777" w:rsidR="004E2B7C" w:rsidRDefault="004E2B7C">
      <w:pPr>
        <w:spacing w:line="560" w:lineRule="exact"/>
        <w:ind w:leftChars="500" w:left="1898" w:hangingChars="101" w:hanging="319"/>
        <w:rPr>
          <w:rFonts w:ascii="仿宋_GB2312" w:hAnsi="仿宋_GB2312" w:cs="仿宋_GB2312" w:hint="eastAsia"/>
          <w:color w:val="000000"/>
          <w:szCs w:val="32"/>
        </w:rPr>
      </w:pPr>
      <w:r>
        <w:rPr>
          <w:rFonts w:ascii="仿宋_GB2312" w:hAnsi="仿宋_GB2312" w:cs="仿宋_GB2312" w:hint="eastAsia"/>
          <w:color w:val="000000"/>
          <w:szCs w:val="32"/>
        </w:rPr>
        <w:t>2.番禺区教育事业发展“十四五”时期重点任务及重大项目</w:t>
      </w:r>
    </w:p>
    <w:p w14:paraId="4033FC4C" w14:textId="77777777" w:rsidR="004E2B7C" w:rsidRDefault="004E2B7C">
      <w:pPr>
        <w:widowControl/>
        <w:ind w:leftChars="500" w:left="1898" w:hangingChars="101" w:hanging="319"/>
        <w:rPr>
          <w:rFonts w:ascii="仿宋_GB2312" w:hAnsi="仿宋_GB2312" w:cs="仿宋_GB2312" w:hint="eastAsia"/>
          <w:color w:val="000000"/>
        </w:rPr>
      </w:pPr>
      <w:r>
        <w:rPr>
          <w:rFonts w:ascii="仿宋_GB2312" w:hAnsi="仿宋_GB2312" w:cs="仿宋_GB2312" w:hint="eastAsia"/>
          <w:color w:val="000000"/>
        </w:rPr>
        <w:t>3.番禺区教育事业发展“十四五”时期新增基础教育学位数</w:t>
      </w:r>
    </w:p>
    <w:p w14:paraId="2562D969" w14:textId="77777777" w:rsidR="004E2B7C" w:rsidRDefault="004E2B7C">
      <w:pPr>
        <w:spacing w:line="560" w:lineRule="exact"/>
        <w:ind w:firstLineChars="500" w:firstLine="1579"/>
        <w:rPr>
          <w:rFonts w:ascii="仿宋_GB2312" w:hAnsi="仿宋_GB2312" w:cs="仿宋_GB2312" w:hint="eastAsia"/>
          <w:color w:val="000000"/>
          <w:szCs w:val="32"/>
        </w:rPr>
      </w:pPr>
      <w:r>
        <w:rPr>
          <w:rFonts w:ascii="仿宋_GB2312" w:hAnsi="仿宋_GB2312" w:cs="仿宋_GB2312" w:hint="eastAsia"/>
          <w:color w:val="000000"/>
          <w:szCs w:val="32"/>
        </w:rPr>
        <w:t>4.番禺区教育事业发展“十四五”时期规划新建学校</w:t>
      </w:r>
    </w:p>
    <w:p w14:paraId="5C3B56E7" w14:textId="77777777" w:rsidR="004E2B7C" w:rsidRDefault="004E2B7C">
      <w:pPr>
        <w:spacing w:line="560" w:lineRule="exact"/>
        <w:ind w:firstLineChars="200" w:firstLine="632"/>
        <w:rPr>
          <w:rFonts w:ascii="仿宋_GB2312" w:hAnsi="仿宋_GB2312" w:cs="仿宋_GB2312" w:hint="eastAsia"/>
          <w:color w:val="000000"/>
          <w:szCs w:val="32"/>
        </w:rPr>
      </w:pPr>
    </w:p>
    <w:p w14:paraId="6B81B9E0" w14:textId="77777777" w:rsidR="004E2B7C" w:rsidRDefault="004E2B7C">
      <w:pPr>
        <w:spacing w:line="560" w:lineRule="exact"/>
        <w:ind w:firstLineChars="200" w:firstLine="632"/>
        <w:rPr>
          <w:rFonts w:ascii="仿宋_GB2312" w:hint="eastAsia"/>
          <w:color w:val="000000"/>
          <w:szCs w:val="32"/>
        </w:rPr>
      </w:pPr>
    </w:p>
    <w:p w14:paraId="6AC4BE08" w14:textId="77777777" w:rsidR="004E2B7C" w:rsidRDefault="004E2B7C">
      <w:pPr>
        <w:spacing w:line="560" w:lineRule="exact"/>
        <w:ind w:firstLineChars="200" w:firstLine="632"/>
        <w:rPr>
          <w:rFonts w:ascii="仿宋_GB2312" w:hint="eastAsia"/>
          <w:color w:val="000000"/>
          <w:szCs w:val="32"/>
        </w:rPr>
        <w:sectPr w:rsidR="004E2B7C">
          <w:footerReference w:type="even" r:id="rId8"/>
          <w:footerReference w:type="default" r:id="rId9"/>
          <w:footnotePr>
            <w:numFmt w:val="decimalEnclosedCircleChinese"/>
          </w:footnotePr>
          <w:pgSz w:w="11906" w:h="16838"/>
          <w:pgMar w:top="2098" w:right="1474" w:bottom="1985" w:left="1588" w:header="1418" w:footer="1588" w:gutter="0"/>
          <w:pgNumType w:fmt="decimalFullWidth" w:start="1"/>
          <w:cols w:space="720"/>
          <w:docGrid w:type="linesAndChars" w:linePitch="579" w:charSpace="-849"/>
        </w:sectPr>
      </w:pPr>
    </w:p>
    <w:p w14:paraId="18BB3C42" w14:textId="77777777" w:rsidR="004E2B7C" w:rsidRDefault="004E2B7C">
      <w:pPr>
        <w:spacing w:line="560" w:lineRule="exact"/>
        <w:jc w:val="left"/>
        <w:outlineLvl w:val="0"/>
        <w:rPr>
          <w:rFonts w:ascii="黑体" w:eastAsia="黑体" w:hAnsi="黑体" w:cs="宋体" w:hint="eastAsia"/>
          <w:bCs/>
          <w:kern w:val="0"/>
          <w:szCs w:val="32"/>
        </w:rPr>
      </w:pPr>
      <w:bookmarkStart w:id="168" w:name="_Toc1583400594"/>
      <w:bookmarkStart w:id="169" w:name="_Toc700205105"/>
      <w:bookmarkStart w:id="170" w:name="_Toc1963296743"/>
      <w:bookmarkStart w:id="171" w:name="_Toc20901"/>
      <w:r>
        <w:rPr>
          <w:rFonts w:ascii="黑体" w:eastAsia="黑体" w:hAnsi="黑体" w:cs="宋体" w:hint="eastAsia"/>
          <w:bCs/>
          <w:kern w:val="0"/>
          <w:szCs w:val="32"/>
        </w:rPr>
        <w:lastRenderedPageBreak/>
        <w:t>附件1</w:t>
      </w:r>
      <w:bookmarkEnd w:id="168"/>
      <w:bookmarkEnd w:id="169"/>
      <w:bookmarkEnd w:id="170"/>
      <w:bookmarkEnd w:id="171"/>
    </w:p>
    <w:p w14:paraId="6203737C" w14:textId="77777777" w:rsidR="004E2B7C" w:rsidRDefault="004E2B7C">
      <w:pPr>
        <w:spacing w:line="560" w:lineRule="exact"/>
        <w:jc w:val="left"/>
        <w:rPr>
          <w:rFonts w:ascii="仿宋_GB2312" w:hAnsi="楷体" w:cs="宋体"/>
          <w:bCs/>
          <w:kern w:val="0"/>
          <w:sz w:val="24"/>
        </w:rPr>
      </w:pPr>
    </w:p>
    <w:p w14:paraId="39724F23" w14:textId="77777777" w:rsidR="004E2B7C" w:rsidRDefault="004E2B7C">
      <w:pPr>
        <w:spacing w:line="560" w:lineRule="exact"/>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番禺区教育事业发展“十四五”时期片区教育发展重点</w:t>
      </w:r>
    </w:p>
    <w:p w14:paraId="7152CB8D" w14:textId="77777777" w:rsidR="004E2B7C" w:rsidRDefault="004E2B7C">
      <w:pPr>
        <w:spacing w:line="560" w:lineRule="exact"/>
        <w:jc w:val="center"/>
        <w:rPr>
          <w:rFonts w:ascii="方正小标宋简体" w:eastAsia="方正小标宋简体" w:hAnsi="方正小标宋简体" w:cs="方正小标宋简体" w:hint="eastAsia"/>
          <w:sz w:val="44"/>
          <w:szCs w:val="44"/>
        </w:rPr>
      </w:pPr>
    </w:p>
    <w:tbl>
      <w:tblPr>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7"/>
        <w:gridCol w:w="11843"/>
      </w:tblGrid>
      <w:tr w:rsidR="004E2B7C" w14:paraId="29E1E51E" w14:textId="77777777">
        <w:trPr>
          <w:cantSplit/>
          <w:trHeight w:val="635"/>
          <w:tblHeader/>
        </w:trPr>
        <w:tc>
          <w:tcPr>
            <w:tcW w:w="352" w:type="pct"/>
            <w:vAlign w:val="center"/>
          </w:tcPr>
          <w:p w14:paraId="1057D843" w14:textId="77777777" w:rsidR="004E2B7C" w:rsidRDefault="004E2B7C">
            <w:pPr>
              <w:spacing w:line="320" w:lineRule="exact"/>
              <w:jc w:val="center"/>
              <w:rPr>
                <w:rFonts w:ascii="黑体" w:eastAsia="黑体" w:hAnsi="黑体" w:cs="黑体" w:hint="eastAsia"/>
                <w:bCs/>
                <w:sz w:val="24"/>
              </w:rPr>
            </w:pPr>
            <w:r>
              <w:rPr>
                <w:rFonts w:ascii="黑体" w:eastAsia="黑体" w:hAnsi="黑体" w:cs="黑体" w:hint="eastAsia"/>
                <w:bCs/>
                <w:sz w:val="24"/>
              </w:rPr>
              <w:t>片区</w:t>
            </w:r>
          </w:p>
        </w:tc>
        <w:tc>
          <w:tcPr>
            <w:tcW w:w="4647" w:type="pct"/>
            <w:vAlign w:val="center"/>
          </w:tcPr>
          <w:p w14:paraId="15103585" w14:textId="77777777" w:rsidR="004E2B7C" w:rsidRDefault="004E2B7C">
            <w:pPr>
              <w:spacing w:line="320" w:lineRule="exact"/>
              <w:jc w:val="center"/>
              <w:rPr>
                <w:rFonts w:ascii="黑体" w:eastAsia="黑体" w:hAnsi="黑体" w:cs="黑体" w:hint="eastAsia"/>
                <w:bCs/>
                <w:sz w:val="24"/>
              </w:rPr>
            </w:pPr>
            <w:r>
              <w:rPr>
                <w:rFonts w:ascii="黑体" w:eastAsia="黑体" w:hAnsi="黑体" w:cs="黑体" w:hint="eastAsia"/>
                <w:bCs/>
                <w:sz w:val="24"/>
              </w:rPr>
              <w:t>发展重点</w:t>
            </w:r>
          </w:p>
        </w:tc>
      </w:tr>
      <w:tr w:rsidR="004E2B7C" w14:paraId="7B64192F" w14:textId="77777777">
        <w:trPr>
          <w:cantSplit/>
          <w:trHeight w:val="2783"/>
        </w:trPr>
        <w:tc>
          <w:tcPr>
            <w:tcW w:w="352" w:type="pct"/>
            <w:vAlign w:val="center"/>
          </w:tcPr>
          <w:p w14:paraId="5A1F7368" w14:textId="77777777" w:rsidR="004E2B7C" w:rsidRDefault="004E2B7C">
            <w:pPr>
              <w:spacing w:line="320" w:lineRule="exact"/>
              <w:jc w:val="center"/>
              <w:rPr>
                <w:rFonts w:ascii="仿宋_GB2312"/>
                <w:sz w:val="24"/>
              </w:rPr>
            </w:pPr>
            <w:r>
              <w:rPr>
                <w:rFonts w:ascii="仿宋_GB2312" w:hint="eastAsia"/>
                <w:sz w:val="24"/>
              </w:rPr>
              <w:t>市桥城区教育指导中心</w:t>
            </w:r>
          </w:p>
        </w:tc>
        <w:tc>
          <w:tcPr>
            <w:tcW w:w="4647" w:type="pct"/>
            <w:vAlign w:val="center"/>
          </w:tcPr>
          <w:p w14:paraId="039B4FE0" w14:textId="77777777" w:rsidR="004E2B7C" w:rsidRDefault="004E2B7C">
            <w:pPr>
              <w:spacing w:line="320" w:lineRule="exact"/>
              <w:rPr>
                <w:rFonts w:ascii="仿宋_GB2312"/>
                <w:sz w:val="24"/>
              </w:rPr>
            </w:pPr>
            <w:r>
              <w:rPr>
                <w:rFonts w:ascii="仿宋_GB2312" w:hint="eastAsia"/>
                <w:sz w:val="24"/>
              </w:rPr>
              <w:t>以</w:t>
            </w:r>
            <w:r>
              <w:rPr>
                <w:rFonts w:ascii="仿宋_GB2312" w:hint="eastAsia"/>
                <w:b/>
                <w:sz w:val="24"/>
              </w:rPr>
              <w:t>“优质均衡”</w:t>
            </w:r>
            <w:r>
              <w:rPr>
                <w:rFonts w:ascii="仿宋_GB2312" w:hint="eastAsia"/>
                <w:sz w:val="24"/>
              </w:rPr>
              <w:t>为总体定位</w:t>
            </w:r>
          </w:p>
          <w:p w14:paraId="7853F7D9" w14:textId="77777777" w:rsidR="004E2B7C" w:rsidRDefault="004E2B7C">
            <w:pPr>
              <w:spacing w:line="320" w:lineRule="exact"/>
              <w:rPr>
                <w:rFonts w:ascii="仿宋_GB2312"/>
                <w:b/>
                <w:sz w:val="24"/>
              </w:rPr>
            </w:pPr>
            <w:r>
              <w:rPr>
                <w:rFonts w:ascii="仿宋_GB2312" w:hint="eastAsia"/>
                <w:b/>
                <w:sz w:val="24"/>
              </w:rPr>
              <w:t>重点工程：</w:t>
            </w:r>
            <w:r>
              <w:rPr>
                <w:rFonts w:ascii="仿宋_GB2312" w:hint="eastAsia"/>
                <w:sz w:val="24"/>
              </w:rPr>
              <w:t>1.造峰填谷；2.强校强师；3.体质提高；4.艺术普及；5.书写演说；6.文明礼仪；7.校园阅读；8.劳动教育；9.家校共育。</w:t>
            </w:r>
          </w:p>
          <w:p w14:paraId="485837DE" w14:textId="77777777" w:rsidR="004E2B7C" w:rsidRDefault="004E2B7C">
            <w:pPr>
              <w:spacing w:line="320" w:lineRule="exact"/>
              <w:rPr>
                <w:rFonts w:ascii="仿宋_GB2312"/>
                <w:b/>
                <w:sz w:val="24"/>
              </w:rPr>
            </w:pPr>
            <w:r>
              <w:rPr>
                <w:rFonts w:ascii="仿宋_GB2312" w:hint="eastAsia"/>
                <w:b/>
                <w:sz w:val="24"/>
              </w:rPr>
              <w:t>主要举措：</w:t>
            </w:r>
            <w:r>
              <w:rPr>
                <w:rFonts w:ascii="仿宋_GB2312" w:hint="eastAsia"/>
                <w:sz w:val="24"/>
              </w:rPr>
              <w:t>1.党建引领，以结对融合的方式，全力推进幼儿园、民办学校的党建全覆盖；2.调研凝炼，提炼形成市桥城区教育经验、理念体系；3.精细落实，全面铺开精细管理，制定实施城区管理机制，切实将各项教育工作做实做细做到位；4.学段衔接，做好各学段教育衔接工作，探索总结规律；5.资源整合，建构城区德育课程体系，建立班会课程资源库；6.家校共育，加大家校共育研究力度，建立机制和家教资源库；7.多校联盟，组织办学质量不同层次的学校组成联盟，实施资源共享、优势互补、实现1+1</w:t>
            </w:r>
            <w:r>
              <w:rPr>
                <w:rFonts w:ascii="仿宋_GB2312" w:hAnsi="仿宋" w:hint="eastAsia"/>
                <w:sz w:val="24"/>
              </w:rPr>
              <w:t>&gt;2</w:t>
            </w:r>
            <w:r>
              <w:rPr>
                <w:rFonts w:ascii="仿宋_GB2312" w:hint="eastAsia"/>
                <w:sz w:val="24"/>
              </w:rPr>
              <w:t>的效应。</w:t>
            </w:r>
          </w:p>
        </w:tc>
      </w:tr>
      <w:tr w:rsidR="004E2B7C" w14:paraId="10B4EE83" w14:textId="77777777">
        <w:trPr>
          <w:cantSplit/>
          <w:trHeight w:val="2530"/>
        </w:trPr>
        <w:tc>
          <w:tcPr>
            <w:tcW w:w="352" w:type="pct"/>
            <w:vAlign w:val="center"/>
          </w:tcPr>
          <w:p w14:paraId="4A272299" w14:textId="77777777" w:rsidR="004E2B7C" w:rsidRDefault="004E2B7C">
            <w:pPr>
              <w:spacing w:line="320" w:lineRule="exact"/>
              <w:jc w:val="center"/>
              <w:rPr>
                <w:rFonts w:ascii="仿宋_GB2312"/>
                <w:sz w:val="24"/>
              </w:rPr>
            </w:pPr>
            <w:r>
              <w:rPr>
                <w:rFonts w:ascii="仿宋_GB2312" w:hint="eastAsia"/>
                <w:sz w:val="24"/>
              </w:rPr>
              <w:t>石</w:t>
            </w:r>
            <w:r>
              <w:rPr>
                <w:rFonts w:ascii="仿宋" w:eastAsia="仿宋" w:hAnsi="仿宋" w:cs="仿宋" w:hint="eastAsia"/>
                <w:sz w:val="24"/>
              </w:rPr>
              <w:t>碁</w:t>
            </w:r>
            <w:r>
              <w:rPr>
                <w:rFonts w:ascii="仿宋_GB2312" w:hint="eastAsia"/>
                <w:sz w:val="24"/>
              </w:rPr>
              <w:t>教育指导中心</w:t>
            </w:r>
          </w:p>
        </w:tc>
        <w:tc>
          <w:tcPr>
            <w:tcW w:w="4647" w:type="pct"/>
            <w:vAlign w:val="center"/>
          </w:tcPr>
          <w:p w14:paraId="5A67319B" w14:textId="77777777" w:rsidR="004E2B7C" w:rsidRDefault="004E2B7C">
            <w:pPr>
              <w:spacing w:line="320" w:lineRule="exact"/>
              <w:rPr>
                <w:rFonts w:ascii="仿宋_GB2312"/>
                <w:sz w:val="24"/>
              </w:rPr>
            </w:pPr>
            <w:r>
              <w:rPr>
                <w:rFonts w:ascii="仿宋_GB2312" w:hint="eastAsia"/>
                <w:sz w:val="24"/>
              </w:rPr>
              <w:t>以</w:t>
            </w:r>
            <w:r>
              <w:rPr>
                <w:rFonts w:ascii="仿宋_GB2312" w:hint="eastAsia"/>
                <w:b/>
                <w:sz w:val="24"/>
              </w:rPr>
              <w:t>“</w:t>
            </w:r>
            <w:r>
              <w:rPr>
                <w:rFonts w:ascii="方正仿宋_GBK" w:eastAsia="方正仿宋_GBK" w:hAnsi="方正仿宋_GBK" w:cs="方正仿宋_GBK" w:hint="eastAsia"/>
                <w:b/>
                <w:sz w:val="24"/>
              </w:rPr>
              <w:t>碁</w:t>
            </w:r>
            <w:r>
              <w:rPr>
                <w:rFonts w:ascii="仿宋_GB2312" w:hint="eastAsia"/>
                <w:b/>
                <w:sz w:val="24"/>
              </w:rPr>
              <w:t>道育人”</w:t>
            </w:r>
            <w:r>
              <w:rPr>
                <w:rFonts w:ascii="仿宋_GB2312" w:hint="eastAsia"/>
                <w:sz w:val="24"/>
              </w:rPr>
              <w:t xml:space="preserve">为发展理念 </w:t>
            </w:r>
          </w:p>
          <w:p w14:paraId="43E6E1F9" w14:textId="77777777" w:rsidR="004E2B7C" w:rsidRDefault="004E2B7C">
            <w:pPr>
              <w:spacing w:line="320" w:lineRule="exact"/>
              <w:rPr>
                <w:rFonts w:ascii="仿宋_GB2312"/>
                <w:b/>
                <w:sz w:val="24"/>
              </w:rPr>
            </w:pPr>
            <w:r>
              <w:rPr>
                <w:rFonts w:ascii="仿宋_GB2312" w:hint="eastAsia"/>
                <w:b/>
                <w:sz w:val="24"/>
              </w:rPr>
              <w:t>重点工程：</w:t>
            </w:r>
            <w:r>
              <w:rPr>
                <w:rFonts w:ascii="仿宋_GB2312" w:hint="eastAsia"/>
                <w:sz w:val="24"/>
              </w:rPr>
              <w:t>1.优质发展工程；2.均衡发展工程；3.特色发展工程。</w:t>
            </w:r>
          </w:p>
          <w:p w14:paraId="0B77DF0F" w14:textId="77777777" w:rsidR="004E2B7C" w:rsidRDefault="004E2B7C">
            <w:pPr>
              <w:spacing w:line="320" w:lineRule="exact"/>
              <w:rPr>
                <w:rFonts w:ascii="仿宋_GB2312"/>
                <w:b/>
                <w:sz w:val="24"/>
              </w:rPr>
            </w:pPr>
            <w:r>
              <w:rPr>
                <w:rFonts w:ascii="仿宋_GB2312" w:hint="eastAsia"/>
                <w:b/>
                <w:sz w:val="24"/>
              </w:rPr>
              <w:t>主要举措：</w:t>
            </w:r>
            <w:r>
              <w:rPr>
                <w:rFonts w:ascii="仿宋_GB2312" w:hint="eastAsia"/>
                <w:sz w:val="24"/>
              </w:rPr>
              <w:t>1.强化党建引领，全面提升2个队伍育人水平；2.健全并提升学校治理体系和治理能力，提高教育教学质量和夯实平安校园建设成果；3.通过帮扶、抱团发展、深化学前教育、创新社区教育等多渠道并举，推进均衡发展；4.进一步深化“碁道育人”理念与各学校办学理念深度融合，重视成果应用、推广和辐射；5.深化特色发展道路，夯实办学内涵，促使学校文化建设再上新台阶；6.注重品牌影响力的建构，加大宣传力度，促使片区教育综合实力的社会影响更为广阔。</w:t>
            </w:r>
          </w:p>
        </w:tc>
      </w:tr>
      <w:tr w:rsidR="004E2B7C" w14:paraId="0E07CDAE" w14:textId="77777777">
        <w:trPr>
          <w:cantSplit/>
          <w:trHeight w:val="3517"/>
        </w:trPr>
        <w:tc>
          <w:tcPr>
            <w:tcW w:w="352" w:type="pct"/>
            <w:vAlign w:val="center"/>
          </w:tcPr>
          <w:p w14:paraId="082EC394" w14:textId="77777777" w:rsidR="004E2B7C" w:rsidRDefault="004E2B7C">
            <w:pPr>
              <w:spacing w:line="320" w:lineRule="exact"/>
              <w:jc w:val="center"/>
              <w:rPr>
                <w:rFonts w:ascii="仿宋_GB2312"/>
                <w:sz w:val="24"/>
              </w:rPr>
            </w:pPr>
            <w:r>
              <w:rPr>
                <w:rFonts w:ascii="仿宋_GB2312" w:hint="eastAsia"/>
                <w:sz w:val="24"/>
              </w:rPr>
              <w:lastRenderedPageBreak/>
              <w:t>沙湾教育指导中心</w:t>
            </w:r>
          </w:p>
        </w:tc>
        <w:tc>
          <w:tcPr>
            <w:tcW w:w="4647" w:type="pct"/>
            <w:vAlign w:val="center"/>
          </w:tcPr>
          <w:p w14:paraId="0511A9C9" w14:textId="77777777" w:rsidR="004E2B7C" w:rsidRDefault="004E2B7C">
            <w:pPr>
              <w:widowControl/>
              <w:adjustRightInd w:val="0"/>
              <w:spacing w:line="320" w:lineRule="exact"/>
              <w:rPr>
                <w:rFonts w:ascii="仿宋_GB2312" w:hAnsi="宋体" w:cs="宋体"/>
                <w:sz w:val="24"/>
              </w:rPr>
            </w:pPr>
            <w:r>
              <w:rPr>
                <w:rFonts w:ascii="仿宋_GB2312" w:hAnsi="宋体" w:cs="宋体" w:hint="eastAsia"/>
                <w:sz w:val="24"/>
              </w:rPr>
              <w:t>以“</w:t>
            </w:r>
            <w:r>
              <w:rPr>
                <w:rFonts w:ascii="仿宋_GB2312" w:hAnsi="宋体" w:cs="宋体" w:hint="eastAsia"/>
                <w:b/>
                <w:sz w:val="24"/>
              </w:rPr>
              <w:t>淳贤流风</w:t>
            </w:r>
            <w:r>
              <w:rPr>
                <w:rFonts w:ascii="仿宋_GB2312" w:hAnsi="宋体" w:cs="宋体" w:hint="eastAsia"/>
                <w:sz w:val="24"/>
              </w:rPr>
              <w:t>”为发展理念</w:t>
            </w:r>
          </w:p>
          <w:p w14:paraId="11AB2D29" w14:textId="77777777" w:rsidR="004E2B7C" w:rsidRDefault="004E2B7C">
            <w:pPr>
              <w:widowControl/>
              <w:adjustRightInd w:val="0"/>
              <w:spacing w:line="320" w:lineRule="exact"/>
              <w:rPr>
                <w:rFonts w:ascii="仿宋_GB2312" w:hAnsi="宋体" w:cs="黑体"/>
                <w:b/>
                <w:sz w:val="24"/>
              </w:rPr>
            </w:pPr>
            <w:r>
              <w:rPr>
                <w:rFonts w:ascii="仿宋_GB2312" w:hAnsi="宋体" w:cs="黑体" w:hint="eastAsia"/>
                <w:b/>
                <w:sz w:val="24"/>
              </w:rPr>
              <w:t>重点工程：</w:t>
            </w:r>
            <w:r>
              <w:rPr>
                <w:rFonts w:ascii="仿宋_GB2312" w:hAnsi="宋体" w:cs="黑体" w:hint="eastAsia"/>
                <w:sz w:val="24"/>
              </w:rPr>
              <w:t>1.</w:t>
            </w:r>
            <w:r>
              <w:rPr>
                <w:rFonts w:ascii="仿宋_GB2312" w:hAnsi="宋体" w:cs="宋体" w:hint="eastAsia"/>
                <w:sz w:val="24"/>
              </w:rPr>
              <w:t>均衡教育发展工程；2.教师队伍优化工程；3.研学后教升级工程；4.文化德育推进工程；5.学前教育优质工程；6.学校文化深化工程；7.社区教育创新工程；8.平安校园创建工程；9.学校管理规范工程。</w:t>
            </w:r>
          </w:p>
          <w:p w14:paraId="6EF026A7" w14:textId="77777777" w:rsidR="004E2B7C" w:rsidRDefault="004E2B7C">
            <w:pPr>
              <w:spacing w:line="320" w:lineRule="exact"/>
              <w:rPr>
                <w:rFonts w:ascii="仿宋_GB2312" w:hAnsi="宋体" w:cs="宋体"/>
                <w:b/>
                <w:sz w:val="24"/>
              </w:rPr>
            </w:pPr>
            <w:r>
              <w:rPr>
                <w:rFonts w:ascii="仿宋_GB2312" w:hAnsi="宋体" w:cs="宋体" w:hint="eastAsia"/>
                <w:b/>
                <w:sz w:val="24"/>
              </w:rPr>
              <w:t>主要举措：</w:t>
            </w:r>
            <w:r>
              <w:rPr>
                <w:rFonts w:ascii="仿宋_GB2312" w:hAnsi="宋体" w:cs="宋体" w:hint="eastAsia"/>
                <w:sz w:val="24"/>
              </w:rPr>
              <w:t>1.通过新建、改建、扩建保障学位供给；2.加快推进学校现代化建设；3.推进头雁工程，加强骨干教师培养；4.推行“主题式课例研修”教研新模式，建设中小学劳动教育等特色品牌课程；5.构建优秀文化传承机制，推进古镇游学课程规划与实施管理；6.组建“紧密型”学前教育集团。探索委托管理合作办园模式；7.以“淳贤流风”为抓手，以课程建设为着重点，以科研课题为引领，全面深化校园文化建设；8.</w:t>
            </w:r>
            <w:r>
              <w:rPr>
                <w:rFonts w:ascii="仿宋_GB2312" w:hAnsi="宋体" w:cs="宋体" w:hint="eastAsia"/>
                <w:bCs/>
                <w:sz w:val="24"/>
              </w:rPr>
              <w:t>盘活现有资源，构建“多元化、多层次、多渠道”的社区活动网络体系；9.</w:t>
            </w:r>
            <w:r>
              <w:rPr>
                <w:rFonts w:ascii="仿宋_GB2312" w:hAnsi="宋体" w:cs="宋体" w:hint="eastAsia"/>
                <w:sz w:val="24"/>
              </w:rPr>
              <w:t>积极开展现代学校制度建设的探索，引导学校管理走向制度化的道路。</w:t>
            </w:r>
          </w:p>
        </w:tc>
      </w:tr>
      <w:tr w:rsidR="004E2B7C" w14:paraId="49CC6BAD" w14:textId="77777777">
        <w:trPr>
          <w:cantSplit/>
          <w:trHeight w:val="3570"/>
        </w:trPr>
        <w:tc>
          <w:tcPr>
            <w:tcW w:w="352" w:type="pct"/>
            <w:vAlign w:val="center"/>
          </w:tcPr>
          <w:p w14:paraId="5C6A4D2C" w14:textId="77777777" w:rsidR="004E2B7C" w:rsidRDefault="004E2B7C">
            <w:pPr>
              <w:spacing w:line="320" w:lineRule="exact"/>
              <w:jc w:val="center"/>
              <w:rPr>
                <w:rFonts w:ascii="仿宋_GB2312"/>
                <w:sz w:val="24"/>
              </w:rPr>
            </w:pPr>
            <w:r>
              <w:rPr>
                <w:rFonts w:ascii="仿宋_GB2312" w:hint="eastAsia"/>
                <w:sz w:val="24"/>
              </w:rPr>
              <w:t>石楼教育指导中心</w:t>
            </w:r>
          </w:p>
        </w:tc>
        <w:tc>
          <w:tcPr>
            <w:tcW w:w="4647" w:type="pct"/>
            <w:vAlign w:val="center"/>
          </w:tcPr>
          <w:p w14:paraId="751F7D54" w14:textId="77777777" w:rsidR="004E2B7C" w:rsidRDefault="004E2B7C">
            <w:pPr>
              <w:spacing w:line="320" w:lineRule="exact"/>
              <w:rPr>
                <w:rFonts w:ascii="仿宋_GB2312"/>
                <w:sz w:val="24"/>
              </w:rPr>
            </w:pPr>
            <w:r>
              <w:rPr>
                <w:rFonts w:ascii="仿宋_GB2312" w:hint="eastAsia"/>
                <w:sz w:val="24"/>
              </w:rPr>
              <w:t>以“</w:t>
            </w:r>
            <w:r>
              <w:rPr>
                <w:rFonts w:ascii="仿宋_GB2312" w:hint="eastAsia"/>
                <w:b/>
                <w:sz w:val="24"/>
              </w:rPr>
              <w:t>莲品立人</w:t>
            </w:r>
            <w:r>
              <w:rPr>
                <w:rFonts w:ascii="仿宋_GB2312" w:hint="eastAsia"/>
                <w:sz w:val="24"/>
              </w:rPr>
              <w:t>”为发展理念</w:t>
            </w:r>
          </w:p>
          <w:p w14:paraId="5417F261" w14:textId="77777777" w:rsidR="004E2B7C" w:rsidRDefault="004E2B7C">
            <w:pPr>
              <w:spacing w:line="320" w:lineRule="exact"/>
              <w:rPr>
                <w:rFonts w:ascii="仿宋_GB2312"/>
                <w:sz w:val="24"/>
              </w:rPr>
            </w:pPr>
            <w:r>
              <w:rPr>
                <w:rFonts w:ascii="仿宋_GB2312" w:hint="eastAsia"/>
                <w:b/>
                <w:sz w:val="24"/>
              </w:rPr>
              <w:t>重点工程：</w:t>
            </w:r>
            <w:r>
              <w:rPr>
                <w:rFonts w:ascii="仿宋_GB2312" w:hint="eastAsia"/>
                <w:sz w:val="24"/>
              </w:rPr>
              <w:t>1.规划建设开办中小学4所（亚运城片区2所、映蝶蓝湾三期配套小学1所、倚莲半岛小区配套小学1所），幼儿园9所（倚莲半岛1所、利联花园2所、亚运城2所、联围1所、赤山东1所、清流1所、映蝶蓝湾三期1所）；2.“莲品立人”教育品牌工程。</w:t>
            </w:r>
          </w:p>
          <w:p w14:paraId="35BA5E9D" w14:textId="77777777" w:rsidR="004E2B7C" w:rsidRDefault="004E2B7C">
            <w:pPr>
              <w:spacing w:line="320" w:lineRule="exact"/>
              <w:rPr>
                <w:rFonts w:ascii="仿宋_GB2312"/>
                <w:sz w:val="24"/>
              </w:rPr>
            </w:pPr>
            <w:r>
              <w:rPr>
                <w:rFonts w:ascii="仿宋_GB2312" w:hint="eastAsia"/>
                <w:b/>
                <w:sz w:val="24"/>
              </w:rPr>
              <w:t>主要举措</w:t>
            </w:r>
            <w:r>
              <w:rPr>
                <w:rFonts w:ascii="仿宋_GB2312" w:hint="eastAsia"/>
                <w:sz w:val="24"/>
              </w:rPr>
              <w:t>：1.推进新开办中小学、幼儿园建设工程，确保学位供应；2.成立五大研究中心：“莲品立人”品牌、课改育办学绩效提升、艺术与体育、教师专业成长与幸福人生等研究中心；3.打造“莲品立人”区域教育品牌课程（重点建设影视教育、文化阅读、公德教育、创意写作等课程）；4.制定文化德育落实方案，打造一批文化德育特色项目；5.制定教师专业成长计划，培训提升队伍建设质量；6.制定课堂改革方案，开设课堂改革名师工作坊等；7.制定科学教育评估方案，形成科学评价体系；8.“莲品立人”教育品牌现场会。</w:t>
            </w:r>
          </w:p>
        </w:tc>
      </w:tr>
      <w:tr w:rsidR="004E2B7C" w14:paraId="46007357" w14:textId="77777777">
        <w:trPr>
          <w:cantSplit/>
          <w:trHeight w:val="3451"/>
        </w:trPr>
        <w:tc>
          <w:tcPr>
            <w:tcW w:w="352" w:type="pct"/>
            <w:vAlign w:val="center"/>
          </w:tcPr>
          <w:p w14:paraId="424B9FFE" w14:textId="77777777" w:rsidR="004E2B7C" w:rsidRDefault="004E2B7C">
            <w:pPr>
              <w:spacing w:line="320" w:lineRule="exact"/>
              <w:jc w:val="center"/>
              <w:rPr>
                <w:rFonts w:ascii="仿宋_GB2312"/>
                <w:sz w:val="24"/>
              </w:rPr>
            </w:pPr>
            <w:r>
              <w:rPr>
                <w:rFonts w:ascii="仿宋_GB2312" w:hint="eastAsia"/>
                <w:sz w:val="24"/>
              </w:rPr>
              <w:lastRenderedPageBreak/>
              <w:t>西片教育指导中心</w:t>
            </w:r>
          </w:p>
        </w:tc>
        <w:tc>
          <w:tcPr>
            <w:tcW w:w="4647" w:type="pct"/>
            <w:vAlign w:val="center"/>
          </w:tcPr>
          <w:p w14:paraId="6A45AC70" w14:textId="77777777" w:rsidR="004E2B7C" w:rsidRDefault="004E2B7C">
            <w:pPr>
              <w:spacing w:line="320" w:lineRule="exact"/>
              <w:rPr>
                <w:rFonts w:ascii="仿宋_GB2312" w:hAnsi="微软雅黑"/>
                <w:sz w:val="24"/>
              </w:rPr>
            </w:pPr>
            <w:r>
              <w:rPr>
                <w:rFonts w:ascii="仿宋_GB2312" w:hAnsi="微软雅黑" w:hint="eastAsia"/>
                <w:sz w:val="24"/>
              </w:rPr>
              <w:t>以</w:t>
            </w:r>
            <w:r>
              <w:rPr>
                <w:rFonts w:ascii="仿宋_GB2312" w:hAnsi="微软雅黑" w:hint="eastAsia"/>
                <w:b/>
                <w:sz w:val="24"/>
              </w:rPr>
              <w:t>“和而不同，群品共生”</w:t>
            </w:r>
            <w:r>
              <w:rPr>
                <w:rFonts w:ascii="仿宋_GB2312" w:hAnsi="微软雅黑" w:hint="eastAsia"/>
                <w:sz w:val="24"/>
              </w:rPr>
              <w:t>为发展理念</w:t>
            </w:r>
          </w:p>
          <w:p w14:paraId="0DF52460" w14:textId="77777777" w:rsidR="004E2B7C" w:rsidRDefault="004E2B7C">
            <w:pPr>
              <w:spacing w:line="320" w:lineRule="exact"/>
              <w:rPr>
                <w:rFonts w:ascii="仿宋_GB2312" w:hAnsi="微软雅黑"/>
                <w:sz w:val="24"/>
              </w:rPr>
            </w:pPr>
            <w:r>
              <w:rPr>
                <w:rFonts w:ascii="仿宋_GB2312" w:hAnsi="微软雅黑" w:hint="eastAsia"/>
                <w:b/>
                <w:sz w:val="24"/>
              </w:rPr>
              <w:t>重点工程</w:t>
            </w:r>
            <w:r>
              <w:rPr>
                <w:rFonts w:ascii="仿宋_GB2312" w:hAnsi="微软雅黑" w:hint="eastAsia"/>
                <w:sz w:val="24"/>
              </w:rPr>
              <w:t>：1.</w:t>
            </w:r>
            <w:r>
              <w:rPr>
                <w:rFonts w:ascii="仿宋_GB2312" w:hint="eastAsia"/>
                <w:sz w:val="24"/>
              </w:rPr>
              <w:t>党风廉政建设工程；2.师生团队建设工程；3.</w:t>
            </w:r>
            <w:r>
              <w:rPr>
                <w:rFonts w:ascii="仿宋_GB2312" w:hAnsi="微软雅黑" w:hint="eastAsia"/>
                <w:sz w:val="24"/>
              </w:rPr>
              <w:t>干部队伍建设工程；4.质量观建设工程；5.特色文化建设工程；6.大教育格局建设工程。</w:t>
            </w:r>
          </w:p>
          <w:p w14:paraId="108128A1" w14:textId="77777777" w:rsidR="004E2B7C" w:rsidRDefault="004E2B7C">
            <w:pPr>
              <w:spacing w:line="320" w:lineRule="exact"/>
              <w:rPr>
                <w:rFonts w:ascii="仿宋_GB2312" w:hAnsi="微软雅黑"/>
                <w:sz w:val="24"/>
              </w:rPr>
            </w:pPr>
            <w:r>
              <w:rPr>
                <w:rFonts w:ascii="仿宋_GB2312" w:hAnsi="微软雅黑" w:hint="eastAsia"/>
                <w:b/>
                <w:sz w:val="24"/>
              </w:rPr>
              <w:t>主要举措</w:t>
            </w:r>
            <w:r>
              <w:rPr>
                <w:rFonts w:ascii="仿宋_GB2312" w:hAnsi="微软雅黑" w:hint="eastAsia"/>
                <w:sz w:val="24"/>
              </w:rPr>
              <w:t>：1.</w:t>
            </w:r>
            <w:r>
              <w:rPr>
                <w:rFonts w:ascii="仿宋_GB2312" w:hint="eastAsia"/>
                <w:sz w:val="24"/>
              </w:rPr>
              <w:t>大力推进党建工作，党建与行政</w:t>
            </w:r>
            <w:r>
              <w:rPr>
                <w:rFonts w:ascii="仿宋_GB2312"/>
                <w:sz w:val="24"/>
              </w:rPr>
              <w:t>业务</w:t>
            </w:r>
            <w:r>
              <w:rPr>
                <w:rFonts w:ascii="仿宋_GB2312" w:hint="eastAsia"/>
                <w:sz w:val="24"/>
              </w:rPr>
              <w:t>共建、共享，融合发展；2.通过</w:t>
            </w:r>
            <w:r>
              <w:rPr>
                <w:rFonts w:ascii="仿宋_GB2312" w:hAnsi="宋体" w:cs="宋体" w:hint="eastAsia"/>
                <w:sz w:val="24"/>
              </w:rPr>
              <w:t>新建、改建、扩建等方式，保障中小学和幼儿园有足够学位供给；3.</w:t>
            </w:r>
            <w:r>
              <w:rPr>
                <w:rFonts w:ascii="仿宋_GB2312" w:hint="eastAsia"/>
                <w:sz w:val="24"/>
              </w:rPr>
              <w:t>落实文化德育，打造特色项目，建设区域文化德育品牌；4.</w:t>
            </w:r>
            <w:r>
              <w:rPr>
                <w:rFonts w:ascii="仿宋_GB2312" w:hAnsi="宋体" w:cs="宋体" w:hint="eastAsia"/>
                <w:sz w:val="24"/>
              </w:rPr>
              <w:t>建立骨干教师工作坊机制，推行“主题研修”研训模式，</w:t>
            </w:r>
            <w:r>
              <w:rPr>
                <w:rFonts w:ascii="仿宋_GB2312" w:hAnsi="微软雅黑" w:hint="eastAsia"/>
                <w:sz w:val="24"/>
              </w:rPr>
              <w:t>推进课堂教学改革;5</w:t>
            </w:r>
            <w:r>
              <w:rPr>
                <w:rFonts w:ascii="仿宋_GB2312" w:hAnsi="宋体" w:cs="宋体" w:hint="eastAsia"/>
                <w:sz w:val="24"/>
              </w:rPr>
              <w:t>.重点建设中小学劳动教育、思想政治和科技活动等特色课程，提升区域课程建设水平；6.推行“订单式”研训模式，切实提高学校</w:t>
            </w:r>
            <w:r>
              <w:rPr>
                <w:rFonts w:ascii="仿宋_GB2312" w:hAnsi="微软雅黑" w:hint="eastAsia"/>
                <w:sz w:val="24"/>
              </w:rPr>
              <w:t>行政团队</w:t>
            </w:r>
            <w:r>
              <w:rPr>
                <w:rFonts w:ascii="仿宋_GB2312" w:hAnsi="宋体" w:cs="宋体" w:hint="eastAsia"/>
                <w:sz w:val="24"/>
              </w:rPr>
              <w:t>管理质量;7.</w:t>
            </w:r>
            <w:r>
              <w:rPr>
                <w:rFonts w:ascii="仿宋_GB2312" w:hint="eastAsia"/>
                <w:sz w:val="24"/>
              </w:rPr>
              <w:t>推行学校发展联盟，区域内不同学校实现资源共享、优势互补、共同发展。</w:t>
            </w:r>
          </w:p>
        </w:tc>
      </w:tr>
      <w:tr w:rsidR="004E2B7C" w14:paraId="64BE077B" w14:textId="77777777">
        <w:trPr>
          <w:cantSplit/>
          <w:trHeight w:val="3870"/>
        </w:trPr>
        <w:tc>
          <w:tcPr>
            <w:tcW w:w="352" w:type="pct"/>
            <w:vAlign w:val="center"/>
          </w:tcPr>
          <w:p w14:paraId="1A55BC0E" w14:textId="77777777" w:rsidR="004E2B7C" w:rsidRDefault="004E2B7C">
            <w:pPr>
              <w:spacing w:line="320" w:lineRule="exact"/>
              <w:jc w:val="center"/>
              <w:rPr>
                <w:rFonts w:ascii="仿宋_GB2312"/>
                <w:sz w:val="24"/>
              </w:rPr>
            </w:pPr>
            <w:r>
              <w:rPr>
                <w:rFonts w:ascii="仿宋_GB2312" w:hint="eastAsia"/>
                <w:sz w:val="24"/>
              </w:rPr>
              <w:t>北片教育指导中心</w:t>
            </w:r>
          </w:p>
        </w:tc>
        <w:tc>
          <w:tcPr>
            <w:tcW w:w="4647" w:type="pct"/>
            <w:vAlign w:val="center"/>
          </w:tcPr>
          <w:p w14:paraId="661C2AB1" w14:textId="77777777" w:rsidR="004E2B7C" w:rsidRDefault="004E2B7C">
            <w:pPr>
              <w:pStyle w:val="a4"/>
              <w:spacing w:line="320" w:lineRule="exact"/>
              <w:jc w:val="both"/>
              <w:rPr>
                <w:rFonts w:ascii="仿宋_GB2312" w:eastAsia="仿宋_GB2312" w:hAnsi="仿宋" w:cs="仿宋"/>
                <w:sz w:val="24"/>
              </w:rPr>
            </w:pPr>
            <w:r>
              <w:rPr>
                <w:rFonts w:ascii="仿宋_GB2312" w:eastAsia="仿宋_GB2312" w:hint="eastAsia"/>
                <w:sz w:val="24"/>
              </w:rPr>
              <w:t>以“</w:t>
            </w:r>
            <w:r>
              <w:rPr>
                <w:rFonts w:ascii="仿宋_GB2312" w:eastAsia="仿宋_GB2312" w:hAnsi="仿宋" w:cs="仿宋" w:hint="eastAsia"/>
                <w:b/>
                <w:sz w:val="24"/>
              </w:rPr>
              <w:t>办有灵气的教育</w:t>
            </w:r>
            <w:r>
              <w:rPr>
                <w:rFonts w:ascii="仿宋_GB2312" w:eastAsia="仿宋_GB2312" w:hAnsi="仿宋" w:cs="仿宋" w:hint="eastAsia"/>
                <w:sz w:val="24"/>
              </w:rPr>
              <w:t>”为发展理念</w:t>
            </w:r>
          </w:p>
          <w:p w14:paraId="619EBEB0" w14:textId="77777777" w:rsidR="004E2B7C" w:rsidRDefault="004E2B7C">
            <w:pPr>
              <w:pStyle w:val="a4"/>
              <w:spacing w:line="320" w:lineRule="exact"/>
              <w:jc w:val="both"/>
              <w:rPr>
                <w:rFonts w:ascii="仿宋_GB2312" w:eastAsia="仿宋_GB2312" w:hAnsi="仿宋" w:cs="仿宋"/>
                <w:b/>
                <w:sz w:val="24"/>
              </w:rPr>
            </w:pPr>
            <w:r>
              <w:rPr>
                <w:rFonts w:ascii="仿宋_GB2312" w:eastAsia="仿宋_GB2312" w:hAnsi="仿宋" w:cs="仿宋" w:hint="eastAsia"/>
                <w:b/>
                <w:sz w:val="24"/>
              </w:rPr>
              <w:t>重点工程：</w:t>
            </w:r>
            <w:r>
              <w:rPr>
                <w:rFonts w:ascii="仿宋_GB2312" w:eastAsia="仿宋_GB2312" w:hAnsi="仿宋" w:cs="仿宋" w:hint="eastAsia"/>
                <w:sz w:val="24"/>
              </w:rPr>
              <w:t>1.立德树人铸灵魂；2.优化布局促发展；3.深化改革提质量；4.强师兴教激活力；5.协同发展促均衡；6.开放融合拓格局；7.</w:t>
            </w:r>
            <w:r>
              <w:rPr>
                <w:rFonts w:ascii="仿宋_GB2312" w:eastAsia="仿宋_GB2312" w:hint="eastAsia"/>
                <w:sz w:val="24"/>
              </w:rPr>
              <w:t xml:space="preserve"> </w:t>
            </w:r>
            <w:r>
              <w:rPr>
                <w:rFonts w:ascii="仿宋_GB2312" w:eastAsia="仿宋_GB2312" w:hAnsi="仿宋" w:cs="仿宋" w:hint="eastAsia"/>
                <w:sz w:val="24"/>
              </w:rPr>
              <w:t xml:space="preserve">品牌建设显特色。 </w:t>
            </w:r>
          </w:p>
          <w:p w14:paraId="22063F7B" w14:textId="77777777" w:rsidR="004E2B7C" w:rsidRDefault="004E2B7C">
            <w:pPr>
              <w:pStyle w:val="a4"/>
              <w:spacing w:line="320" w:lineRule="exact"/>
              <w:jc w:val="both"/>
              <w:rPr>
                <w:rFonts w:ascii="仿宋_GB2312" w:eastAsia="仿宋_GB2312" w:hAnsi="仿宋" w:cs="仿宋"/>
                <w:b/>
                <w:sz w:val="24"/>
              </w:rPr>
            </w:pPr>
            <w:r>
              <w:rPr>
                <w:rFonts w:ascii="仿宋_GB2312" w:eastAsia="仿宋_GB2312" w:hAnsi="仿宋" w:cs="仿宋" w:hint="eastAsia"/>
                <w:b/>
                <w:sz w:val="24"/>
              </w:rPr>
              <w:t>主要举措：</w:t>
            </w:r>
            <w:r>
              <w:rPr>
                <w:rFonts w:ascii="仿宋_GB2312" w:eastAsia="仿宋_GB2312" w:hAnsi="仿宋" w:cs="仿宋" w:hint="eastAsia"/>
                <w:sz w:val="24"/>
              </w:rPr>
              <w:t>1.以实现学前教育普惠优质为目标，着力落实扩容挖潜，破解入园难题；2.推进一园一品，深化品牌建设；3.实行强师兴教，激发教师活力，实现协同发展，盘活优质资源；4.促进家园社共育，形成育人合力；5.以实现义务教育优质均衡，高中教育特色多元为目标，重点加强基础教育建设，围绕“文化德育工程、减负创优工程、强师兴教工程、协同发展工程、开放融合工程、品牌建设工程、智慧教育工程、民校提质工程”具体开展工作；6.以实现社区成人教育开放融合为目标，通过创新联合发展模式、构建多元课程体系、搭建教育资源平台的途径推动工作落实。</w:t>
            </w:r>
          </w:p>
        </w:tc>
      </w:tr>
      <w:tr w:rsidR="004E2B7C" w14:paraId="5C50F20F" w14:textId="77777777">
        <w:trPr>
          <w:cantSplit/>
          <w:trHeight w:val="3428"/>
        </w:trPr>
        <w:tc>
          <w:tcPr>
            <w:tcW w:w="352" w:type="pct"/>
            <w:vAlign w:val="center"/>
          </w:tcPr>
          <w:p w14:paraId="6931E38E" w14:textId="77777777" w:rsidR="004E2B7C" w:rsidRDefault="004E2B7C">
            <w:pPr>
              <w:spacing w:line="320" w:lineRule="exact"/>
              <w:jc w:val="center"/>
              <w:rPr>
                <w:rFonts w:ascii="仿宋_GB2312"/>
                <w:sz w:val="24"/>
              </w:rPr>
            </w:pPr>
            <w:r>
              <w:rPr>
                <w:rFonts w:ascii="仿宋_GB2312" w:hint="eastAsia"/>
                <w:sz w:val="24"/>
              </w:rPr>
              <w:lastRenderedPageBreak/>
              <w:t>南村教育指导中心</w:t>
            </w:r>
          </w:p>
        </w:tc>
        <w:tc>
          <w:tcPr>
            <w:tcW w:w="4647" w:type="pct"/>
            <w:vAlign w:val="center"/>
          </w:tcPr>
          <w:p w14:paraId="39F3B1AD" w14:textId="77777777" w:rsidR="004E2B7C" w:rsidRDefault="004E2B7C">
            <w:pPr>
              <w:pStyle w:val="a4"/>
              <w:spacing w:line="320" w:lineRule="exact"/>
              <w:jc w:val="both"/>
              <w:rPr>
                <w:rFonts w:ascii="仿宋_GB2312" w:eastAsia="仿宋_GB2312" w:hAnsi="仿宋" w:cs="仿宋"/>
                <w:b/>
                <w:bCs/>
                <w:sz w:val="24"/>
              </w:rPr>
            </w:pPr>
            <w:r>
              <w:rPr>
                <w:rFonts w:ascii="仿宋_GB2312" w:eastAsia="仿宋_GB2312" w:hAnsi="仿宋" w:cs="仿宋" w:hint="eastAsia"/>
                <w:bCs/>
                <w:sz w:val="24"/>
              </w:rPr>
              <w:t>以</w:t>
            </w:r>
            <w:r>
              <w:rPr>
                <w:rFonts w:ascii="仿宋_GB2312" w:eastAsia="仿宋_GB2312" w:hAnsi="仿宋" w:cs="仿宋" w:hint="eastAsia"/>
                <w:b/>
                <w:bCs/>
                <w:sz w:val="24"/>
              </w:rPr>
              <w:t>“打造优质均衡南村教育”</w:t>
            </w:r>
            <w:r>
              <w:rPr>
                <w:rFonts w:ascii="仿宋_GB2312" w:eastAsia="仿宋_GB2312" w:hAnsi="仿宋" w:cs="仿宋" w:hint="eastAsia"/>
                <w:bCs/>
                <w:sz w:val="24"/>
              </w:rPr>
              <w:t>为发展理念</w:t>
            </w:r>
          </w:p>
          <w:p w14:paraId="54F413B0" w14:textId="77777777" w:rsidR="004E2B7C" w:rsidRDefault="004E2B7C">
            <w:pPr>
              <w:pStyle w:val="a4"/>
              <w:spacing w:line="320" w:lineRule="exact"/>
              <w:jc w:val="both"/>
              <w:rPr>
                <w:rFonts w:ascii="仿宋_GB2312" w:eastAsia="仿宋_GB2312"/>
                <w:b/>
                <w:sz w:val="24"/>
              </w:rPr>
            </w:pPr>
            <w:r>
              <w:rPr>
                <w:rFonts w:ascii="仿宋_GB2312" w:eastAsia="仿宋_GB2312" w:hint="eastAsia"/>
                <w:b/>
                <w:sz w:val="24"/>
              </w:rPr>
              <w:t>重点工程：</w:t>
            </w:r>
            <w:r>
              <w:rPr>
                <w:rFonts w:ascii="仿宋_GB2312" w:eastAsia="仿宋_GB2312" w:hint="eastAsia"/>
                <w:bCs/>
                <w:sz w:val="24"/>
              </w:rPr>
              <w:t>1.文化德育工程；2.质量提升工程；3.强师兴教工程；4.协同发展工程；5.品牌建设工程；6.未来学校工程。</w:t>
            </w:r>
          </w:p>
          <w:p w14:paraId="32A4189C" w14:textId="77777777" w:rsidR="004E2B7C" w:rsidRDefault="004E2B7C">
            <w:pPr>
              <w:pStyle w:val="a4"/>
              <w:spacing w:line="320" w:lineRule="exact"/>
              <w:jc w:val="both"/>
              <w:rPr>
                <w:rFonts w:ascii="仿宋_GB2312" w:eastAsia="仿宋_GB2312"/>
                <w:b/>
                <w:sz w:val="24"/>
              </w:rPr>
            </w:pPr>
            <w:r>
              <w:rPr>
                <w:rFonts w:ascii="仿宋_GB2312" w:eastAsia="仿宋_GB2312" w:hint="eastAsia"/>
                <w:b/>
                <w:sz w:val="24"/>
              </w:rPr>
              <w:t>主要举措：</w:t>
            </w:r>
            <w:r>
              <w:rPr>
                <w:rFonts w:ascii="仿宋_GB2312" w:eastAsia="仿宋_GB2312" w:hint="eastAsia"/>
                <w:bCs/>
                <w:sz w:val="24"/>
              </w:rPr>
              <w:t>1.建构文化德育工作体系，打造文化德育特色课程，建立文化德育支持系统；2.打造课程改革新样态，提高课堂效率保质量，推进教科研一体化，健全质量评价监测体系；3.提升师德师风水平，创新教师培养模式，提升教师幸福感，树师资队伍标杆；4.探索片区学校联盟化办学模式，搭建家校社共育平台，探索中小幼教育链条式发展，推动公民办协同发展；5.坚持文化立校，开展综合素质教育；6.探索未来教育的实验样板学校，推动片区教育一体化管理，搭建智慧评价平台。</w:t>
            </w:r>
          </w:p>
        </w:tc>
      </w:tr>
      <w:tr w:rsidR="004E2B7C" w14:paraId="2C0EDA96" w14:textId="77777777">
        <w:trPr>
          <w:cantSplit/>
          <w:trHeight w:val="3694"/>
        </w:trPr>
        <w:tc>
          <w:tcPr>
            <w:tcW w:w="352" w:type="pct"/>
            <w:vAlign w:val="center"/>
          </w:tcPr>
          <w:p w14:paraId="28631E0A" w14:textId="77777777" w:rsidR="004E2B7C" w:rsidRDefault="004E2B7C">
            <w:pPr>
              <w:spacing w:line="320" w:lineRule="exact"/>
              <w:jc w:val="center"/>
              <w:rPr>
                <w:rFonts w:ascii="仿宋_GB2312"/>
                <w:sz w:val="24"/>
              </w:rPr>
            </w:pPr>
            <w:r>
              <w:rPr>
                <w:rFonts w:ascii="仿宋_GB2312" w:hint="eastAsia"/>
                <w:sz w:val="24"/>
              </w:rPr>
              <w:t>化龙教育指导中心</w:t>
            </w:r>
          </w:p>
        </w:tc>
        <w:tc>
          <w:tcPr>
            <w:tcW w:w="4647" w:type="pct"/>
            <w:vAlign w:val="center"/>
          </w:tcPr>
          <w:p w14:paraId="7D843162" w14:textId="77777777" w:rsidR="004E2B7C" w:rsidRDefault="004E2B7C">
            <w:pPr>
              <w:spacing w:line="320" w:lineRule="exact"/>
              <w:rPr>
                <w:rFonts w:ascii="仿宋_GB2312" w:hAnsi="黑体" w:cs="黑体"/>
                <w:bCs/>
                <w:sz w:val="24"/>
              </w:rPr>
            </w:pPr>
            <w:r>
              <w:rPr>
                <w:rFonts w:ascii="仿宋_GB2312" w:hAnsi="黑体" w:cs="黑体" w:hint="eastAsia"/>
                <w:sz w:val="24"/>
              </w:rPr>
              <w:t>以</w:t>
            </w:r>
            <w:r>
              <w:rPr>
                <w:rFonts w:ascii="仿宋_GB2312" w:hAnsi="黑体" w:cs="黑体" w:hint="eastAsia"/>
                <w:b/>
                <w:sz w:val="24"/>
              </w:rPr>
              <w:t>“灵动•生长”</w:t>
            </w:r>
            <w:r>
              <w:rPr>
                <w:rFonts w:ascii="仿宋_GB2312" w:hAnsi="黑体" w:cs="黑体" w:hint="eastAsia"/>
                <w:sz w:val="24"/>
              </w:rPr>
              <w:t>为发展理念</w:t>
            </w:r>
          </w:p>
          <w:p w14:paraId="53676EF1" w14:textId="77777777" w:rsidR="004E2B7C" w:rsidRDefault="004E2B7C">
            <w:pPr>
              <w:spacing w:line="320" w:lineRule="exact"/>
              <w:rPr>
                <w:rFonts w:ascii="仿宋_GB2312" w:hAnsi="黑体" w:cs="黑体"/>
                <w:b/>
                <w:bCs/>
                <w:sz w:val="24"/>
              </w:rPr>
            </w:pPr>
            <w:r>
              <w:rPr>
                <w:rFonts w:ascii="仿宋_GB2312" w:hAnsi="黑体" w:cs="黑体" w:hint="eastAsia"/>
                <w:b/>
                <w:bCs/>
                <w:sz w:val="24"/>
              </w:rPr>
              <w:t>重点工程：</w:t>
            </w:r>
            <w:r>
              <w:rPr>
                <w:rFonts w:ascii="仿宋_GB2312" w:hAnsi="黑体" w:cs="黑体" w:hint="eastAsia"/>
                <w:bCs/>
                <w:sz w:val="24"/>
              </w:rPr>
              <w:t>1.</w:t>
            </w:r>
            <w:r>
              <w:rPr>
                <w:rFonts w:ascii="仿宋_GB2312" w:hint="eastAsia"/>
                <w:bCs/>
                <w:sz w:val="24"/>
              </w:rPr>
              <w:t>学校规划建设工程；2.义务教育质量提升工程；3.民办教育提质促优工程；4.学生综合素养全面提升工程；5.“双领”“双名”强师建设工程；6.教育信息化提升工程。</w:t>
            </w:r>
          </w:p>
          <w:p w14:paraId="4217F495" w14:textId="77777777" w:rsidR="004E2B7C" w:rsidRDefault="004E2B7C">
            <w:pPr>
              <w:spacing w:line="320" w:lineRule="exact"/>
              <w:rPr>
                <w:rFonts w:ascii="仿宋_GB2312"/>
                <w:sz w:val="24"/>
              </w:rPr>
            </w:pPr>
            <w:r>
              <w:rPr>
                <w:rFonts w:ascii="仿宋_GB2312" w:hAnsi="黑体" w:cs="黑体" w:hint="eastAsia"/>
                <w:b/>
                <w:bCs/>
                <w:sz w:val="24"/>
              </w:rPr>
              <w:t>主要举措</w:t>
            </w:r>
            <w:r>
              <w:rPr>
                <w:rFonts w:ascii="仿宋_GB2312" w:hAnsi="黑体" w:cs="黑体" w:hint="eastAsia"/>
                <w:bCs/>
                <w:sz w:val="24"/>
              </w:rPr>
              <w:t>：</w:t>
            </w:r>
            <w:r>
              <w:rPr>
                <w:rFonts w:ascii="仿宋_GB2312" w:hint="eastAsia"/>
                <w:sz w:val="24"/>
              </w:rPr>
              <w:t>1.科学规划，优化教育资源配置；2.加大教育经费投入，改善片区办学条件；3.推行“名校+弱校”联盟，构建名师优课共享平台；4.深化公民办学校幼儿园“结对帮扶”和强化民办教师队伍建设；5.以课程为抓手，以科研为推动力，推进课程建设，强化课题研究；6.组建“双领”工作室，创建学习实践研究共同体；7.实施“精英计划”，组建“双名”工作室，培养本土化优秀教师队伍；8.加强数字校园建设，构建学科融合，提升智慧应用服务水平，促进智慧教育资源整合。</w:t>
            </w:r>
          </w:p>
        </w:tc>
      </w:tr>
    </w:tbl>
    <w:p w14:paraId="50E479E4" w14:textId="77777777" w:rsidR="004E2B7C" w:rsidRDefault="004E2B7C">
      <w:pPr>
        <w:spacing w:line="560" w:lineRule="exact"/>
        <w:outlineLvl w:val="0"/>
        <w:rPr>
          <w:rFonts w:ascii="黑体" w:eastAsia="黑体" w:hAnsi="黑体" w:cs="黑体" w:hint="eastAsia"/>
          <w:color w:val="000000"/>
          <w:szCs w:val="32"/>
        </w:rPr>
      </w:pPr>
      <w:r>
        <w:rPr>
          <w:rFonts w:ascii="仿宋_GB2312" w:hint="eastAsia"/>
          <w:color w:val="000000"/>
          <w:szCs w:val="32"/>
        </w:rPr>
        <w:br w:type="page"/>
      </w:r>
      <w:bookmarkStart w:id="172" w:name="_Toc1089481583"/>
      <w:bookmarkStart w:id="173" w:name="_Toc979687264"/>
      <w:bookmarkStart w:id="174" w:name="_Toc1279588665"/>
      <w:bookmarkStart w:id="175" w:name="_Toc14334"/>
      <w:r>
        <w:rPr>
          <w:rFonts w:ascii="黑体" w:eastAsia="黑体" w:hAnsi="黑体" w:cs="黑体" w:hint="eastAsia"/>
          <w:color w:val="000000"/>
          <w:szCs w:val="32"/>
        </w:rPr>
        <w:lastRenderedPageBreak/>
        <w:t>附件2</w:t>
      </w:r>
      <w:bookmarkEnd w:id="172"/>
      <w:bookmarkEnd w:id="173"/>
      <w:bookmarkEnd w:id="174"/>
      <w:bookmarkEnd w:id="175"/>
    </w:p>
    <w:p w14:paraId="68251204" w14:textId="77777777" w:rsidR="004E2B7C" w:rsidRDefault="004E2B7C">
      <w:pPr>
        <w:spacing w:line="560" w:lineRule="exact"/>
        <w:rPr>
          <w:rFonts w:ascii="仿宋_GB2312" w:hint="eastAsia"/>
          <w:color w:val="000000"/>
          <w:szCs w:val="32"/>
        </w:rPr>
      </w:pPr>
    </w:p>
    <w:p w14:paraId="71311CC2" w14:textId="77777777" w:rsidR="004E2B7C" w:rsidRDefault="004E2B7C">
      <w:pPr>
        <w:spacing w:line="560" w:lineRule="exact"/>
        <w:jc w:val="center"/>
        <w:rPr>
          <w:rFonts w:ascii="方正小标宋简体" w:eastAsia="方正小标宋简体" w:hAnsi="方正小标宋简体" w:cs="方正小标宋简体" w:hint="eastAsia"/>
          <w:color w:val="000000"/>
          <w:sz w:val="44"/>
          <w:szCs w:val="44"/>
        </w:rPr>
      </w:pPr>
      <w:r>
        <w:rPr>
          <w:rFonts w:ascii="方正小标宋简体" w:eastAsia="方正小标宋简体" w:hAnsi="方正小标宋简体" w:cs="方正小标宋简体" w:hint="eastAsia"/>
          <w:color w:val="000000"/>
          <w:sz w:val="44"/>
          <w:szCs w:val="44"/>
        </w:rPr>
        <w:t>番禺区教育事业发展“十四五”时期重点任务及重大项目</w:t>
      </w:r>
    </w:p>
    <w:p w14:paraId="0429419B" w14:textId="77777777" w:rsidR="004E2B7C" w:rsidRDefault="004E2B7C">
      <w:pPr>
        <w:spacing w:line="560" w:lineRule="exact"/>
        <w:rPr>
          <w:rFonts w:ascii="仿宋_GB2312" w:hint="eastAsia"/>
          <w:color w:val="000000"/>
          <w:szCs w:val="32"/>
        </w:rPr>
      </w:pP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8"/>
        <w:gridCol w:w="11797"/>
      </w:tblGrid>
      <w:tr w:rsidR="004E2B7C" w:rsidRPr="004E2B7C" w14:paraId="528A70B0" w14:textId="77777777" w:rsidTr="004E2B7C">
        <w:trPr>
          <w:tblHeader/>
        </w:trPr>
        <w:tc>
          <w:tcPr>
            <w:tcW w:w="372" w:type="pct"/>
            <w:shd w:val="clear" w:color="auto" w:fill="auto"/>
            <w:vAlign w:val="center"/>
          </w:tcPr>
          <w:p w14:paraId="3DC685FD" w14:textId="77777777" w:rsidR="004E2B7C" w:rsidRPr="004E2B7C" w:rsidRDefault="004E2B7C" w:rsidP="004E2B7C">
            <w:pPr>
              <w:widowControl/>
              <w:spacing w:line="500" w:lineRule="exact"/>
              <w:jc w:val="center"/>
              <w:rPr>
                <w:rFonts w:ascii="黑体" w:eastAsia="黑体" w:hAnsi="黑体" w:cs="黑体" w:hint="eastAsia"/>
                <w:sz w:val="28"/>
                <w:szCs w:val="28"/>
              </w:rPr>
            </w:pPr>
            <w:r w:rsidRPr="004E2B7C">
              <w:rPr>
                <w:rFonts w:ascii="黑体" w:eastAsia="黑体" w:hAnsi="黑体" w:cs="黑体" w:hint="eastAsia"/>
                <w:sz w:val="28"/>
                <w:szCs w:val="28"/>
              </w:rPr>
              <w:t>序号</w:t>
            </w:r>
          </w:p>
        </w:tc>
        <w:tc>
          <w:tcPr>
            <w:tcW w:w="4627" w:type="pct"/>
            <w:shd w:val="clear" w:color="auto" w:fill="auto"/>
            <w:vAlign w:val="center"/>
          </w:tcPr>
          <w:p w14:paraId="040F1AF9" w14:textId="77777777" w:rsidR="004E2B7C" w:rsidRPr="004E2B7C" w:rsidRDefault="004E2B7C" w:rsidP="004E2B7C">
            <w:pPr>
              <w:widowControl/>
              <w:spacing w:line="500" w:lineRule="exact"/>
              <w:jc w:val="center"/>
              <w:rPr>
                <w:rFonts w:ascii="黑体" w:eastAsia="黑体" w:hAnsi="黑体" w:cs="黑体" w:hint="eastAsia"/>
                <w:sz w:val="28"/>
                <w:szCs w:val="28"/>
              </w:rPr>
            </w:pPr>
            <w:r w:rsidRPr="004E2B7C">
              <w:rPr>
                <w:rFonts w:ascii="黑体" w:eastAsia="黑体" w:hAnsi="黑体" w:cs="黑体" w:hint="eastAsia"/>
                <w:sz w:val="28"/>
                <w:szCs w:val="28"/>
              </w:rPr>
              <w:t>重点任务</w:t>
            </w:r>
          </w:p>
        </w:tc>
      </w:tr>
      <w:tr w:rsidR="004E2B7C" w:rsidRPr="004E2B7C" w14:paraId="20235314" w14:textId="77777777" w:rsidTr="004E2B7C">
        <w:tc>
          <w:tcPr>
            <w:tcW w:w="372" w:type="pct"/>
            <w:shd w:val="clear" w:color="auto" w:fill="auto"/>
            <w:vAlign w:val="center"/>
          </w:tcPr>
          <w:p w14:paraId="2411EC8D"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w:t>
            </w:r>
          </w:p>
        </w:tc>
        <w:tc>
          <w:tcPr>
            <w:tcW w:w="4627" w:type="pct"/>
            <w:shd w:val="clear" w:color="auto" w:fill="auto"/>
            <w:vAlign w:val="center"/>
          </w:tcPr>
          <w:p w14:paraId="5EACA42E"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积极创建国家义务教育优质均衡发展区。</w:t>
            </w:r>
          </w:p>
        </w:tc>
      </w:tr>
      <w:tr w:rsidR="004E2B7C" w:rsidRPr="004E2B7C" w14:paraId="4CA931C6" w14:textId="77777777" w:rsidTr="004E2B7C">
        <w:tc>
          <w:tcPr>
            <w:tcW w:w="372" w:type="pct"/>
            <w:shd w:val="clear" w:color="auto" w:fill="auto"/>
            <w:vAlign w:val="center"/>
          </w:tcPr>
          <w:p w14:paraId="0636DBFE"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w:t>
            </w:r>
          </w:p>
        </w:tc>
        <w:tc>
          <w:tcPr>
            <w:tcW w:w="4627" w:type="pct"/>
            <w:shd w:val="clear" w:color="auto" w:fill="auto"/>
            <w:vAlign w:val="center"/>
          </w:tcPr>
          <w:p w14:paraId="01A25BD2"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实施学前教育师资队伍建设系列工程。</w:t>
            </w:r>
          </w:p>
        </w:tc>
      </w:tr>
      <w:tr w:rsidR="004E2B7C" w:rsidRPr="004E2B7C" w14:paraId="20E2B550" w14:textId="77777777" w:rsidTr="004E2B7C">
        <w:tc>
          <w:tcPr>
            <w:tcW w:w="372" w:type="pct"/>
            <w:shd w:val="clear" w:color="auto" w:fill="auto"/>
            <w:vAlign w:val="center"/>
          </w:tcPr>
          <w:p w14:paraId="11E75266"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3</w:t>
            </w:r>
          </w:p>
        </w:tc>
        <w:tc>
          <w:tcPr>
            <w:tcW w:w="4627" w:type="pct"/>
            <w:shd w:val="clear" w:color="auto" w:fill="auto"/>
            <w:vAlign w:val="center"/>
          </w:tcPr>
          <w:p w14:paraId="7250CD59"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打造2～3所在全市领先的高品质品牌初中学校。</w:t>
            </w:r>
          </w:p>
        </w:tc>
      </w:tr>
      <w:tr w:rsidR="004E2B7C" w:rsidRPr="004E2B7C" w14:paraId="129A1434" w14:textId="77777777" w:rsidTr="004E2B7C">
        <w:tc>
          <w:tcPr>
            <w:tcW w:w="372" w:type="pct"/>
            <w:shd w:val="clear" w:color="auto" w:fill="auto"/>
            <w:vAlign w:val="center"/>
          </w:tcPr>
          <w:p w14:paraId="345279C8"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4</w:t>
            </w:r>
          </w:p>
        </w:tc>
        <w:tc>
          <w:tcPr>
            <w:tcW w:w="4627" w:type="pct"/>
            <w:shd w:val="clear" w:color="auto" w:fill="auto"/>
            <w:vAlign w:val="center"/>
          </w:tcPr>
          <w:p w14:paraId="5B16BE94"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各片区至少建成1所优质品牌初中学校。</w:t>
            </w:r>
          </w:p>
        </w:tc>
      </w:tr>
      <w:tr w:rsidR="004E2B7C" w:rsidRPr="004E2B7C" w14:paraId="2ACD2979" w14:textId="77777777" w:rsidTr="004E2B7C">
        <w:tc>
          <w:tcPr>
            <w:tcW w:w="372" w:type="pct"/>
            <w:shd w:val="clear" w:color="auto" w:fill="auto"/>
            <w:vAlign w:val="center"/>
          </w:tcPr>
          <w:p w14:paraId="3C05B99A"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5</w:t>
            </w:r>
          </w:p>
        </w:tc>
        <w:tc>
          <w:tcPr>
            <w:tcW w:w="4627" w:type="pct"/>
            <w:shd w:val="clear" w:color="auto" w:fill="auto"/>
            <w:vAlign w:val="center"/>
          </w:tcPr>
          <w:p w14:paraId="42AE10F4"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打造1～2所国内一流、省内领先的卓越高中。</w:t>
            </w:r>
          </w:p>
        </w:tc>
      </w:tr>
      <w:tr w:rsidR="004E2B7C" w:rsidRPr="004E2B7C" w14:paraId="0C9559FA" w14:textId="77777777" w:rsidTr="004E2B7C">
        <w:tc>
          <w:tcPr>
            <w:tcW w:w="372" w:type="pct"/>
            <w:shd w:val="clear" w:color="auto" w:fill="auto"/>
            <w:vAlign w:val="center"/>
          </w:tcPr>
          <w:p w14:paraId="1BBCCFB7"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6</w:t>
            </w:r>
          </w:p>
        </w:tc>
        <w:tc>
          <w:tcPr>
            <w:tcW w:w="4627" w:type="pct"/>
            <w:shd w:val="clear" w:color="auto" w:fill="auto"/>
            <w:vAlign w:val="center"/>
          </w:tcPr>
          <w:p w14:paraId="35796145"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突破高中教育管理体制，推动镇（街）属高中全部收归区属。</w:t>
            </w:r>
          </w:p>
        </w:tc>
      </w:tr>
      <w:tr w:rsidR="004E2B7C" w:rsidRPr="004E2B7C" w14:paraId="5BE24B32" w14:textId="77777777" w:rsidTr="004E2B7C">
        <w:tc>
          <w:tcPr>
            <w:tcW w:w="372" w:type="pct"/>
            <w:shd w:val="clear" w:color="auto" w:fill="auto"/>
            <w:vAlign w:val="center"/>
          </w:tcPr>
          <w:p w14:paraId="58A9915A"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7</w:t>
            </w:r>
          </w:p>
        </w:tc>
        <w:tc>
          <w:tcPr>
            <w:tcW w:w="4627" w:type="pct"/>
            <w:shd w:val="clear" w:color="auto" w:fill="auto"/>
            <w:vAlign w:val="center"/>
          </w:tcPr>
          <w:p w14:paraId="7C3A191C"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职业教育建设区域特色品牌专业群。</w:t>
            </w:r>
          </w:p>
        </w:tc>
      </w:tr>
      <w:tr w:rsidR="004E2B7C" w:rsidRPr="004E2B7C" w14:paraId="423C6E99" w14:textId="77777777" w:rsidTr="004E2B7C">
        <w:tc>
          <w:tcPr>
            <w:tcW w:w="372" w:type="pct"/>
            <w:shd w:val="clear" w:color="auto" w:fill="auto"/>
            <w:vAlign w:val="center"/>
          </w:tcPr>
          <w:p w14:paraId="136B991B"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8</w:t>
            </w:r>
          </w:p>
        </w:tc>
        <w:tc>
          <w:tcPr>
            <w:tcW w:w="4627" w:type="pct"/>
            <w:shd w:val="clear" w:color="auto" w:fill="auto"/>
            <w:vAlign w:val="center"/>
          </w:tcPr>
          <w:p w14:paraId="21DD4F6B"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区职教集团争创省级示范性职教集团。</w:t>
            </w:r>
          </w:p>
        </w:tc>
      </w:tr>
      <w:tr w:rsidR="004E2B7C" w:rsidRPr="004E2B7C" w14:paraId="29B8CE50" w14:textId="77777777" w:rsidTr="004E2B7C">
        <w:tc>
          <w:tcPr>
            <w:tcW w:w="372" w:type="pct"/>
            <w:shd w:val="clear" w:color="auto" w:fill="auto"/>
            <w:vAlign w:val="center"/>
          </w:tcPr>
          <w:p w14:paraId="236BBC4D"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9</w:t>
            </w:r>
          </w:p>
        </w:tc>
        <w:tc>
          <w:tcPr>
            <w:tcW w:w="4627" w:type="pct"/>
            <w:shd w:val="clear" w:color="auto" w:fill="auto"/>
            <w:vAlign w:val="center"/>
          </w:tcPr>
          <w:p w14:paraId="77238BD8"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番禺职业技术学校建成省“高水平中职学校”。</w:t>
            </w:r>
          </w:p>
        </w:tc>
      </w:tr>
      <w:tr w:rsidR="004E2B7C" w:rsidRPr="004E2B7C" w14:paraId="112C8A2D" w14:textId="77777777" w:rsidTr="004E2B7C">
        <w:tc>
          <w:tcPr>
            <w:tcW w:w="372" w:type="pct"/>
            <w:shd w:val="clear" w:color="auto" w:fill="auto"/>
            <w:vAlign w:val="center"/>
          </w:tcPr>
          <w:p w14:paraId="31CF9BD2"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10</w:t>
            </w:r>
          </w:p>
        </w:tc>
        <w:tc>
          <w:tcPr>
            <w:tcW w:w="4627" w:type="pct"/>
            <w:shd w:val="clear" w:color="auto" w:fill="auto"/>
            <w:vAlign w:val="center"/>
          </w:tcPr>
          <w:p w14:paraId="04998914"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打造1～2个在全国知名、全省具有较大影响力的镇（街）教育品牌。</w:t>
            </w:r>
          </w:p>
        </w:tc>
      </w:tr>
      <w:tr w:rsidR="004E2B7C" w:rsidRPr="004E2B7C" w14:paraId="2E871445" w14:textId="77777777" w:rsidTr="004E2B7C">
        <w:tc>
          <w:tcPr>
            <w:tcW w:w="372" w:type="pct"/>
            <w:shd w:val="clear" w:color="auto" w:fill="auto"/>
            <w:vAlign w:val="center"/>
          </w:tcPr>
          <w:p w14:paraId="74BDA5E1"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11</w:t>
            </w:r>
          </w:p>
        </w:tc>
        <w:tc>
          <w:tcPr>
            <w:tcW w:w="4627" w:type="pct"/>
            <w:shd w:val="clear" w:color="auto" w:fill="auto"/>
            <w:vAlign w:val="center"/>
          </w:tcPr>
          <w:p w14:paraId="2A919829"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树立一批岭南特色的示范幼儿园。</w:t>
            </w:r>
          </w:p>
        </w:tc>
      </w:tr>
      <w:tr w:rsidR="004E2B7C" w:rsidRPr="004E2B7C" w14:paraId="61680FFF" w14:textId="77777777" w:rsidTr="004E2B7C">
        <w:tc>
          <w:tcPr>
            <w:tcW w:w="372" w:type="pct"/>
            <w:shd w:val="clear" w:color="auto" w:fill="auto"/>
            <w:vAlign w:val="center"/>
          </w:tcPr>
          <w:p w14:paraId="0F215776"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lastRenderedPageBreak/>
              <w:t>12</w:t>
            </w:r>
          </w:p>
        </w:tc>
        <w:tc>
          <w:tcPr>
            <w:tcW w:w="4627" w:type="pct"/>
            <w:shd w:val="clear" w:color="auto" w:fill="auto"/>
            <w:vAlign w:val="center"/>
          </w:tcPr>
          <w:p w14:paraId="0D250CC8"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建立岭南特色课程资源库，形成区域性的、面向不同层次学校、幼儿园的岭南特色课程建设指南。</w:t>
            </w:r>
          </w:p>
        </w:tc>
      </w:tr>
      <w:tr w:rsidR="004E2B7C" w:rsidRPr="004E2B7C" w14:paraId="29E2D9B5" w14:textId="77777777" w:rsidTr="004E2B7C">
        <w:tc>
          <w:tcPr>
            <w:tcW w:w="372" w:type="pct"/>
            <w:shd w:val="clear" w:color="auto" w:fill="auto"/>
            <w:vAlign w:val="center"/>
          </w:tcPr>
          <w:p w14:paraId="703AA471"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13</w:t>
            </w:r>
          </w:p>
        </w:tc>
        <w:tc>
          <w:tcPr>
            <w:tcW w:w="4627" w:type="pct"/>
            <w:shd w:val="clear" w:color="auto" w:fill="auto"/>
            <w:vAlign w:val="center"/>
          </w:tcPr>
          <w:p w14:paraId="14C37817"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打造“书记、校长第一课”区域品牌课程。</w:t>
            </w:r>
          </w:p>
        </w:tc>
      </w:tr>
      <w:tr w:rsidR="004E2B7C" w:rsidRPr="004E2B7C" w14:paraId="095CE445" w14:textId="77777777" w:rsidTr="004E2B7C">
        <w:tc>
          <w:tcPr>
            <w:tcW w:w="372" w:type="pct"/>
            <w:shd w:val="clear" w:color="auto" w:fill="auto"/>
            <w:vAlign w:val="center"/>
          </w:tcPr>
          <w:p w14:paraId="7EC6B5F0"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14</w:t>
            </w:r>
          </w:p>
        </w:tc>
        <w:tc>
          <w:tcPr>
            <w:tcW w:w="4627" w:type="pct"/>
            <w:shd w:val="clear" w:color="auto" w:fill="auto"/>
            <w:vAlign w:val="center"/>
          </w:tcPr>
          <w:p w14:paraId="283EB971"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建立2所及以上中华优秀传统文化艺术特色学校。</w:t>
            </w:r>
          </w:p>
        </w:tc>
      </w:tr>
      <w:tr w:rsidR="004E2B7C" w:rsidRPr="004E2B7C" w14:paraId="36512BB5" w14:textId="77777777" w:rsidTr="004E2B7C">
        <w:tc>
          <w:tcPr>
            <w:tcW w:w="372" w:type="pct"/>
            <w:shd w:val="clear" w:color="auto" w:fill="auto"/>
            <w:vAlign w:val="center"/>
          </w:tcPr>
          <w:p w14:paraId="4BADD1BB"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15</w:t>
            </w:r>
          </w:p>
        </w:tc>
        <w:tc>
          <w:tcPr>
            <w:tcW w:w="4627" w:type="pct"/>
            <w:shd w:val="clear" w:color="auto" w:fill="auto"/>
            <w:vAlign w:val="center"/>
          </w:tcPr>
          <w:p w14:paraId="6653C248"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创建50所区级劳动实践教育特色学校。</w:t>
            </w:r>
          </w:p>
        </w:tc>
      </w:tr>
      <w:tr w:rsidR="004E2B7C" w:rsidRPr="004E2B7C" w14:paraId="4DEC5EB0" w14:textId="77777777" w:rsidTr="004E2B7C">
        <w:tc>
          <w:tcPr>
            <w:tcW w:w="372" w:type="pct"/>
            <w:shd w:val="clear" w:color="auto" w:fill="auto"/>
            <w:vAlign w:val="center"/>
          </w:tcPr>
          <w:p w14:paraId="630699A4"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16</w:t>
            </w:r>
          </w:p>
        </w:tc>
        <w:tc>
          <w:tcPr>
            <w:tcW w:w="4627" w:type="pct"/>
            <w:shd w:val="clear" w:color="auto" w:fill="auto"/>
            <w:vAlign w:val="center"/>
          </w:tcPr>
          <w:p w14:paraId="0F410F15"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打造我区“幸福教育”品牌。</w:t>
            </w:r>
          </w:p>
        </w:tc>
      </w:tr>
      <w:tr w:rsidR="004E2B7C" w:rsidRPr="004E2B7C" w14:paraId="276E827E" w14:textId="77777777" w:rsidTr="004E2B7C">
        <w:tc>
          <w:tcPr>
            <w:tcW w:w="372" w:type="pct"/>
            <w:shd w:val="clear" w:color="auto" w:fill="auto"/>
            <w:vAlign w:val="center"/>
          </w:tcPr>
          <w:p w14:paraId="7FF95967"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17</w:t>
            </w:r>
          </w:p>
        </w:tc>
        <w:tc>
          <w:tcPr>
            <w:tcW w:w="4627" w:type="pct"/>
            <w:shd w:val="clear" w:color="auto" w:fill="auto"/>
            <w:vAlign w:val="center"/>
          </w:tcPr>
          <w:p w14:paraId="1BE7D1F6"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开展我区“名师大讲堂”系列工作。</w:t>
            </w:r>
          </w:p>
        </w:tc>
      </w:tr>
      <w:tr w:rsidR="004E2B7C" w:rsidRPr="004E2B7C" w14:paraId="1329DD65" w14:textId="77777777" w:rsidTr="004E2B7C">
        <w:tc>
          <w:tcPr>
            <w:tcW w:w="372" w:type="pct"/>
            <w:shd w:val="clear" w:color="auto" w:fill="auto"/>
            <w:vAlign w:val="center"/>
          </w:tcPr>
          <w:p w14:paraId="5590D11F"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18</w:t>
            </w:r>
          </w:p>
        </w:tc>
        <w:tc>
          <w:tcPr>
            <w:tcW w:w="4627" w:type="pct"/>
            <w:shd w:val="clear" w:color="auto" w:fill="auto"/>
            <w:vAlign w:val="center"/>
          </w:tcPr>
          <w:p w14:paraId="2FB378B1"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培养50名80后青年校长、100名85后青年干部。</w:t>
            </w:r>
          </w:p>
        </w:tc>
      </w:tr>
      <w:tr w:rsidR="004E2B7C" w:rsidRPr="004E2B7C" w14:paraId="1C1B5BEB" w14:textId="77777777" w:rsidTr="004E2B7C">
        <w:tc>
          <w:tcPr>
            <w:tcW w:w="372" w:type="pct"/>
            <w:shd w:val="clear" w:color="auto" w:fill="auto"/>
            <w:vAlign w:val="center"/>
          </w:tcPr>
          <w:p w14:paraId="481F1CEB"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19</w:t>
            </w:r>
          </w:p>
        </w:tc>
        <w:tc>
          <w:tcPr>
            <w:tcW w:w="4627" w:type="pct"/>
            <w:shd w:val="clear" w:color="auto" w:fill="auto"/>
            <w:vAlign w:val="center"/>
          </w:tcPr>
          <w:p w14:paraId="6CA54A2C"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实施学校信息化“达标工程”“创新应用工程”。</w:t>
            </w:r>
          </w:p>
        </w:tc>
      </w:tr>
      <w:tr w:rsidR="004E2B7C" w:rsidRPr="004E2B7C" w14:paraId="0993F684" w14:textId="77777777" w:rsidTr="004E2B7C">
        <w:tc>
          <w:tcPr>
            <w:tcW w:w="372" w:type="pct"/>
            <w:shd w:val="clear" w:color="auto" w:fill="auto"/>
            <w:vAlign w:val="center"/>
          </w:tcPr>
          <w:p w14:paraId="60A2096E"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20</w:t>
            </w:r>
          </w:p>
        </w:tc>
        <w:tc>
          <w:tcPr>
            <w:tcW w:w="4627" w:type="pct"/>
            <w:shd w:val="clear" w:color="auto" w:fill="auto"/>
            <w:vAlign w:val="center"/>
          </w:tcPr>
          <w:p w14:paraId="4350B09B"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打造2～3个信息化领军人才工作室、20个信息化专家工作室。</w:t>
            </w:r>
          </w:p>
        </w:tc>
      </w:tr>
      <w:tr w:rsidR="004E2B7C" w:rsidRPr="004E2B7C" w14:paraId="045FFB71" w14:textId="77777777" w:rsidTr="004E2B7C">
        <w:tc>
          <w:tcPr>
            <w:tcW w:w="372" w:type="pct"/>
            <w:shd w:val="clear" w:color="auto" w:fill="auto"/>
            <w:vAlign w:val="center"/>
          </w:tcPr>
          <w:p w14:paraId="0C64CF04"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21</w:t>
            </w:r>
          </w:p>
        </w:tc>
        <w:tc>
          <w:tcPr>
            <w:tcW w:w="4627" w:type="pct"/>
            <w:shd w:val="clear" w:color="auto" w:fill="auto"/>
            <w:vAlign w:val="center"/>
          </w:tcPr>
          <w:p w14:paraId="1266949D"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在全区开展人工智能教育课程实验。</w:t>
            </w:r>
          </w:p>
        </w:tc>
      </w:tr>
      <w:tr w:rsidR="004E2B7C" w:rsidRPr="004E2B7C" w14:paraId="4DA3B3D8" w14:textId="77777777" w:rsidTr="004E2B7C">
        <w:tc>
          <w:tcPr>
            <w:tcW w:w="372" w:type="pct"/>
            <w:shd w:val="clear" w:color="auto" w:fill="auto"/>
            <w:vAlign w:val="center"/>
          </w:tcPr>
          <w:p w14:paraId="713DDE90"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22</w:t>
            </w:r>
          </w:p>
        </w:tc>
        <w:tc>
          <w:tcPr>
            <w:tcW w:w="4627" w:type="pct"/>
            <w:shd w:val="clear" w:color="auto" w:fill="auto"/>
            <w:vAlign w:val="center"/>
          </w:tcPr>
          <w:p w14:paraId="6D902336"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深化教育评价改革，推进学生评价、教师评价和学校评价改革。</w:t>
            </w:r>
          </w:p>
        </w:tc>
      </w:tr>
      <w:tr w:rsidR="004E2B7C" w:rsidRPr="004E2B7C" w14:paraId="6DFFF698" w14:textId="77777777" w:rsidTr="004E2B7C">
        <w:tc>
          <w:tcPr>
            <w:tcW w:w="372" w:type="pct"/>
            <w:shd w:val="clear" w:color="auto" w:fill="auto"/>
            <w:vAlign w:val="center"/>
          </w:tcPr>
          <w:p w14:paraId="1C374E98"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23</w:t>
            </w:r>
          </w:p>
        </w:tc>
        <w:tc>
          <w:tcPr>
            <w:tcW w:w="4627" w:type="pct"/>
            <w:shd w:val="clear" w:color="auto" w:fill="auto"/>
            <w:vAlign w:val="center"/>
          </w:tcPr>
          <w:p w14:paraId="10CEF0FE"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力求将仲元中学和番禺中学集团打造成全国具有影响力的教育集团。</w:t>
            </w:r>
          </w:p>
        </w:tc>
      </w:tr>
      <w:tr w:rsidR="004E2B7C" w:rsidRPr="004E2B7C" w14:paraId="572EE60E" w14:textId="77777777" w:rsidTr="004E2B7C">
        <w:tc>
          <w:tcPr>
            <w:tcW w:w="372" w:type="pct"/>
            <w:shd w:val="clear" w:color="auto" w:fill="auto"/>
            <w:vAlign w:val="center"/>
          </w:tcPr>
          <w:p w14:paraId="0FA41983"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24</w:t>
            </w:r>
          </w:p>
        </w:tc>
        <w:tc>
          <w:tcPr>
            <w:tcW w:w="4627" w:type="pct"/>
            <w:shd w:val="clear" w:color="auto" w:fill="auto"/>
            <w:vAlign w:val="center"/>
          </w:tcPr>
          <w:p w14:paraId="25736679"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加快组建中小学教育集团，逐步实现全区中小学校学区化、集团化办学覆盖达30%以上的目标。</w:t>
            </w:r>
          </w:p>
        </w:tc>
      </w:tr>
      <w:tr w:rsidR="004E2B7C" w:rsidRPr="004E2B7C" w14:paraId="47B25BDD" w14:textId="77777777" w:rsidTr="004E2B7C">
        <w:tc>
          <w:tcPr>
            <w:tcW w:w="372" w:type="pct"/>
            <w:shd w:val="clear" w:color="auto" w:fill="auto"/>
            <w:vAlign w:val="center"/>
          </w:tcPr>
          <w:p w14:paraId="3D3C8678"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t>25</w:t>
            </w:r>
          </w:p>
        </w:tc>
        <w:tc>
          <w:tcPr>
            <w:tcW w:w="4627" w:type="pct"/>
            <w:shd w:val="clear" w:color="auto" w:fill="auto"/>
            <w:vAlign w:val="center"/>
          </w:tcPr>
          <w:p w14:paraId="55FF8C33"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实施特殊教育（融合）教育师资队伍建设系列工程。</w:t>
            </w:r>
          </w:p>
        </w:tc>
      </w:tr>
      <w:tr w:rsidR="004E2B7C" w:rsidRPr="004E2B7C" w14:paraId="38B2B37E" w14:textId="77777777" w:rsidTr="004E2B7C">
        <w:tc>
          <w:tcPr>
            <w:tcW w:w="372" w:type="pct"/>
            <w:shd w:val="clear" w:color="auto" w:fill="auto"/>
            <w:vAlign w:val="center"/>
          </w:tcPr>
          <w:p w14:paraId="207B173C" w14:textId="77777777" w:rsidR="004E2B7C" w:rsidRPr="004E2B7C" w:rsidRDefault="004E2B7C" w:rsidP="004E2B7C">
            <w:pPr>
              <w:widowControl/>
              <w:spacing w:line="500" w:lineRule="exact"/>
              <w:jc w:val="center"/>
              <w:rPr>
                <w:rFonts w:ascii="仿宋_GB2312" w:hAnsi="仿宋_GB2312" w:cs="仿宋_GB2312" w:hint="eastAsia"/>
                <w:sz w:val="28"/>
                <w:szCs w:val="28"/>
              </w:rPr>
            </w:pPr>
            <w:r w:rsidRPr="004E2B7C">
              <w:rPr>
                <w:rFonts w:ascii="仿宋_GB2312" w:hAnsi="仿宋_GB2312" w:cs="仿宋_GB2312" w:hint="eastAsia"/>
                <w:sz w:val="28"/>
                <w:szCs w:val="28"/>
              </w:rPr>
              <w:lastRenderedPageBreak/>
              <w:t>26</w:t>
            </w:r>
          </w:p>
        </w:tc>
        <w:tc>
          <w:tcPr>
            <w:tcW w:w="4627" w:type="pct"/>
            <w:shd w:val="clear" w:color="auto" w:fill="auto"/>
            <w:vAlign w:val="center"/>
          </w:tcPr>
          <w:p w14:paraId="2D372C7E" w14:textId="77777777" w:rsidR="004E2B7C" w:rsidRPr="004E2B7C" w:rsidRDefault="004E2B7C" w:rsidP="004E2B7C">
            <w:pPr>
              <w:widowControl/>
              <w:spacing w:line="500" w:lineRule="exact"/>
              <w:jc w:val="left"/>
              <w:rPr>
                <w:rFonts w:ascii="仿宋_GB2312" w:hAnsi="仿宋_GB2312" w:cs="仿宋_GB2312" w:hint="eastAsia"/>
                <w:sz w:val="28"/>
                <w:szCs w:val="28"/>
              </w:rPr>
            </w:pPr>
            <w:r w:rsidRPr="004E2B7C">
              <w:rPr>
                <w:rFonts w:ascii="仿宋_GB2312" w:hAnsi="仿宋_GB2312" w:cs="仿宋_GB2312" w:hint="eastAsia"/>
                <w:sz w:val="28"/>
                <w:szCs w:val="28"/>
              </w:rPr>
              <w:t>建设以优质园为核心的幼教集团或学区联盟，到2025年，办好10个幼教集团。</w:t>
            </w:r>
          </w:p>
        </w:tc>
      </w:tr>
    </w:tbl>
    <w:p w14:paraId="3A9CBAD2" w14:textId="77777777" w:rsidR="004E2B7C" w:rsidRDefault="004E2B7C">
      <w:pPr>
        <w:rPr>
          <w:rFonts w:ascii="仿宋_GB2312" w:hint="eastAsia"/>
          <w:color w:val="000000"/>
          <w:szCs w:val="32"/>
        </w:rPr>
      </w:pPr>
      <w:r>
        <w:rPr>
          <w:rFonts w:ascii="仿宋_GB2312" w:hint="eastAsia"/>
          <w:color w:val="000000"/>
          <w:szCs w:val="32"/>
        </w:rPr>
        <w:br w:type="page"/>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
        <w:gridCol w:w="11794"/>
      </w:tblGrid>
      <w:tr w:rsidR="004E2B7C" w14:paraId="5FAE1B94" w14:textId="77777777">
        <w:tc>
          <w:tcPr>
            <w:tcW w:w="373" w:type="pct"/>
            <w:vAlign w:val="center"/>
          </w:tcPr>
          <w:p w14:paraId="29B7E029" w14:textId="77777777" w:rsidR="004E2B7C" w:rsidRDefault="004E2B7C">
            <w:pPr>
              <w:widowControl/>
              <w:spacing w:line="500" w:lineRule="exact"/>
              <w:jc w:val="center"/>
              <w:rPr>
                <w:rFonts w:ascii="黑体" w:eastAsia="黑体" w:hAnsi="黑体" w:cs="黑体" w:hint="eastAsia"/>
                <w:sz w:val="28"/>
                <w:szCs w:val="28"/>
              </w:rPr>
            </w:pPr>
            <w:r>
              <w:rPr>
                <w:rFonts w:ascii="黑体" w:eastAsia="黑体" w:hAnsi="黑体" w:cs="黑体" w:hint="eastAsia"/>
                <w:sz w:val="28"/>
                <w:szCs w:val="28"/>
              </w:rPr>
              <w:lastRenderedPageBreak/>
              <w:t>序号</w:t>
            </w:r>
          </w:p>
        </w:tc>
        <w:tc>
          <w:tcPr>
            <w:tcW w:w="4626" w:type="pct"/>
            <w:vAlign w:val="center"/>
          </w:tcPr>
          <w:p w14:paraId="0E1F3E85" w14:textId="77777777" w:rsidR="004E2B7C" w:rsidRDefault="004E2B7C">
            <w:pPr>
              <w:widowControl/>
              <w:spacing w:line="500" w:lineRule="exact"/>
              <w:jc w:val="center"/>
              <w:rPr>
                <w:rFonts w:ascii="黑体" w:eastAsia="黑体" w:hAnsi="黑体" w:cs="黑体" w:hint="eastAsia"/>
                <w:sz w:val="28"/>
                <w:szCs w:val="28"/>
              </w:rPr>
            </w:pPr>
            <w:r>
              <w:rPr>
                <w:rFonts w:ascii="黑体" w:eastAsia="黑体" w:hAnsi="黑体" w:cs="黑体" w:hint="eastAsia"/>
                <w:sz w:val="28"/>
                <w:szCs w:val="28"/>
              </w:rPr>
              <w:t>重大项目</w:t>
            </w:r>
          </w:p>
        </w:tc>
      </w:tr>
      <w:tr w:rsidR="004E2B7C" w14:paraId="7A648983" w14:textId="77777777">
        <w:tc>
          <w:tcPr>
            <w:tcW w:w="373" w:type="pct"/>
            <w:vAlign w:val="center"/>
          </w:tcPr>
          <w:p w14:paraId="3564DD80"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1</w:t>
            </w:r>
          </w:p>
        </w:tc>
        <w:tc>
          <w:tcPr>
            <w:tcW w:w="4626" w:type="pct"/>
            <w:vAlign w:val="center"/>
          </w:tcPr>
          <w:p w14:paraId="79923E14"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新增学前教育学位20000个、义务教育学位42000个、高中教育学位3000个。</w:t>
            </w:r>
          </w:p>
        </w:tc>
      </w:tr>
      <w:tr w:rsidR="004E2B7C" w14:paraId="04B3CBBC" w14:textId="77777777">
        <w:tc>
          <w:tcPr>
            <w:tcW w:w="373" w:type="pct"/>
            <w:vAlign w:val="center"/>
          </w:tcPr>
          <w:p w14:paraId="7DFC575A"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2</w:t>
            </w:r>
          </w:p>
        </w:tc>
        <w:tc>
          <w:tcPr>
            <w:tcW w:w="4626" w:type="pct"/>
            <w:vAlign w:val="center"/>
          </w:tcPr>
          <w:p w14:paraId="54B02622"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建设以太全光网与5G网无缝连接的基础网络。</w:t>
            </w:r>
          </w:p>
        </w:tc>
      </w:tr>
      <w:tr w:rsidR="004E2B7C" w14:paraId="0C2183CA" w14:textId="77777777">
        <w:tc>
          <w:tcPr>
            <w:tcW w:w="373" w:type="pct"/>
            <w:vAlign w:val="center"/>
          </w:tcPr>
          <w:p w14:paraId="009B9590"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3</w:t>
            </w:r>
          </w:p>
        </w:tc>
        <w:tc>
          <w:tcPr>
            <w:tcW w:w="4626" w:type="pct"/>
            <w:vAlign w:val="center"/>
          </w:tcPr>
          <w:p w14:paraId="6BC55382"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建设1～2所高端国际化学校。</w:t>
            </w:r>
          </w:p>
        </w:tc>
      </w:tr>
      <w:tr w:rsidR="004E2B7C" w14:paraId="73D4E820" w14:textId="77777777">
        <w:tc>
          <w:tcPr>
            <w:tcW w:w="373" w:type="pct"/>
            <w:vAlign w:val="center"/>
          </w:tcPr>
          <w:p w14:paraId="7CC98810"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4</w:t>
            </w:r>
          </w:p>
        </w:tc>
        <w:tc>
          <w:tcPr>
            <w:tcW w:w="4626" w:type="pct"/>
            <w:vAlign w:val="center"/>
          </w:tcPr>
          <w:p w14:paraId="5A75CA0B"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打造80所智慧校园。</w:t>
            </w:r>
          </w:p>
        </w:tc>
      </w:tr>
      <w:tr w:rsidR="004E2B7C" w14:paraId="2A36E58E" w14:textId="77777777">
        <w:tc>
          <w:tcPr>
            <w:tcW w:w="373" w:type="pct"/>
            <w:vAlign w:val="center"/>
          </w:tcPr>
          <w:p w14:paraId="49DA158D"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5</w:t>
            </w:r>
          </w:p>
        </w:tc>
        <w:tc>
          <w:tcPr>
            <w:tcW w:w="4626" w:type="pct"/>
            <w:vAlign w:val="center"/>
          </w:tcPr>
          <w:p w14:paraId="4E799ADD"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建设我区“大阅读圈”未来图书馆。</w:t>
            </w:r>
          </w:p>
        </w:tc>
      </w:tr>
      <w:tr w:rsidR="004E2B7C" w14:paraId="3F59B1DB" w14:textId="77777777">
        <w:tc>
          <w:tcPr>
            <w:tcW w:w="373" w:type="pct"/>
            <w:vAlign w:val="center"/>
          </w:tcPr>
          <w:p w14:paraId="17114730"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6</w:t>
            </w:r>
          </w:p>
        </w:tc>
        <w:tc>
          <w:tcPr>
            <w:tcW w:w="4626" w:type="pct"/>
            <w:vAlign w:val="center"/>
          </w:tcPr>
          <w:p w14:paraId="0CE4C4AC"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探索建设一批未来学校实验校。</w:t>
            </w:r>
          </w:p>
        </w:tc>
      </w:tr>
      <w:tr w:rsidR="004E2B7C" w14:paraId="38181C06" w14:textId="77777777">
        <w:tc>
          <w:tcPr>
            <w:tcW w:w="373" w:type="pct"/>
            <w:vAlign w:val="center"/>
          </w:tcPr>
          <w:p w14:paraId="6F090150"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7</w:t>
            </w:r>
          </w:p>
        </w:tc>
        <w:tc>
          <w:tcPr>
            <w:tcW w:w="4626" w:type="pct"/>
            <w:vAlign w:val="center"/>
          </w:tcPr>
          <w:p w14:paraId="47844356"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推进中小学教师高一层次学历提升项目。</w:t>
            </w:r>
          </w:p>
        </w:tc>
      </w:tr>
      <w:tr w:rsidR="004E2B7C" w14:paraId="253E3D81" w14:textId="77777777">
        <w:tc>
          <w:tcPr>
            <w:tcW w:w="373" w:type="pct"/>
            <w:vAlign w:val="center"/>
          </w:tcPr>
          <w:p w14:paraId="0FF7ED98"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8</w:t>
            </w:r>
          </w:p>
        </w:tc>
        <w:tc>
          <w:tcPr>
            <w:tcW w:w="4626" w:type="pct"/>
            <w:vAlign w:val="center"/>
          </w:tcPr>
          <w:p w14:paraId="3562AAC6"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建设1～2个广东领先的生产性实训中心。</w:t>
            </w:r>
          </w:p>
        </w:tc>
      </w:tr>
      <w:tr w:rsidR="004E2B7C" w14:paraId="57FE9EAB" w14:textId="77777777">
        <w:tc>
          <w:tcPr>
            <w:tcW w:w="373" w:type="pct"/>
            <w:vAlign w:val="center"/>
          </w:tcPr>
          <w:p w14:paraId="5FCA53F4"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9</w:t>
            </w:r>
          </w:p>
        </w:tc>
        <w:tc>
          <w:tcPr>
            <w:tcW w:w="4626" w:type="pct"/>
            <w:vAlign w:val="center"/>
          </w:tcPr>
          <w:p w14:paraId="7003AC87"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打造多个高水平专业化产教融合实训基地。</w:t>
            </w:r>
          </w:p>
        </w:tc>
      </w:tr>
      <w:tr w:rsidR="004E2B7C" w14:paraId="3EBCAF37" w14:textId="77777777">
        <w:tc>
          <w:tcPr>
            <w:tcW w:w="373" w:type="pct"/>
            <w:vAlign w:val="center"/>
          </w:tcPr>
          <w:p w14:paraId="5E19E80D" w14:textId="77777777" w:rsidR="004E2B7C" w:rsidRDefault="004E2B7C">
            <w:pPr>
              <w:widowControl/>
              <w:spacing w:line="500" w:lineRule="exact"/>
              <w:jc w:val="center"/>
              <w:rPr>
                <w:rFonts w:ascii="仿宋_GB2312" w:hAnsi="仿宋_GB2312" w:cs="仿宋_GB2312" w:hint="eastAsia"/>
                <w:sz w:val="28"/>
                <w:szCs w:val="28"/>
              </w:rPr>
            </w:pPr>
            <w:r>
              <w:rPr>
                <w:rFonts w:ascii="仿宋_GB2312" w:hAnsi="仿宋_GB2312" w:cs="仿宋_GB2312" w:hint="eastAsia"/>
                <w:sz w:val="28"/>
                <w:szCs w:val="28"/>
              </w:rPr>
              <w:t>10</w:t>
            </w:r>
          </w:p>
        </w:tc>
        <w:tc>
          <w:tcPr>
            <w:tcW w:w="4626" w:type="pct"/>
            <w:vAlign w:val="center"/>
          </w:tcPr>
          <w:p w14:paraId="22E82413" w14:textId="77777777" w:rsidR="004E2B7C" w:rsidRDefault="004E2B7C">
            <w:pPr>
              <w:widowControl/>
              <w:spacing w:line="500" w:lineRule="exact"/>
              <w:jc w:val="left"/>
              <w:rPr>
                <w:rFonts w:ascii="仿宋_GB2312" w:hAnsi="仿宋_GB2312" w:cs="仿宋_GB2312" w:hint="eastAsia"/>
                <w:sz w:val="28"/>
                <w:szCs w:val="28"/>
              </w:rPr>
            </w:pPr>
            <w:r>
              <w:rPr>
                <w:rFonts w:ascii="仿宋_GB2312" w:hAnsi="仿宋_GB2312" w:cs="仿宋_GB2312" w:hint="eastAsia"/>
                <w:sz w:val="28"/>
                <w:szCs w:val="28"/>
              </w:rPr>
              <w:t>建设10个以上校外劳动教育实践基地。</w:t>
            </w:r>
          </w:p>
        </w:tc>
      </w:tr>
    </w:tbl>
    <w:p w14:paraId="679AA14D" w14:textId="77777777" w:rsidR="004E2B7C" w:rsidRDefault="004E2B7C">
      <w:pPr>
        <w:rPr>
          <w:rFonts w:ascii="仿宋_GB2312" w:hint="eastAsia"/>
          <w:color w:val="000000"/>
          <w:szCs w:val="32"/>
        </w:rPr>
      </w:pPr>
    </w:p>
    <w:p w14:paraId="322AFC63" w14:textId="77777777" w:rsidR="004E2B7C" w:rsidRDefault="004E2B7C">
      <w:pPr>
        <w:spacing w:line="560" w:lineRule="exact"/>
        <w:jc w:val="left"/>
        <w:outlineLvl w:val="0"/>
        <w:rPr>
          <w:rFonts w:ascii="黑体" w:eastAsia="黑体" w:hAnsi="黑体" w:cs="宋体" w:hint="eastAsia"/>
          <w:bCs/>
          <w:kern w:val="0"/>
          <w:szCs w:val="32"/>
        </w:rPr>
      </w:pPr>
      <w:r>
        <w:rPr>
          <w:rFonts w:ascii="仿宋_GB2312" w:hint="eastAsia"/>
          <w:color w:val="000000"/>
          <w:szCs w:val="32"/>
        </w:rPr>
        <w:br w:type="page"/>
      </w:r>
      <w:bookmarkStart w:id="176" w:name="_Toc35691046"/>
      <w:bookmarkStart w:id="177" w:name="_Toc1632375985"/>
      <w:bookmarkStart w:id="178" w:name="_Toc724524355"/>
      <w:bookmarkStart w:id="179" w:name="_Toc10854"/>
      <w:r>
        <w:rPr>
          <w:rFonts w:ascii="黑体" w:eastAsia="黑体" w:hAnsi="黑体" w:cs="宋体" w:hint="eastAsia"/>
          <w:bCs/>
          <w:kern w:val="0"/>
          <w:szCs w:val="32"/>
        </w:rPr>
        <w:lastRenderedPageBreak/>
        <w:t>附件3</w:t>
      </w:r>
      <w:bookmarkEnd w:id="176"/>
      <w:bookmarkEnd w:id="177"/>
      <w:bookmarkEnd w:id="178"/>
      <w:bookmarkEnd w:id="179"/>
    </w:p>
    <w:p w14:paraId="36212DA5" w14:textId="77777777" w:rsidR="004E2B7C" w:rsidRDefault="004E2B7C">
      <w:pPr>
        <w:spacing w:line="560" w:lineRule="exact"/>
        <w:jc w:val="left"/>
        <w:rPr>
          <w:rFonts w:ascii="黑体" w:eastAsia="黑体" w:hAnsi="黑体" w:cs="宋体" w:hint="eastAsia"/>
          <w:bCs/>
          <w:kern w:val="0"/>
          <w:szCs w:val="32"/>
        </w:rPr>
      </w:pPr>
    </w:p>
    <w:p w14:paraId="31E0D7F4" w14:textId="77777777" w:rsidR="004E2B7C" w:rsidRDefault="004E2B7C">
      <w:pPr>
        <w:spacing w:line="560" w:lineRule="exact"/>
        <w:jc w:val="center"/>
        <w:rPr>
          <w:rFonts w:ascii="方正小标宋_GBK" w:eastAsia="方正小标宋_GBK" w:hAnsi="黑体"/>
          <w:sz w:val="44"/>
          <w:szCs w:val="44"/>
        </w:rPr>
      </w:pPr>
      <w:r>
        <w:rPr>
          <w:rFonts w:ascii="方正小标宋_GBK" w:eastAsia="方正小标宋_GBK" w:hAnsi="黑体" w:cs="宋体" w:hint="eastAsia"/>
          <w:bCs/>
          <w:kern w:val="0"/>
          <w:sz w:val="44"/>
          <w:szCs w:val="44"/>
        </w:rPr>
        <w:t>番禺区教育事业发展“十四五”时期新增基础教育学位数</w:t>
      </w:r>
    </w:p>
    <w:p w14:paraId="19C96A49" w14:textId="77777777" w:rsidR="004E2B7C" w:rsidRDefault="004E2B7C">
      <w:pPr>
        <w:spacing w:line="560" w:lineRule="exact"/>
        <w:rPr>
          <w:rFonts w:ascii="仿宋_GB2312" w:hAnsi="仿宋"/>
          <w:szCs w:val="21"/>
        </w:rPr>
      </w:pPr>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0"/>
        <w:gridCol w:w="5427"/>
        <w:gridCol w:w="5473"/>
      </w:tblGrid>
      <w:tr w:rsidR="004E2B7C" w:rsidRPr="004E2B7C" w14:paraId="31B5F315" w14:textId="77777777" w:rsidTr="004E2B7C">
        <w:trPr>
          <w:jc w:val="center"/>
        </w:trPr>
        <w:tc>
          <w:tcPr>
            <w:tcW w:w="722" w:type="pct"/>
            <w:shd w:val="clear" w:color="auto" w:fill="auto"/>
            <w:vAlign w:val="center"/>
          </w:tcPr>
          <w:p w14:paraId="5EFF204D" w14:textId="77777777" w:rsidR="004E2B7C" w:rsidRPr="004E2B7C" w:rsidRDefault="004E2B7C" w:rsidP="004E2B7C">
            <w:pPr>
              <w:jc w:val="center"/>
              <w:rPr>
                <w:rFonts w:ascii="黑体" w:eastAsia="黑体" w:hAnsi="黑体" w:cs="黑体" w:hint="eastAsia"/>
                <w:szCs w:val="32"/>
              </w:rPr>
            </w:pPr>
            <w:r w:rsidRPr="004E2B7C">
              <w:rPr>
                <w:rFonts w:ascii="黑体" w:eastAsia="黑体" w:hAnsi="黑体" w:cs="黑体" w:hint="eastAsia"/>
                <w:szCs w:val="32"/>
              </w:rPr>
              <w:t>学段</w:t>
            </w:r>
          </w:p>
        </w:tc>
        <w:tc>
          <w:tcPr>
            <w:tcW w:w="2129" w:type="pct"/>
            <w:shd w:val="clear" w:color="auto" w:fill="auto"/>
            <w:vAlign w:val="center"/>
          </w:tcPr>
          <w:p w14:paraId="7C870322" w14:textId="77777777" w:rsidR="004E2B7C" w:rsidRPr="004E2B7C" w:rsidRDefault="004E2B7C" w:rsidP="004E2B7C">
            <w:pPr>
              <w:jc w:val="center"/>
              <w:rPr>
                <w:rFonts w:ascii="黑体" w:eastAsia="黑体" w:hAnsi="黑体" w:cs="黑体" w:hint="eastAsia"/>
                <w:szCs w:val="32"/>
              </w:rPr>
            </w:pPr>
            <w:r w:rsidRPr="004E2B7C">
              <w:rPr>
                <w:rFonts w:ascii="黑体" w:eastAsia="黑体" w:hAnsi="黑体" w:cs="黑体" w:hint="eastAsia"/>
                <w:szCs w:val="32"/>
              </w:rPr>
              <w:t>2021—2022年新增基础教育</w:t>
            </w:r>
          </w:p>
          <w:p w14:paraId="62903566" w14:textId="77777777" w:rsidR="004E2B7C" w:rsidRPr="004E2B7C" w:rsidRDefault="004E2B7C" w:rsidP="004E2B7C">
            <w:pPr>
              <w:jc w:val="center"/>
              <w:rPr>
                <w:rFonts w:ascii="黑体" w:eastAsia="黑体" w:hAnsi="黑体" w:cs="黑体" w:hint="eastAsia"/>
                <w:szCs w:val="32"/>
              </w:rPr>
            </w:pPr>
            <w:r w:rsidRPr="004E2B7C">
              <w:rPr>
                <w:rFonts w:ascii="黑体" w:eastAsia="黑体" w:hAnsi="黑体" w:cs="黑体" w:hint="eastAsia"/>
                <w:szCs w:val="32"/>
              </w:rPr>
              <w:t>学位数（个）</w:t>
            </w:r>
          </w:p>
        </w:tc>
        <w:tc>
          <w:tcPr>
            <w:tcW w:w="2147" w:type="pct"/>
            <w:shd w:val="clear" w:color="auto" w:fill="auto"/>
            <w:vAlign w:val="center"/>
          </w:tcPr>
          <w:p w14:paraId="515D623F" w14:textId="77777777" w:rsidR="004E2B7C" w:rsidRPr="004E2B7C" w:rsidRDefault="004E2B7C" w:rsidP="004E2B7C">
            <w:pPr>
              <w:jc w:val="center"/>
              <w:rPr>
                <w:rFonts w:ascii="黑体" w:eastAsia="黑体" w:hAnsi="黑体" w:cs="黑体" w:hint="eastAsia"/>
                <w:szCs w:val="32"/>
              </w:rPr>
            </w:pPr>
            <w:r w:rsidRPr="004E2B7C">
              <w:rPr>
                <w:rFonts w:ascii="黑体" w:eastAsia="黑体" w:hAnsi="黑体" w:cs="黑体" w:hint="eastAsia"/>
                <w:szCs w:val="32"/>
              </w:rPr>
              <w:t>2023—2025年新增基础教育</w:t>
            </w:r>
          </w:p>
          <w:p w14:paraId="068EDCB6" w14:textId="77777777" w:rsidR="004E2B7C" w:rsidRPr="004E2B7C" w:rsidRDefault="004E2B7C" w:rsidP="004E2B7C">
            <w:pPr>
              <w:jc w:val="center"/>
              <w:rPr>
                <w:rFonts w:ascii="黑体" w:eastAsia="黑体" w:hAnsi="黑体" w:cs="黑体" w:hint="eastAsia"/>
                <w:szCs w:val="32"/>
              </w:rPr>
            </w:pPr>
            <w:r w:rsidRPr="004E2B7C">
              <w:rPr>
                <w:rFonts w:ascii="黑体" w:eastAsia="黑体" w:hAnsi="黑体" w:cs="黑体" w:hint="eastAsia"/>
                <w:szCs w:val="32"/>
              </w:rPr>
              <w:t>学位数（个）</w:t>
            </w:r>
          </w:p>
        </w:tc>
      </w:tr>
      <w:tr w:rsidR="004E2B7C" w:rsidRPr="004E2B7C" w14:paraId="4D4C5636" w14:textId="77777777" w:rsidTr="004E2B7C">
        <w:trPr>
          <w:trHeight w:val="347"/>
          <w:jc w:val="center"/>
        </w:trPr>
        <w:tc>
          <w:tcPr>
            <w:tcW w:w="722" w:type="pct"/>
            <w:shd w:val="clear" w:color="auto" w:fill="auto"/>
            <w:vAlign w:val="center"/>
          </w:tcPr>
          <w:p w14:paraId="2C3B329D" w14:textId="77777777" w:rsidR="004E2B7C" w:rsidRPr="004E2B7C" w:rsidRDefault="004E2B7C" w:rsidP="004E2B7C">
            <w:pPr>
              <w:jc w:val="center"/>
              <w:rPr>
                <w:rFonts w:ascii="仿宋_GB2312" w:hAnsi="黑体"/>
                <w:szCs w:val="32"/>
              </w:rPr>
            </w:pPr>
            <w:r w:rsidRPr="004E2B7C">
              <w:rPr>
                <w:rFonts w:ascii="仿宋_GB2312" w:hAnsi="黑体" w:hint="eastAsia"/>
                <w:szCs w:val="32"/>
              </w:rPr>
              <w:t>幼儿园</w:t>
            </w:r>
          </w:p>
        </w:tc>
        <w:tc>
          <w:tcPr>
            <w:tcW w:w="2129" w:type="pct"/>
            <w:shd w:val="clear" w:color="auto" w:fill="auto"/>
            <w:vAlign w:val="center"/>
          </w:tcPr>
          <w:p w14:paraId="76117D89" w14:textId="77777777" w:rsidR="004E2B7C" w:rsidRPr="004E2B7C" w:rsidRDefault="004E2B7C" w:rsidP="004E2B7C">
            <w:pPr>
              <w:jc w:val="center"/>
              <w:rPr>
                <w:rFonts w:ascii="仿宋_GB2312" w:hAnsi="仿宋"/>
                <w:szCs w:val="32"/>
              </w:rPr>
            </w:pPr>
            <w:r w:rsidRPr="004E2B7C">
              <w:rPr>
                <w:rFonts w:ascii="仿宋_GB2312" w:hAnsi="仿宋" w:hint="eastAsia"/>
                <w:szCs w:val="32"/>
              </w:rPr>
              <w:t>11370（公办9000）</w:t>
            </w:r>
          </w:p>
        </w:tc>
        <w:tc>
          <w:tcPr>
            <w:tcW w:w="2147" w:type="pct"/>
            <w:shd w:val="clear" w:color="auto" w:fill="auto"/>
            <w:vAlign w:val="center"/>
          </w:tcPr>
          <w:p w14:paraId="1809DC12" w14:textId="77777777" w:rsidR="004E2B7C" w:rsidRPr="004E2B7C" w:rsidRDefault="004E2B7C" w:rsidP="004E2B7C">
            <w:pPr>
              <w:jc w:val="center"/>
              <w:rPr>
                <w:rFonts w:ascii="仿宋_GB2312" w:hAnsi="仿宋"/>
                <w:szCs w:val="32"/>
              </w:rPr>
            </w:pPr>
            <w:r w:rsidRPr="004E2B7C">
              <w:rPr>
                <w:rFonts w:ascii="仿宋_GB2312" w:hAnsi="仿宋" w:hint="eastAsia"/>
                <w:szCs w:val="32"/>
              </w:rPr>
              <w:t>9120（公办6000）</w:t>
            </w:r>
          </w:p>
        </w:tc>
      </w:tr>
      <w:tr w:rsidR="004E2B7C" w:rsidRPr="004E2B7C" w14:paraId="0651FCA2" w14:textId="77777777" w:rsidTr="004E2B7C">
        <w:trPr>
          <w:jc w:val="center"/>
        </w:trPr>
        <w:tc>
          <w:tcPr>
            <w:tcW w:w="722" w:type="pct"/>
            <w:shd w:val="clear" w:color="auto" w:fill="auto"/>
            <w:vAlign w:val="center"/>
          </w:tcPr>
          <w:p w14:paraId="04942DE3" w14:textId="77777777" w:rsidR="004E2B7C" w:rsidRPr="004E2B7C" w:rsidRDefault="004E2B7C" w:rsidP="004E2B7C">
            <w:pPr>
              <w:jc w:val="center"/>
              <w:rPr>
                <w:rFonts w:ascii="仿宋_GB2312" w:hAnsi="黑体"/>
                <w:szCs w:val="32"/>
              </w:rPr>
            </w:pPr>
            <w:r w:rsidRPr="004E2B7C">
              <w:rPr>
                <w:rFonts w:ascii="仿宋_GB2312" w:hAnsi="黑体" w:hint="eastAsia"/>
                <w:szCs w:val="32"/>
              </w:rPr>
              <w:t>小学</w:t>
            </w:r>
          </w:p>
        </w:tc>
        <w:tc>
          <w:tcPr>
            <w:tcW w:w="2129" w:type="pct"/>
            <w:shd w:val="clear" w:color="auto" w:fill="auto"/>
            <w:vAlign w:val="center"/>
          </w:tcPr>
          <w:p w14:paraId="43B10FE4" w14:textId="77777777" w:rsidR="004E2B7C" w:rsidRPr="004E2B7C" w:rsidRDefault="004E2B7C" w:rsidP="004E2B7C">
            <w:pPr>
              <w:jc w:val="center"/>
              <w:rPr>
                <w:rFonts w:ascii="仿宋_GB2312" w:hAnsi="仿宋"/>
                <w:szCs w:val="32"/>
              </w:rPr>
            </w:pPr>
            <w:r w:rsidRPr="004E2B7C">
              <w:rPr>
                <w:rFonts w:ascii="仿宋_GB2312" w:hAnsi="仿宋" w:hint="eastAsia"/>
                <w:szCs w:val="32"/>
              </w:rPr>
              <w:t>10260（公办10260）</w:t>
            </w:r>
          </w:p>
        </w:tc>
        <w:tc>
          <w:tcPr>
            <w:tcW w:w="2147" w:type="pct"/>
            <w:shd w:val="clear" w:color="auto" w:fill="auto"/>
            <w:vAlign w:val="center"/>
          </w:tcPr>
          <w:p w14:paraId="7ABB8108" w14:textId="77777777" w:rsidR="004E2B7C" w:rsidRPr="004E2B7C" w:rsidRDefault="004E2B7C" w:rsidP="004E2B7C">
            <w:pPr>
              <w:jc w:val="center"/>
              <w:rPr>
                <w:rFonts w:ascii="仿宋_GB2312" w:hAnsi="仿宋"/>
                <w:szCs w:val="32"/>
              </w:rPr>
            </w:pPr>
            <w:r w:rsidRPr="004E2B7C">
              <w:rPr>
                <w:rFonts w:ascii="仿宋_GB2312" w:hAnsi="仿宋" w:hint="eastAsia"/>
                <w:szCs w:val="32"/>
              </w:rPr>
              <w:t>16470（公办15660）</w:t>
            </w:r>
          </w:p>
        </w:tc>
      </w:tr>
      <w:tr w:rsidR="004E2B7C" w:rsidRPr="004E2B7C" w14:paraId="47404DE5" w14:textId="77777777" w:rsidTr="004E2B7C">
        <w:trPr>
          <w:jc w:val="center"/>
        </w:trPr>
        <w:tc>
          <w:tcPr>
            <w:tcW w:w="722" w:type="pct"/>
            <w:shd w:val="clear" w:color="auto" w:fill="auto"/>
            <w:vAlign w:val="center"/>
          </w:tcPr>
          <w:p w14:paraId="1255758C" w14:textId="77777777" w:rsidR="004E2B7C" w:rsidRPr="004E2B7C" w:rsidRDefault="004E2B7C" w:rsidP="004E2B7C">
            <w:pPr>
              <w:jc w:val="center"/>
              <w:rPr>
                <w:rFonts w:ascii="仿宋_GB2312" w:hAnsi="黑体"/>
                <w:szCs w:val="32"/>
              </w:rPr>
            </w:pPr>
            <w:r w:rsidRPr="004E2B7C">
              <w:rPr>
                <w:rFonts w:ascii="仿宋_GB2312" w:hAnsi="黑体" w:hint="eastAsia"/>
                <w:szCs w:val="32"/>
              </w:rPr>
              <w:t>初中</w:t>
            </w:r>
          </w:p>
        </w:tc>
        <w:tc>
          <w:tcPr>
            <w:tcW w:w="2129" w:type="pct"/>
            <w:shd w:val="clear" w:color="auto" w:fill="auto"/>
            <w:vAlign w:val="center"/>
          </w:tcPr>
          <w:p w14:paraId="738B3327" w14:textId="77777777" w:rsidR="004E2B7C" w:rsidRPr="004E2B7C" w:rsidRDefault="004E2B7C" w:rsidP="004E2B7C">
            <w:pPr>
              <w:jc w:val="center"/>
              <w:rPr>
                <w:rFonts w:ascii="仿宋_GB2312" w:hAnsi="仿宋"/>
                <w:szCs w:val="32"/>
              </w:rPr>
            </w:pPr>
            <w:r w:rsidRPr="004E2B7C">
              <w:rPr>
                <w:rFonts w:ascii="仿宋_GB2312" w:hAnsi="仿宋" w:hint="eastAsia"/>
                <w:szCs w:val="32"/>
              </w:rPr>
              <w:t>7950（公办7950）</w:t>
            </w:r>
          </w:p>
        </w:tc>
        <w:tc>
          <w:tcPr>
            <w:tcW w:w="2147" w:type="pct"/>
            <w:shd w:val="clear" w:color="auto" w:fill="auto"/>
            <w:vAlign w:val="center"/>
          </w:tcPr>
          <w:p w14:paraId="3E366152" w14:textId="77777777" w:rsidR="004E2B7C" w:rsidRPr="004E2B7C" w:rsidRDefault="004E2B7C" w:rsidP="004E2B7C">
            <w:pPr>
              <w:jc w:val="center"/>
              <w:rPr>
                <w:rFonts w:ascii="仿宋_GB2312" w:hAnsi="仿宋"/>
                <w:szCs w:val="32"/>
              </w:rPr>
            </w:pPr>
            <w:r w:rsidRPr="004E2B7C">
              <w:rPr>
                <w:rFonts w:ascii="仿宋_GB2312" w:hAnsi="仿宋" w:hint="eastAsia"/>
                <w:szCs w:val="32"/>
              </w:rPr>
              <w:t>7650（公办7350）</w:t>
            </w:r>
          </w:p>
        </w:tc>
      </w:tr>
      <w:tr w:rsidR="004E2B7C" w:rsidRPr="004E2B7C" w14:paraId="3651A6E4" w14:textId="77777777" w:rsidTr="004E2B7C">
        <w:trPr>
          <w:jc w:val="center"/>
        </w:trPr>
        <w:tc>
          <w:tcPr>
            <w:tcW w:w="722" w:type="pct"/>
            <w:shd w:val="clear" w:color="auto" w:fill="auto"/>
            <w:vAlign w:val="center"/>
          </w:tcPr>
          <w:p w14:paraId="08F9327F" w14:textId="77777777" w:rsidR="004E2B7C" w:rsidRPr="004E2B7C" w:rsidRDefault="004E2B7C" w:rsidP="004E2B7C">
            <w:pPr>
              <w:jc w:val="center"/>
              <w:rPr>
                <w:rFonts w:ascii="仿宋_GB2312" w:hAnsi="黑体"/>
                <w:szCs w:val="32"/>
              </w:rPr>
            </w:pPr>
            <w:r w:rsidRPr="004E2B7C">
              <w:rPr>
                <w:rFonts w:ascii="仿宋_GB2312" w:hAnsi="黑体" w:hint="eastAsia"/>
                <w:szCs w:val="32"/>
              </w:rPr>
              <w:t>高中</w:t>
            </w:r>
          </w:p>
        </w:tc>
        <w:tc>
          <w:tcPr>
            <w:tcW w:w="2129" w:type="pct"/>
            <w:shd w:val="clear" w:color="auto" w:fill="auto"/>
            <w:vAlign w:val="center"/>
          </w:tcPr>
          <w:p w14:paraId="5B12DF9E" w14:textId="77777777" w:rsidR="004E2B7C" w:rsidRPr="004E2B7C" w:rsidRDefault="004E2B7C" w:rsidP="004E2B7C">
            <w:pPr>
              <w:jc w:val="center"/>
              <w:rPr>
                <w:rFonts w:ascii="仿宋_GB2312" w:hAnsi="仿宋"/>
                <w:szCs w:val="32"/>
              </w:rPr>
            </w:pPr>
            <w:r w:rsidRPr="004E2B7C">
              <w:rPr>
                <w:rFonts w:ascii="仿宋_GB2312" w:hAnsi="仿宋" w:hint="eastAsia"/>
                <w:szCs w:val="32"/>
              </w:rPr>
              <w:t>3000（公办3000）</w:t>
            </w:r>
          </w:p>
        </w:tc>
        <w:tc>
          <w:tcPr>
            <w:tcW w:w="2147" w:type="pct"/>
            <w:shd w:val="clear" w:color="auto" w:fill="auto"/>
            <w:vAlign w:val="center"/>
          </w:tcPr>
          <w:p w14:paraId="7E19940D" w14:textId="77777777" w:rsidR="004E2B7C" w:rsidRPr="004E2B7C" w:rsidRDefault="004E2B7C" w:rsidP="004E2B7C">
            <w:pPr>
              <w:jc w:val="center"/>
              <w:rPr>
                <w:rFonts w:ascii="仿宋_GB2312" w:hAnsi="仿宋"/>
                <w:szCs w:val="32"/>
              </w:rPr>
            </w:pPr>
            <w:r w:rsidRPr="004E2B7C">
              <w:rPr>
                <w:rFonts w:ascii="仿宋_GB2312" w:hAnsi="仿宋" w:hint="eastAsia"/>
                <w:szCs w:val="32"/>
              </w:rPr>
              <w:t>300（公办0）</w:t>
            </w:r>
          </w:p>
        </w:tc>
      </w:tr>
      <w:tr w:rsidR="004E2B7C" w:rsidRPr="004E2B7C" w14:paraId="5E9C486C" w14:textId="77777777" w:rsidTr="004E2B7C">
        <w:trPr>
          <w:jc w:val="center"/>
        </w:trPr>
        <w:tc>
          <w:tcPr>
            <w:tcW w:w="722" w:type="pct"/>
            <w:shd w:val="clear" w:color="auto" w:fill="auto"/>
            <w:vAlign w:val="center"/>
          </w:tcPr>
          <w:p w14:paraId="757C4F84" w14:textId="77777777" w:rsidR="004E2B7C" w:rsidRPr="004E2B7C" w:rsidRDefault="004E2B7C" w:rsidP="004E2B7C">
            <w:pPr>
              <w:jc w:val="center"/>
              <w:rPr>
                <w:rFonts w:ascii="仿宋_GB2312" w:hAnsi="黑体"/>
                <w:b/>
                <w:bCs/>
                <w:szCs w:val="32"/>
              </w:rPr>
            </w:pPr>
            <w:r w:rsidRPr="004E2B7C">
              <w:rPr>
                <w:rFonts w:ascii="仿宋_GB2312" w:hAnsi="黑体" w:hint="eastAsia"/>
                <w:b/>
                <w:bCs/>
                <w:szCs w:val="32"/>
              </w:rPr>
              <w:t>合计</w:t>
            </w:r>
          </w:p>
        </w:tc>
        <w:tc>
          <w:tcPr>
            <w:tcW w:w="2129" w:type="pct"/>
            <w:shd w:val="clear" w:color="auto" w:fill="auto"/>
            <w:vAlign w:val="center"/>
          </w:tcPr>
          <w:p w14:paraId="3D03813A" w14:textId="77777777" w:rsidR="004E2B7C" w:rsidRPr="004E2B7C" w:rsidRDefault="004E2B7C" w:rsidP="004E2B7C">
            <w:pPr>
              <w:jc w:val="center"/>
              <w:rPr>
                <w:rFonts w:ascii="仿宋_GB2312" w:hAnsi="仿宋"/>
                <w:b/>
                <w:bCs/>
                <w:szCs w:val="32"/>
              </w:rPr>
            </w:pPr>
            <w:r w:rsidRPr="004E2B7C">
              <w:rPr>
                <w:rFonts w:ascii="仿宋_GB2312" w:hAnsi="仿宋" w:hint="eastAsia"/>
                <w:b/>
                <w:bCs/>
                <w:szCs w:val="32"/>
              </w:rPr>
              <w:t>32940（公办30210）</w:t>
            </w:r>
          </w:p>
        </w:tc>
        <w:tc>
          <w:tcPr>
            <w:tcW w:w="2147" w:type="pct"/>
            <w:shd w:val="clear" w:color="auto" w:fill="auto"/>
            <w:vAlign w:val="center"/>
          </w:tcPr>
          <w:p w14:paraId="4A8154BA" w14:textId="77777777" w:rsidR="004E2B7C" w:rsidRPr="004E2B7C" w:rsidRDefault="004E2B7C" w:rsidP="004E2B7C">
            <w:pPr>
              <w:jc w:val="center"/>
              <w:rPr>
                <w:rFonts w:ascii="仿宋_GB2312" w:hAnsi="仿宋"/>
                <w:b/>
                <w:bCs/>
                <w:szCs w:val="32"/>
              </w:rPr>
            </w:pPr>
            <w:r w:rsidRPr="004E2B7C">
              <w:rPr>
                <w:rFonts w:ascii="仿宋_GB2312" w:hAnsi="仿宋" w:hint="eastAsia"/>
                <w:b/>
                <w:bCs/>
                <w:szCs w:val="32"/>
              </w:rPr>
              <w:t>33540（公办29010）</w:t>
            </w:r>
          </w:p>
        </w:tc>
      </w:tr>
    </w:tbl>
    <w:p w14:paraId="2C9343CF" w14:textId="77777777" w:rsidR="004E2B7C" w:rsidRDefault="004E2B7C">
      <w:pPr>
        <w:rPr>
          <w:rFonts w:ascii="仿宋_GB2312" w:hAnsi="仿宋"/>
          <w:szCs w:val="21"/>
        </w:rPr>
      </w:pPr>
    </w:p>
    <w:p w14:paraId="289D173F" w14:textId="77777777" w:rsidR="004E2B7C" w:rsidRDefault="004E2B7C">
      <w:pPr>
        <w:rPr>
          <w:rFonts w:ascii="仿宋_GB2312" w:hAnsi="仿宋"/>
          <w:szCs w:val="21"/>
        </w:rPr>
      </w:pPr>
    </w:p>
    <w:p w14:paraId="2D918476" w14:textId="77777777" w:rsidR="004E2B7C" w:rsidRDefault="004E2B7C">
      <w:pPr>
        <w:spacing w:line="560" w:lineRule="exact"/>
        <w:ind w:firstLineChars="200" w:firstLine="632"/>
        <w:rPr>
          <w:rFonts w:ascii="仿宋_GB2312" w:hint="eastAsia"/>
          <w:color w:val="000000"/>
          <w:szCs w:val="32"/>
        </w:rPr>
      </w:pPr>
    </w:p>
    <w:p w14:paraId="42935BAA" w14:textId="77777777" w:rsidR="004E2B7C" w:rsidRDefault="004E2B7C">
      <w:pPr>
        <w:spacing w:line="480" w:lineRule="exact"/>
        <w:jc w:val="left"/>
        <w:outlineLvl w:val="0"/>
        <w:rPr>
          <w:rFonts w:ascii="黑体" w:eastAsia="黑体" w:hAnsi="黑体" w:cs="宋体"/>
          <w:bCs/>
          <w:kern w:val="0"/>
          <w:szCs w:val="32"/>
        </w:rPr>
      </w:pPr>
      <w:r>
        <w:rPr>
          <w:rFonts w:ascii="仿宋_GB2312" w:hint="eastAsia"/>
          <w:color w:val="000000"/>
          <w:szCs w:val="32"/>
        </w:rPr>
        <w:br w:type="page"/>
      </w:r>
      <w:bookmarkStart w:id="180" w:name="_Toc5261847"/>
      <w:bookmarkStart w:id="181" w:name="_Toc2146984298"/>
      <w:bookmarkStart w:id="182" w:name="_Toc150049570"/>
      <w:bookmarkStart w:id="183" w:name="_Toc25729"/>
      <w:r>
        <w:rPr>
          <w:rFonts w:ascii="黑体" w:eastAsia="黑体" w:hAnsi="黑体" w:cs="宋体" w:hint="eastAsia"/>
          <w:bCs/>
          <w:kern w:val="0"/>
          <w:szCs w:val="32"/>
        </w:rPr>
        <w:lastRenderedPageBreak/>
        <w:t>附件4</w:t>
      </w:r>
      <w:bookmarkEnd w:id="180"/>
      <w:bookmarkEnd w:id="181"/>
      <w:bookmarkEnd w:id="182"/>
      <w:bookmarkEnd w:id="183"/>
    </w:p>
    <w:p w14:paraId="2A305676" w14:textId="77777777" w:rsidR="004E2B7C" w:rsidRDefault="004E2B7C">
      <w:pPr>
        <w:spacing w:line="480" w:lineRule="exact"/>
        <w:jc w:val="center"/>
        <w:rPr>
          <w:rFonts w:ascii="方正小标宋_GBK" w:eastAsia="方正小标宋_GBK" w:hAnsi="黑体" w:cs="宋体" w:hint="eastAsia"/>
          <w:bCs/>
          <w:kern w:val="0"/>
          <w:sz w:val="44"/>
          <w:szCs w:val="44"/>
        </w:rPr>
      </w:pPr>
    </w:p>
    <w:p w14:paraId="1B71AE35" w14:textId="77777777" w:rsidR="004E2B7C" w:rsidRDefault="004E2B7C">
      <w:pPr>
        <w:spacing w:line="480" w:lineRule="exact"/>
        <w:jc w:val="center"/>
        <w:rPr>
          <w:rFonts w:ascii="方正小标宋_GBK" w:eastAsia="方正小标宋_GBK" w:hAnsi="黑体" w:cs="宋体" w:hint="eastAsia"/>
          <w:bCs/>
          <w:kern w:val="0"/>
          <w:sz w:val="44"/>
          <w:szCs w:val="44"/>
        </w:rPr>
      </w:pPr>
      <w:r>
        <w:rPr>
          <w:rFonts w:ascii="方正小标宋简体" w:eastAsia="方正小标宋简体" w:hAnsi="方正小标宋简体" w:cs="方正小标宋简体" w:hint="eastAsia"/>
          <w:bCs/>
          <w:kern w:val="0"/>
          <w:sz w:val="44"/>
          <w:szCs w:val="44"/>
        </w:rPr>
        <w:t>番禺区教育事业发展“十四五”时期规划新建学校</w:t>
      </w:r>
    </w:p>
    <w:p w14:paraId="7334E9B6" w14:textId="77777777" w:rsidR="004E2B7C" w:rsidRDefault="004E2B7C">
      <w:pPr>
        <w:spacing w:line="480" w:lineRule="exact"/>
        <w:jc w:val="center"/>
        <w:rPr>
          <w:rFonts w:ascii="方正小标宋_GBK" w:eastAsia="方正小标宋_GBK" w:hAnsi="黑体" w:cs="宋体" w:hint="eastAsia"/>
          <w:bCs/>
          <w:kern w:val="0"/>
          <w:sz w:val="44"/>
          <w:szCs w:val="44"/>
        </w:rPr>
      </w:pPr>
    </w:p>
    <w:tbl>
      <w:tblPr>
        <w:tblW w:w="4998" w:type="pct"/>
        <w:jc w:val="center"/>
        <w:tblInd w:w="0" w:type="dxa"/>
        <w:tblLook w:val="0000" w:firstRow="0" w:lastRow="0" w:firstColumn="0" w:lastColumn="0" w:noHBand="0" w:noVBand="0"/>
      </w:tblPr>
      <w:tblGrid>
        <w:gridCol w:w="1810"/>
        <w:gridCol w:w="2057"/>
        <w:gridCol w:w="3086"/>
        <w:gridCol w:w="3216"/>
        <w:gridCol w:w="2571"/>
      </w:tblGrid>
      <w:tr w:rsidR="004E2B7C" w14:paraId="3A532D9A" w14:textId="77777777">
        <w:trPr>
          <w:trHeight w:val="397"/>
          <w:jc w:val="center"/>
        </w:trPr>
        <w:tc>
          <w:tcPr>
            <w:tcW w:w="710" w:type="pct"/>
            <w:tcBorders>
              <w:top w:val="single" w:sz="4" w:space="0" w:color="auto"/>
              <w:left w:val="single" w:sz="4" w:space="0" w:color="auto"/>
              <w:bottom w:val="single" w:sz="4" w:space="0" w:color="auto"/>
              <w:right w:val="single" w:sz="4" w:space="0" w:color="auto"/>
            </w:tcBorders>
            <w:vAlign w:val="center"/>
          </w:tcPr>
          <w:p w14:paraId="4FF6EFBD" w14:textId="77777777" w:rsidR="004E2B7C" w:rsidRDefault="004E2B7C">
            <w:pPr>
              <w:spacing w:line="320" w:lineRule="exact"/>
              <w:jc w:val="center"/>
              <w:rPr>
                <w:rFonts w:ascii="黑体" w:eastAsia="黑体" w:hAnsi="黑体" w:cs="黑体" w:hint="eastAsia"/>
                <w:sz w:val="24"/>
              </w:rPr>
            </w:pPr>
            <w:r>
              <w:rPr>
                <w:rFonts w:ascii="黑体" w:eastAsia="黑体" w:hAnsi="黑体" w:cs="黑体" w:hint="eastAsia"/>
                <w:sz w:val="24"/>
              </w:rPr>
              <w:t>片区</w:t>
            </w:r>
          </w:p>
        </w:tc>
        <w:tc>
          <w:tcPr>
            <w:tcW w:w="807" w:type="pct"/>
            <w:tcBorders>
              <w:top w:val="single" w:sz="4" w:space="0" w:color="auto"/>
              <w:left w:val="nil"/>
              <w:bottom w:val="single" w:sz="4" w:space="0" w:color="auto"/>
              <w:right w:val="single" w:sz="4" w:space="0" w:color="auto"/>
            </w:tcBorders>
            <w:vAlign w:val="center"/>
          </w:tcPr>
          <w:p w14:paraId="4F5812FB" w14:textId="77777777" w:rsidR="004E2B7C" w:rsidRDefault="004E2B7C">
            <w:pPr>
              <w:spacing w:line="320" w:lineRule="exact"/>
              <w:jc w:val="center"/>
              <w:rPr>
                <w:rFonts w:ascii="黑体" w:eastAsia="黑体" w:hAnsi="黑体" w:cs="黑体" w:hint="eastAsia"/>
                <w:sz w:val="24"/>
              </w:rPr>
            </w:pPr>
            <w:r>
              <w:rPr>
                <w:rFonts w:ascii="黑体" w:eastAsia="黑体" w:hAnsi="黑体" w:cs="黑体" w:hint="eastAsia"/>
                <w:sz w:val="24"/>
              </w:rPr>
              <w:t>小学</w:t>
            </w:r>
          </w:p>
        </w:tc>
        <w:tc>
          <w:tcPr>
            <w:tcW w:w="1211" w:type="pct"/>
            <w:tcBorders>
              <w:top w:val="single" w:sz="4" w:space="0" w:color="auto"/>
              <w:left w:val="nil"/>
              <w:bottom w:val="single" w:sz="4" w:space="0" w:color="auto"/>
              <w:right w:val="single" w:sz="4" w:space="0" w:color="auto"/>
            </w:tcBorders>
            <w:vAlign w:val="center"/>
          </w:tcPr>
          <w:p w14:paraId="00DD018D" w14:textId="77777777" w:rsidR="004E2B7C" w:rsidRDefault="004E2B7C">
            <w:pPr>
              <w:spacing w:line="320" w:lineRule="exact"/>
              <w:jc w:val="center"/>
              <w:rPr>
                <w:rFonts w:ascii="黑体" w:eastAsia="黑体" w:hAnsi="黑体" w:cs="黑体" w:hint="eastAsia"/>
                <w:sz w:val="24"/>
              </w:rPr>
            </w:pPr>
            <w:r>
              <w:rPr>
                <w:rFonts w:ascii="黑体" w:eastAsia="黑体" w:hAnsi="黑体" w:cs="黑体" w:hint="eastAsia"/>
                <w:sz w:val="24"/>
              </w:rPr>
              <w:t>九年一贯制学校</w:t>
            </w:r>
          </w:p>
        </w:tc>
        <w:tc>
          <w:tcPr>
            <w:tcW w:w="1261" w:type="pct"/>
            <w:tcBorders>
              <w:top w:val="single" w:sz="4" w:space="0" w:color="auto"/>
              <w:left w:val="nil"/>
              <w:bottom w:val="single" w:sz="4" w:space="0" w:color="auto"/>
              <w:right w:val="single" w:sz="4" w:space="0" w:color="auto"/>
            </w:tcBorders>
            <w:vAlign w:val="center"/>
          </w:tcPr>
          <w:p w14:paraId="399133F2" w14:textId="77777777" w:rsidR="004E2B7C" w:rsidRDefault="004E2B7C">
            <w:pPr>
              <w:spacing w:line="320" w:lineRule="exact"/>
              <w:jc w:val="center"/>
              <w:rPr>
                <w:rFonts w:ascii="黑体" w:eastAsia="黑体" w:hAnsi="黑体" w:cs="黑体" w:hint="eastAsia"/>
                <w:sz w:val="24"/>
              </w:rPr>
            </w:pPr>
            <w:r>
              <w:rPr>
                <w:rFonts w:ascii="黑体" w:eastAsia="黑体" w:hAnsi="黑体" w:cs="黑体" w:hint="eastAsia"/>
                <w:sz w:val="24"/>
              </w:rPr>
              <w:t>初中</w:t>
            </w:r>
          </w:p>
        </w:tc>
        <w:tc>
          <w:tcPr>
            <w:tcW w:w="1009" w:type="pct"/>
            <w:tcBorders>
              <w:top w:val="single" w:sz="4" w:space="0" w:color="auto"/>
              <w:left w:val="nil"/>
              <w:bottom w:val="single" w:sz="4" w:space="0" w:color="auto"/>
              <w:right w:val="single" w:sz="4" w:space="0" w:color="auto"/>
            </w:tcBorders>
            <w:vAlign w:val="center"/>
          </w:tcPr>
          <w:p w14:paraId="1282ADD3" w14:textId="77777777" w:rsidR="004E2B7C" w:rsidRDefault="004E2B7C">
            <w:pPr>
              <w:spacing w:line="320" w:lineRule="exact"/>
              <w:jc w:val="center"/>
              <w:rPr>
                <w:rFonts w:ascii="黑体" w:eastAsia="黑体" w:hAnsi="黑体" w:cs="黑体" w:hint="eastAsia"/>
                <w:sz w:val="24"/>
              </w:rPr>
            </w:pPr>
            <w:r>
              <w:rPr>
                <w:rFonts w:ascii="黑体" w:eastAsia="黑体" w:hAnsi="黑体" w:cs="黑体" w:hint="eastAsia"/>
                <w:sz w:val="24"/>
              </w:rPr>
              <w:t>完全中学</w:t>
            </w:r>
          </w:p>
        </w:tc>
      </w:tr>
      <w:tr w:rsidR="004E2B7C" w14:paraId="02CED392"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24093E65"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大龙街</w:t>
            </w:r>
          </w:p>
        </w:tc>
        <w:tc>
          <w:tcPr>
            <w:tcW w:w="807" w:type="pct"/>
            <w:tcBorders>
              <w:top w:val="nil"/>
              <w:left w:val="nil"/>
              <w:bottom w:val="single" w:sz="4" w:space="0" w:color="auto"/>
              <w:right w:val="single" w:sz="4" w:space="0" w:color="auto"/>
            </w:tcBorders>
            <w:vAlign w:val="center"/>
          </w:tcPr>
          <w:p w14:paraId="11AB6D2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2</w:t>
            </w:r>
          </w:p>
        </w:tc>
        <w:tc>
          <w:tcPr>
            <w:tcW w:w="1211" w:type="pct"/>
            <w:tcBorders>
              <w:top w:val="nil"/>
              <w:left w:val="nil"/>
              <w:bottom w:val="single" w:sz="4" w:space="0" w:color="auto"/>
              <w:right w:val="single" w:sz="4" w:space="0" w:color="auto"/>
            </w:tcBorders>
            <w:vAlign w:val="center"/>
          </w:tcPr>
          <w:p w14:paraId="788831E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1BF08ED2"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76A3BE77"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r>
      <w:tr w:rsidR="004E2B7C" w14:paraId="02C989EF"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539730B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大石街</w:t>
            </w:r>
          </w:p>
        </w:tc>
        <w:tc>
          <w:tcPr>
            <w:tcW w:w="807" w:type="pct"/>
            <w:tcBorders>
              <w:top w:val="nil"/>
              <w:left w:val="nil"/>
              <w:bottom w:val="single" w:sz="4" w:space="0" w:color="auto"/>
              <w:right w:val="single" w:sz="4" w:space="0" w:color="auto"/>
            </w:tcBorders>
            <w:vAlign w:val="center"/>
          </w:tcPr>
          <w:p w14:paraId="6A351B3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11" w:type="pct"/>
            <w:tcBorders>
              <w:top w:val="nil"/>
              <w:left w:val="nil"/>
              <w:bottom w:val="single" w:sz="4" w:space="0" w:color="auto"/>
              <w:right w:val="single" w:sz="4" w:space="0" w:color="auto"/>
            </w:tcBorders>
            <w:vAlign w:val="center"/>
          </w:tcPr>
          <w:p w14:paraId="1263424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04F1E04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4E35D8C3"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1285AE36"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08BD482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东环街</w:t>
            </w:r>
          </w:p>
        </w:tc>
        <w:tc>
          <w:tcPr>
            <w:tcW w:w="807" w:type="pct"/>
            <w:tcBorders>
              <w:top w:val="nil"/>
              <w:left w:val="nil"/>
              <w:bottom w:val="single" w:sz="4" w:space="0" w:color="auto"/>
              <w:right w:val="single" w:sz="4" w:space="0" w:color="auto"/>
            </w:tcBorders>
            <w:vAlign w:val="center"/>
          </w:tcPr>
          <w:p w14:paraId="6086C296"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2CE3D5F7"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3B943B5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40B59E46"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5238B4F0"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2D790BBC"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化龙镇</w:t>
            </w:r>
          </w:p>
        </w:tc>
        <w:tc>
          <w:tcPr>
            <w:tcW w:w="807" w:type="pct"/>
            <w:tcBorders>
              <w:top w:val="nil"/>
              <w:left w:val="nil"/>
              <w:bottom w:val="single" w:sz="4" w:space="0" w:color="auto"/>
              <w:right w:val="single" w:sz="4" w:space="0" w:color="auto"/>
            </w:tcBorders>
            <w:vAlign w:val="center"/>
          </w:tcPr>
          <w:p w14:paraId="17C3F507"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11" w:type="pct"/>
            <w:tcBorders>
              <w:top w:val="nil"/>
              <w:left w:val="nil"/>
              <w:bottom w:val="single" w:sz="4" w:space="0" w:color="auto"/>
              <w:right w:val="single" w:sz="4" w:space="0" w:color="auto"/>
            </w:tcBorders>
            <w:vAlign w:val="center"/>
          </w:tcPr>
          <w:p w14:paraId="539BDD31"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1D817DDD"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0BC651B1"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40DB28A2"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64823985"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洛浦街</w:t>
            </w:r>
          </w:p>
        </w:tc>
        <w:tc>
          <w:tcPr>
            <w:tcW w:w="807" w:type="pct"/>
            <w:tcBorders>
              <w:top w:val="nil"/>
              <w:left w:val="nil"/>
              <w:bottom w:val="single" w:sz="4" w:space="0" w:color="auto"/>
              <w:right w:val="single" w:sz="4" w:space="0" w:color="auto"/>
            </w:tcBorders>
            <w:vAlign w:val="center"/>
          </w:tcPr>
          <w:p w14:paraId="72E5977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6CF02BC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2</w:t>
            </w:r>
          </w:p>
        </w:tc>
        <w:tc>
          <w:tcPr>
            <w:tcW w:w="1261" w:type="pct"/>
            <w:tcBorders>
              <w:top w:val="nil"/>
              <w:left w:val="nil"/>
              <w:bottom w:val="single" w:sz="4" w:space="0" w:color="auto"/>
              <w:right w:val="single" w:sz="4" w:space="0" w:color="auto"/>
            </w:tcBorders>
            <w:vAlign w:val="center"/>
          </w:tcPr>
          <w:p w14:paraId="54CD88FA"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6C0CC47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5D24341E"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32B2A94B"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南村镇</w:t>
            </w:r>
          </w:p>
        </w:tc>
        <w:tc>
          <w:tcPr>
            <w:tcW w:w="807" w:type="pct"/>
            <w:tcBorders>
              <w:top w:val="nil"/>
              <w:left w:val="nil"/>
              <w:bottom w:val="single" w:sz="4" w:space="0" w:color="auto"/>
              <w:right w:val="single" w:sz="4" w:space="0" w:color="auto"/>
            </w:tcBorders>
            <w:vAlign w:val="center"/>
          </w:tcPr>
          <w:p w14:paraId="0B155EF1"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3</w:t>
            </w:r>
          </w:p>
        </w:tc>
        <w:tc>
          <w:tcPr>
            <w:tcW w:w="1211" w:type="pct"/>
            <w:tcBorders>
              <w:top w:val="nil"/>
              <w:left w:val="nil"/>
              <w:bottom w:val="single" w:sz="4" w:space="0" w:color="auto"/>
              <w:right w:val="single" w:sz="4" w:space="0" w:color="auto"/>
            </w:tcBorders>
            <w:vAlign w:val="center"/>
          </w:tcPr>
          <w:p w14:paraId="4DE7FBF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57BA50A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21B5F92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2345D279"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50F052C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桥南街</w:t>
            </w:r>
          </w:p>
        </w:tc>
        <w:tc>
          <w:tcPr>
            <w:tcW w:w="807" w:type="pct"/>
            <w:tcBorders>
              <w:top w:val="nil"/>
              <w:left w:val="nil"/>
              <w:bottom w:val="single" w:sz="4" w:space="0" w:color="auto"/>
              <w:right w:val="single" w:sz="4" w:space="0" w:color="auto"/>
            </w:tcBorders>
            <w:vAlign w:val="center"/>
          </w:tcPr>
          <w:p w14:paraId="2EA40A50"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662C621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61" w:type="pct"/>
            <w:tcBorders>
              <w:top w:val="nil"/>
              <w:left w:val="nil"/>
              <w:bottom w:val="single" w:sz="4" w:space="0" w:color="auto"/>
              <w:right w:val="single" w:sz="4" w:space="0" w:color="auto"/>
            </w:tcBorders>
            <w:vAlign w:val="center"/>
          </w:tcPr>
          <w:p w14:paraId="4FBD2EE7"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27BD467C"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210F1ED6"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48A8341D"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沙湾街</w:t>
            </w:r>
          </w:p>
        </w:tc>
        <w:tc>
          <w:tcPr>
            <w:tcW w:w="807" w:type="pct"/>
            <w:tcBorders>
              <w:top w:val="nil"/>
              <w:left w:val="nil"/>
              <w:bottom w:val="single" w:sz="4" w:space="0" w:color="auto"/>
              <w:right w:val="single" w:sz="4" w:space="0" w:color="auto"/>
            </w:tcBorders>
            <w:vAlign w:val="center"/>
          </w:tcPr>
          <w:p w14:paraId="77E4134D"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03C557DA"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44C808C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4906B30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44913CC2"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5C1EC4EB"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石壁街</w:t>
            </w:r>
          </w:p>
        </w:tc>
        <w:tc>
          <w:tcPr>
            <w:tcW w:w="807" w:type="pct"/>
            <w:tcBorders>
              <w:top w:val="nil"/>
              <w:left w:val="nil"/>
              <w:bottom w:val="single" w:sz="4" w:space="0" w:color="auto"/>
              <w:right w:val="single" w:sz="4" w:space="0" w:color="auto"/>
            </w:tcBorders>
            <w:vAlign w:val="center"/>
          </w:tcPr>
          <w:p w14:paraId="237548A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65713457"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61" w:type="pct"/>
            <w:tcBorders>
              <w:top w:val="nil"/>
              <w:left w:val="nil"/>
              <w:bottom w:val="single" w:sz="4" w:space="0" w:color="auto"/>
              <w:right w:val="single" w:sz="4" w:space="0" w:color="auto"/>
            </w:tcBorders>
            <w:vAlign w:val="center"/>
          </w:tcPr>
          <w:p w14:paraId="42F1C93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009" w:type="pct"/>
            <w:tcBorders>
              <w:top w:val="nil"/>
              <w:left w:val="nil"/>
              <w:bottom w:val="single" w:sz="4" w:space="0" w:color="auto"/>
              <w:right w:val="single" w:sz="4" w:space="0" w:color="auto"/>
            </w:tcBorders>
            <w:vAlign w:val="center"/>
          </w:tcPr>
          <w:p w14:paraId="50C22EFB"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75B8EE44"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12D4B5B2"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石</w:t>
            </w:r>
            <w:r>
              <w:rPr>
                <w:rFonts w:ascii="仿宋" w:eastAsia="仿宋" w:hAnsi="仿宋" w:cs="仿宋" w:hint="eastAsia"/>
                <w:sz w:val="24"/>
              </w:rPr>
              <w:t>碁</w:t>
            </w:r>
            <w:r>
              <w:rPr>
                <w:rFonts w:ascii="仿宋_GB2312" w:hAnsi="仿宋_GB2312" w:cs="仿宋_GB2312" w:hint="eastAsia"/>
                <w:sz w:val="24"/>
              </w:rPr>
              <w:t>镇</w:t>
            </w:r>
          </w:p>
        </w:tc>
        <w:tc>
          <w:tcPr>
            <w:tcW w:w="807" w:type="pct"/>
            <w:tcBorders>
              <w:top w:val="nil"/>
              <w:left w:val="nil"/>
              <w:bottom w:val="single" w:sz="4" w:space="0" w:color="auto"/>
              <w:right w:val="single" w:sz="4" w:space="0" w:color="auto"/>
            </w:tcBorders>
            <w:vAlign w:val="center"/>
          </w:tcPr>
          <w:p w14:paraId="054B31A1"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11" w:type="pct"/>
            <w:tcBorders>
              <w:top w:val="nil"/>
              <w:left w:val="nil"/>
              <w:bottom w:val="single" w:sz="4" w:space="0" w:color="auto"/>
              <w:right w:val="single" w:sz="4" w:space="0" w:color="auto"/>
            </w:tcBorders>
            <w:vAlign w:val="center"/>
          </w:tcPr>
          <w:p w14:paraId="30BB974D"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27A82616"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78C9EDE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4170A63B"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529992D3"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石楼镇</w:t>
            </w:r>
          </w:p>
        </w:tc>
        <w:tc>
          <w:tcPr>
            <w:tcW w:w="807" w:type="pct"/>
            <w:tcBorders>
              <w:top w:val="nil"/>
              <w:left w:val="nil"/>
              <w:bottom w:val="single" w:sz="4" w:space="0" w:color="auto"/>
              <w:right w:val="single" w:sz="4" w:space="0" w:color="auto"/>
            </w:tcBorders>
            <w:vAlign w:val="center"/>
          </w:tcPr>
          <w:p w14:paraId="68A286A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2</w:t>
            </w:r>
          </w:p>
        </w:tc>
        <w:tc>
          <w:tcPr>
            <w:tcW w:w="1211" w:type="pct"/>
            <w:tcBorders>
              <w:top w:val="nil"/>
              <w:left w:val="nil"/>
              <w:bottom w:val="single" w:sz="4" w:space="0" w:color="auto"/>
              <w:right w:val="single" w:sz="4" w:space="0" w:color="auto"/>
            </w:tcBorders>
            <w:vAlign w:val="center"/>
          </w:tcPr>
          <w:p w14:paraId="3E15E63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2</w:t>
            </w:r>
          </w:p>
        </w:tc>
        <w:tc>
          <w:tcPr>
            <w:tcW w:w="1261" w:type="pct"/>
            <w:tcBorders>
              <w:top w:val="nil"/>
              <w:left w:val="nil"/>
              <w:bottom w:val="single" w:sz="4" w:space="0" w:color="auto"/>
              <w:right w:val="single" w:sz="4" w:space="0" w:color="auto"/>
            </w:tcBorders>
            <w:vAlign w:val="center"/>
          </w:tcPr>
          <w:p w14:paraId="692D31AE"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009" w:type="pct"/>
            <w:tcBorders>
              <w:top w:val="nil"/>
              <w:left w:val="nil"/>
              <w:bottom w:val="single" w:sz="4" w:space="0" w:color="auto"/>
              <w:right w:val="single" w:sz="4" w:space="0" w:color="auto"/>
            </w:tcBorders>
            <w:vAlign w:val="center"/>
          </w:tcPr>
          <w:p w14:paraId="05D7C36B"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2936C2BC"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19A5EE6B"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小谷围街</w:t>
            </w:r>
          </w:p>
        </w:tc>
        <w:tc>
          <w:tcPr>
            <w:tcW w:w="807" w:type="pct"/>
            <w:tcBorders>
              <w:top w:val="nil"/>
              <w:left w:val="nil"/>
              <w:bottom w:val="single" w:sz="4" w:space="0" w:color="auto"/>
              <w:right w:val="single" w:sz="4" w:space="0" w:color="auto"/>
            </w:tcBorders>
            <w:vAlign w:val="center"/>
          </w:tcPr>
          <w:p w14:paraId="0DB82F3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6DF7976F"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61" w:type="pct"/>
            <w:tcBorders>
              <w:top w:val="nil"/>
              <w:left w:val="nil"/>
              <w:bottom w:val="single" w:sz="4" w:space="0" w:color="auto"/>
              <w:right w:val="single" w:sz="4" w:space="0" w:color="auto"/>
            </w:tcBorders>
            <w:vAlign w:val="center"/>
          </w:tcPr>
          <w:p w14:paraId="4E796A5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009" w:type="pct"/>
            <w:tcBorders>
              <w:top w:val="nil"/>
              <w:left w:val="nil"/>
              <w:bottom w:val="single" w:sz="4" w:space="0" w:color="auto"/>
              <w:right w:val="single" w:sz="4" w:space="0" w:color="auto"/>
            </w:tcBorders>
            <w:vAlign w:val="center"/>
          </w:tcPr>
          <w:p w14:paraId="22F196E6"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357B3EBF"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34D95D3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新造镇</w:t>
            </w:r>
          </w:p>
        </w:tc>
        <w:tc>
          <w:tcPr>
            <w:tcW w:w="807" w:type="pct"/>
            <w:tcBorders>
              <w:top w:val="nil"/>
              <w:left w:val="nil"/>
              <w:bottom w:val="single" w:sz="4" w:space="0" w:color="auto"/>
              <w:right w:val="single" w:sz="4" w:space="0" w:color="auto"/>
            </w:tcBorders>
            <w:vAlign w:val="center"/>
          </w:tcPr>
          <w:p w14:paraId="11DA0CA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75243E4D"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61" w:type="pct"/>
            <w:tcBorders>
              <w:top w:val="nil"/>
              <w:left w:val="nil"/>
              <w:bottom w:val="single" w:sz="4" w:space="0" w:color="auto"/>
              <w:right w:val="single" w:sz="4" w:space="0" w:color="auto"/>
            </w:tcBorders>
            <w:vAlign w:val="center"/>
          </w:tcPr>
          <w:p w14:paraId="0A7715CC"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158BF67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448D9569"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54230778"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钟村街</w:t>
            </w:r>
          </w:p>
        </w:tc>
        <w:tc>
          <w:tcPr>
            <w:tcW w:w="807" w:type="pct"/>
            <w:tcBorders>
              <w:top w:val="nil"/>
              <w:left w:val="nil"/>
              <w:bottom w:val="single" w:sz="4" w:space="0" w:color="auto"/>
              <w:right w:val="single" w:sz="4" w:space="0" w:color="auto"/>
            </w:tcBorders>
            <w:vAlign w:val="center"/>
          </w:tcPr>
          <w:p w14:paraId="5EE2578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211" w:type="pct"/>
            <w:tcBorders>
              <w:top w:val="nil"/>
              <w:left w:val="nil"/>
              <w:bottom w:val="single" w:sz="4" w:space="0" w:color="auto"/>
              <w:right w:val="single" w:sz="4" w:space="0" w:color="auto"/>
            </w:tcBorders>
            <w:vAlign w:val="center"/>
          </w:tcPr>
          <w:p w14:paraId="2C444363"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1</w:t>
            </w:r>
          </w:p>
        </w:tc>
        <w:tc>
          <w:tcPr>
            <w:tcW w:w="1261" w:type="pct"/>
            <w:tcBorders>
              <w:top w:val="nil"/>
              <w:left w:val="nil"/>
              <w:bottom w:val="single" w:sz="4" w:space="0" w:color="auto"/>
              <w:right w:val="single" w:sz="4" w:space="0" w:color="auto"/>
            </w:tcBorders>
            <w:vAlign w:val="center"/>
          </w:tcPr>
          <w:p w14:paraId="51D9FE09"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c>
          <w:tcPr>
            <w:tcW w:w="1009" w:type="pct"/>
            <w:tcBorders>
              <w:top w:val="nil"/>
              <w:left w:val="nil"/>
              <w:bottom w:val="single" w:sz="4" w:space="0" w:color="auto"/>
              <w:right w:val="single" w:sz="4" w:space="0" w:color="auto"/>
            </w:tcBorders>
            <w:vAlign w:val="center"/>
          </w:tcPr>
          <w:p w14:paraId="32F38DA4" w14:textId="77777777" w:rsidR="004E2B7C" w:rsidRDefault="004E2B7C">
            <w:pPr>
              <w:spacing w:line="320" w:lineRule="exact"/>
              <w:jc w:val="center"/>
              <w:rPr>
                <w:rFonts w:ascii="仿宋_GB2312" w:hAnsi="仿宋_GB2312" w:cs="仿宋_GB2312" w:hint="eastAsia"/>
                <w:sz w:val="24"/>
              </w:rPr>
            </w:pPr>
            <w:r>
              <w:rPr>
                <w:rFonts w:ascii="仿宋_GB2312" w:hAnsi="仿宋_GB2312" w:cs="仿宋_GB2312" w:hint="eastAsia"/>
                <w:sz w:val="24"/>
              </w:rPr>
              <w:t>0</w:t>
            </w:r>
          </w:p>
        </w:tc>
      </w:tr>
      <w:tr w:rsidR="004E2B7C" w14:paraId="0B0FD5A3" w14:textId="77777777">
        <w:trPr>
          <w:trHeight w:val="397"/>
          <w:jc w:val="center"/>
        </w:trPr>
        <w:tc>
          <w:tcPr>
            <w:tcW w:w="710" w:type="pct"/>
            <w:tcBorders>
              <w:top w:val="nil"/>
              <w:left w:val="single" w:sz="4" w:space="0" w:color="auto"/>
              <w:bottom w:val="single" w:sz="4" w:space="0" w:color="auto"/>
              <w:right w:val="single" w:sz="4" w:space="0" w:color="auto"/>
            </w:tcBorders>
            <w:vAlign w:val="center"/>
          </w:tcPr>
          <w:p w14:paraId="06A9A5E7" w14:textId="77777777" w:rsidR="004E2B7C" w:rsidRDefault="004E2B7C">
            <w:pPr>
              <w:spacing w:line="320" w:lineRule="exact"/>
              <w:jc w:val="center"/>
              <w:rPr>
                <w:rFonts w:ascii="仿宋_GB2312" w:hAnsi="仿宋_GB2312" w:cs="仿宋_GB2312" w:hint="eastAsia"/>
                <w:b/>
                <w:bCs/>
                <w:sz w:val="24"/>
              </w:rPr>
            </w:pPr>
            <w:r>
              <w:rPr>
                <w:rFonts w:ascii="仿宋_GB2312" w:hAnsi="仿宋_GB2312" w:cs="仿宋_GB2312" w:hint="eastAsia"/>
                <w:b/>
                <w:bCs/>
                <w:sz w:val="24"/>
              </w:rPr>
              <w:t>合计</w:t>
            </w:r>
          </w:p>
        </w:tc>
        <w:tc>
          <w:tcPr>
            <w:tcW w:w="807" w:type="pct"/>
            <w:tcBorders>
              <w:top w:val="nil"/>
              <w:left w:val="nil"/>
              <w:bottom w:val="single" w:sz="4" w:space="0" w:color="auto"/>
              <w:right w:val="single" w:sz="4" w:space="0" w:color="auto"/>
            </w:tcBorders>
            <w:vAlign w:val="center"/>
          </w:tcPr>
          <w:p w14:paraId="354E50B5" w14:textId="77777777" w:rsidR="004E2B7C" w:rsidRDefault="004E2B7C">
            <w:pPr>
              <w:spacing w:line="320" w:lineRule="exact"/>
              <w:jc w:val="center"/>
              <w:rPr>
                <w:rFonts w:ascii="仿宋_GB2312" w:hAnsi="仿宋_GB2312" w:cs="仿宋_GB2312" w:hint="eastAsia"/>
                <w:b/>
                <w:bCs/>
                <w:sz w:val="24"/>
              </w:rPr>
            </w:pPr>
            <w:r>
              <w:rPr>
                <w:rFonts w:ascii="仿宋_GB2312" w:hAnsi="仿宋_GB2312" w:cs="仿宋_GB2312" w:hint="eastAsia"/>
                <w:b/>
                <w:bCs/>
                <w:sz w:val="24"/>
              </w:rPr>
              <w:t>10</w:t>
            </w:r>
          </w:p>
        </w:tc>
        <w:tc>
          <w:tcPr>
            <w:tcW w:w="1211" w:type="pct"/>
            <w:tcBorders>
              <w:top w:val="nil"/>
              <w:left w:val="nil"/>
              <w:bottom w:val="single" w:sz="4" w:space="0" w:color="auto"/>
              <w:right w:val="single" w:sz="4" w:space="0" w:color="auto"/>
            </w:tcBorders>
            <w:vAlign w:val="center"/>
          </w:tcPr>
          <w:p w14:paraId="187AF5AA" w14:textId="77777777" w:rsidR="004E2B7C" w:rsidRDefault="004E2B7C">
            <w:pPr>
              <w:spacing w:line="320" w:lineRule="exact"/>
              <w:jc w:val="center"/>
              <w:rPr>
                <w:rFonts w:ascii="仿宋_GB2312" w:hAnsi="仿宋_GB2312" w:cs="仿宋_GB2312" w:hint="eastAsia"/>
                <w:b/>
                <w:bCs/>
                <w:sz w:val="24"/>
              </w:rPr>
            </w:pPr>
            <w:r>
              <w:rPr>
                <w:rFonts w:ascii="仿宋_GB2312" w:hAnsi="仿宋_GB2312" w:cs="仿宋_GB2312" w:hint="eastAsia"/>
                <w:b/>
                <w:bCs/>
                <w:sz w:val="24"/>
              </w:rPr>
              <w:t>8</w:t>
            </w:r>
          </w:p>
        </w:tc>
        <w:tc>
          <w:tcPr>
            <w:tcW w:w="1261" w:type="pct"/>
            <w:tcBorders>
              <w:top w:val="nil"/>
              <w:left w:val="nil"/>
              <w:bottom w:val="single" w:sz="4" w:space="0" w:color="auto"/>
              <w:right w:val="single" w:sz="4" w:space="0" w:color="auto"/>
            </w:tcBorders>
            <w:vAlign w:val="center"/>
          </w:tcPr>
          <w:p w14:paraId="402F404B" w14:textId="77777777" w:rsidR="004E2B7C" w:rsidRDefault="004E2B7C">
            <w:pPr>
              <w:spacing w:line="320" w:lineRule="exact"/>
              <w:jc w:val="center"/>
              <w:rPr>
                <w:rFonts w:ascii="仿宋_GB2312" w:hAnsi="仿宋_GB2312" w:cs="仿宋_GB2312" w:hint="eastAsia"/>
                <w:b/>
                <w:bCs/>
                <w:sz w:val="24"/>
              </w:rPr>
            </w:pPr>
            <w:r>
              <w:rPr>
                <w:rFonts w:ascii="仿宋_GB2312" w:hAnsi="仿宋_GB2312" w:cs="仿宋_GB2312" w:hint="eastAsia"/>
                <w:b/>
                <w:bCs/>
                <w:sz w:val="24"/>
              </w:rPr>
              <w:t>3</w:t>
            </w:r>
          </w:p>
        </w:tc>
        <w:tc>
          <w:tcPr>
            <w:tcW w:w="1009" w:type="pct"/>
            <w:tcBorders>
              <w:top w:val="nil"/>
              <w:left w:val="nil"/>
              <w:bottom w:val="single" w:sz="4" w:space="0" w:color="auto"/>
              <w:right w:val="single" w:sz="4" w:space="0" w:color="auto"/>
            </w:tcBorders>
            <w:vAlign w:val="center"/>
          </w:tcPr>
          <w:p w14:paraId="6FC2464C" w14:textId="77777777" w:rsidR="004E2B7C" w:rsidRDefault="004E2B7C">
            <w:pPr>
              <w:spacing w:line="320" w:lineRule="exact"/>
              <w:jc w:val="center"/>
              <w:rPr>
                <w:rFonts w:ascii="仿宋_GB2312" w:hAnsi="仿宋_GB2312" w:cs="仿宋_GB2312" w:hint="eastAsia"/>
                <w:b/>
                <w:bCs/>
                <w:sz w:val="24"/>
              </w:rPr>
            </w:pPr>
            <w:r>
              <w:rPr>
                <w:rFonts w:ascii="仿宋_GB2312" w:hAnsi="仿宋_GB2312" w:cs="仿宋_GB2312" w:hint="eastAsia"/>
                <w:b/>
                <w:bCs/>
                <w:sz w:val="24"/>
              </w:rPr>
              <w:t>1</w:t>
            </w:r>
          </w:p>
        </w:tc>
      </w:tr>
    </w:tbl>
    <w:p w14:paraId="798383C9" w14:textId="77777777" w:rsidR="004E2B7C" w:rsidRDefault="004E2B7C">
      <w:pPr>
        <w:spacing w:line="560" w:lineRule="exact"/>
        <w:rPr>
          <w:rFonts w:ascii="仿宋_GB2312" w:hint="eastAsia"/>
          <w:color w:val="000000"/>
          <w:szCs w:val="32"/>
        </w:rPr>
        <w:sectPr w:rsidR="004E2B7C">
          <w:pgSz w:w="16838" w:h="11906" w:orient="landscape"/>
          <w:pgMar w:top="1587" w:right="2098" w:bottom="1474" w:left="1985" w:header="1418" w:footer="1587" w:gutter="0"/>
          <w:pgNumType w:fmt="decimalFullWidth"/>
          <w:cols w:space="720"/>
          <w:docGrid w:type="linesAndChars" w:linePitch="589" w:charSpace="-849"/>
        </w:sectPr>
      </w:pPr>
    </w:p>
    <w:p w14:paraId="4563B15A" w14:textId="77777777" w:rsidR="004E2B7C" w:rsidRDefault="005A3C8C">
      <w:pPr>
        <w:spacing w:line="240" w:lineRule="exact"/>
        <w:rPr>
          <w:rFonts w:hint="eastAsia"/>
          <w:w w:val="80"/>
        </w:rPr>
      </w:pPr>
      <w:r>
        <w:rPr>
          <w:noProof/>
        </w:rPr>
        <w:lastRenderedPageBreak/>
        <mc:AlternateContent>
          <mc:Choice Requires="wps">
            <w:drawing>
              <wp:anchor distT="0" distB="0" distL="114300" distR="114300" simplePos="0" relativeHeight="251657728" behindDoc="0" locked="0" layoutInCell="1" allowOverlap="1" wp14:anchorId="0052917B" wp14:editId="7AA3C950">
                <wp:simplePos x="0" y="0"/>
                <wp:positionH relativeFrom="column">
                  <wp:posOffset>4460875</wp:posOffset>
                </wp:positionH>
                <wp:positionV relativeFrom="page">
                  <wp:posOffset>9337675</wp:posOffset>
                </wp:positionV>
                <wp:extent cx="1270000" cy="465455"/>
                <wp:effectExtent l="3175" t="3175" r="3175"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46545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0279260E" w14:textId="77777777" w:rsidR="004E2B7C" w:rsidRDefault="004E2B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52917B" id="_x0000_t202" coordsize="21600,21600" o:spt="202" path="m,l,21600r21600,l21600,xe">
                <v:stroke joinstyle="miter"/>
                <v:path gradientshapeok="t" o:connecttype="rect"/>
              </v:shapetype>
              <v:shape id="文本框 4" o:spid="_x0000_s1026" type="#_x0000_t202" style="position:absolute;left:0;text-align:left;margin-left:351.25pt;margin-top:735.25pt;width:100pt;height:36.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" stroked="f" strokeweight="2pt">
                <v:textbox>
                  <w:txbxContent>
                    <w:p w14:paraId="0279260E" w14:textId="77777777" w:rsidR="004E2B7C" w:rsidRDefault="004E2B7C"/>
                  </w:txbxContent>
                </v:textbox>
                <w10:wrap anchory="page"/>
              </v:shape>
            </w:pict>
          </mc:Fallback>
        </mc:AlternateContent>
      </w:r>
    </w:p>
    <w:sectPr w:rsidR="004E2B7C">
      <w:pgSz w:w="11906" w:h="16838"/>
      <w:pgMar w:top="2098" w:right="1474" w:bottom="1984" w:left="1587" w:header="1418" w:footer="1587" w:gutter="0"/>
      <w:pgNumType w:fmt="decimalFullWidth"/>
      <w:cols w:space="720"/>
      <w:docGrid w:type="linesAndChars" w:linePitch="589"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B2360" w14:textId="77777777" w:rsidR="0063498E" w:rsidRDefault="0063498E">
      <w:r>
        <w:separator/>
      </w:r>
    </w:p>
  </w:endnote>
  <w:endnote w:type="continuationSeparator" w:id="0">
    <w:p w14:paraId="7F0EEEF6" w14:textId="77777777" w:rsidR="0063498E" w:rsidRDefault="00634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script"/>
    <w:pitch w:val="default"/>
    <w:sig w:usb0="00000000" w:usb1="080E0000" w:usb2="00000000" w:usb3="00000000" w:csb0="00040000" w:csb1="00000000"/>
  </w:font>
  <w:font w:name="楷体_GB2312">
    <w:altName w:val="楷体"/>
    <w:charset w:val="86"/>
    <w:family w:val="auto"/>
    <w:pitch w:val="default"/>
    <w:sig w:usb0="00000001" w:usb1="080E0000" w:usb2="00000000" w:usb3="00000000" w:csb0="00040000" w:csb1="00000000"/>
  </w:font>
  <w:font w:name="方正仿宋_GBK">
    <w:altName w:val="微软雅黑"/>
    <w:charset w:val="86"/>
    <w:family w:val="auto"/>
    <w:pitch w:val="default"/>
    <w:sig w:usb0="00000001" w:usb1="08000000" w:usb2="00000000" w:usb3="00000000" w:csb0="00040000" w:csb1="00000000"/>
  </w:font>
  <w:font w:name="方正小标宋_GBK">
    <w:altName w:val="微软雅黑"/>
    <w:charset w:val="86"/>
    <w:family w:val="auto"/>
    <w:pitch w:val="default"/>
    <w:sig w:usb0="00000001" w:usb1="08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6155C" w14:textId="77777777" w:rsidR="004E2B7C" w:rsidRDefault="004E2B7C">
    <w:pPr>
      <w:pStyle w:val="a5"/>
      <w:framePr w:wrap="around" w:vAnchor="text" w:hAnchor="margin" w:xAlign="outside" w:y="1"/>
      <w:rPr>
        <w:rStyle w:val="ab"/>
      </w:rPr>
    </w:pPr>
    <w:r>
      <w:fldChar w:fldCharType="begin"/>
    </w:r>
    <w:r>
      <w:rPr>
        <w:rStyle w:val="ab"/>
      </w:rPr>
      <w:instrText xml:space="preserve">PAGE  </w:instrText>
    </w:r>
    <w:r>
      <w:fldChar w:fldCharType="end"/>
    </w:r>
  </w:p>
  <w:p w14:paraId="36CE197A" w14:textId="77777777" w:rsidR="004E2B7C" w:rsidRDefault="004E2B7C">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C6CE9" w14:textId="77777777" w:rsidR="004E2B7C" w:rsidRDefault="004E2B7C">
    <w:pPr>
      <w:pStyle w:val="a5"/>
      <w:framePr w:wrap="around" w:vAnchor="text" w:hAnchor="margin" w:xAlign="outside" w:y="1"/>
      <w:rPr>
        <w:rStyle w:val="ab"/>
        <w:rFonts w:hint="eastAsia"/>
        <w:sz w:val="28"/>
        <w:szCs w:val="28"/>
      </w:rPr>
    </w:pPr>
    <w:r>
      <w:rPr>
        <w:rStyle w:val="ab"/>
        <w:rFonts w:hint="eastAsia"/>
        <w:sz w:val="28"/>
        <w:szCs w:val="28"/>
      </w:rPr>
      <w:t>—</w:t>
    </w:r>
    <w:r>
      <w:rPr>
        <w:rStyle w:val="ab"/>
        <w:rFonts w:hint="eastAsia"/>
        <w:sz w:val="28"/>
        <w:szCs w:val="28"/>
      </w:rPr>
      <w:t xml:space="preserve"> </w:t>
    </w:r>
    <w:r>
      <w:rPr>
        <w:sz w:val="28"/>
        <w:szCs w:val="28"/>
      </w:rPr>
      <w:fldChar w:fldCharType="begin"/>
    </w:r>
    <w:r>
      <w:rPr>
        <w:rStyle w:val="ab"/>
        <w:sz w:val="28"/>
        <w:szCs w:val="28"/>
      </w:rPr>
      <w:instrText xml:space="preserve">PAGE  </w:instrText>
    </w:r>
    <w:r>
      <w:rPr>
        <w:sz w:val="28"/>
        <w:szCs w:val="28"/>
      </w:rPr>
      <w:fldChar w:fldCharType="separate"/>
    </w:r>
    <w:r w:rsidR="00F93617">
      <w:rPr>
        <w:rStyle w:val="ab"/>
        <w:rFonts w:hint="eastAsia"/>
        <w:noProof/>
        <w:sz w:val="28"/>
        <w:szCs w:val="28"/>
      </w:rPr>
      <w:t>７４</w:t>
    </w:r>
    <w:r>
      <w:rPr>
        <w:sz w:val="28"/>
        <w:szCs w:val="28"/>
      </w:rPr>
      <w:fldChar w:fldCharType="end"/>
    </w:r>
    <w:r>
      <w:rPr>
        <w:rStyle w:val="ab"/>
        <w:rFonts w:hint="eastAsia"/>
        <w:sz w:val="28"/>
        <w:szCs w:val="28"/>
      </w:rPr>
      <w:t xml:space="preserve"> </w:t>
    </w:r>
    <w:r>
      <w:rPr>
        <w:rStyle w:val="ab"/>
        <w:rFonts w:hint="eastAsia"/>
        <w:sz w:val="28"/>
        <w:szCs w:val="28"/>
      </w:rPr>
      <w:t>—</w:t>
    </w:r>
  </w:p>
  <w:p w14:paraId="198B0522" w14:textId="77777777" w:rsidR="004E2B7C" w:rsidRDefault="004E2B7C">
    <w:pPr>
      <w:pStyle w:val="a5"/>
      <w:ind w:right="360"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D2017" w14:textId="77777777" w:rsidR="0063498E" w:rsidRDefault="0063498E">
      <w:r>
        <w:separator/>
      </w:r>
    </w:p>
  </w:footnote>
  <w:footnote w:type="continuationSeparator" w:id="0">
    <w:p w14:paraId="6F6860AC" w14:textId="77777777" w:rsidR="0063498E" w:rsidRDefault="0063498E">
      <w:r>
        <w:continuationSeparator/>
      </w:r>
    </w:p>
  </w:footnote>
  <w:footnote w:id="1">
    <w:p w14:paraId="5F3AF47C" w14:textId="77777777" w:rsidR="004E2B7C" w:rsidRDefault="004E2B7C">
      <w:pPr>
        <w:pStyle w:val="a7"/>
        <w:rPr>
          <w:rFonts w:hint="eastAsia"/>
        </w:rPr>
      </w:pPr>
      <w:r>
        <w:rPr>
          <w:rStyle w:val="ac"/>
        </w:rPr>
        <w:footnoteRef/>
      </w:r>
      <w:r>
        <w:t xml:space="preserve"> </w:t>
      </w:r>
      <w:r>
        <w:rPr>
          <w:rFonts w:hint="eastAsia"/>
        </w:rPr>
        <w:t>仲元中学的击剑，番禺中学的篮球和啦啦操，化龙中学的毽球，沙涌小学的跳绳，南村镇中心小学的武术等。</w:t>
      </w:r>
    </w:p>
  </w:footnote>
  <w:footnote w:id="2">
    <w:p w14:paraId="73C21103" w14:textId="77777777" w:rsidR="004E2B7C" w:rsidRDefault="004E2B7C">
      <w:pPr>
        <w:pStyle w:val="a7"/>
        <w:rPr>
          <w:rFonts w:hint="eastAsia"/>
        </w:rPr>
      </w:pPr>
      <w:r>
        <w:rPr>
          <w:rStyle w:val="ac"/>
        </w:rPr>
        <w:footnoteRef/>
      </w:r>
      <w:r>
        <w:t xml:space="preserve"> </w:t>
      </w:r>
      <w:r>
        <w:rPr>
          <w:rFonts w:ascii="仿宋_GB2312" w:hAnsi="仿宋_GB2312" w:cs="仿宋_GB2312" w:hint="eastAsia"/>
        </w:rPr>
        <w:t>“1”为1个区级特教指导中心，“8+N”为8个镇（街）特教工作小组加N个融合教育示范学校，“X”为多个随班就读学校。</w:t>
      </w:r>
    </w:p>
  </w:footnote>
  <w:footnote w:id="3">
    <w:p w14:paraId="77138ED5" w14:textId="77777777" w:rsidR="004E2B7C" w:rsidRDefault="004E2B7C">
      <w:pPr>
        <w:pStyle w:val="a7"/>
        <w:rPr>
          <w:rFonts w:hint="eastAsia"/>
        </w:rPr>
      </w:pPr>
      <w:r>
        <w:rPr>
          <w:rStyle w:val="ac"/>
        </w:rPr>
        <w:footnoteRef/>
      </w:r>
      <w:r>
        <w:t xml:space="preserve"> </w:t>
      </w:r>
      <w:r>
        <w:rPr>
          <w:rFonts w:ascii="仿宋_GB2312" w:hAnsi="仿宋_GB2312" w:cs="仿宋_GB2312" w:hint="eastAsia"/>
        </w:rPr>
        <w:t>3年学前教育，9年义务教育，3年职业高中教育。</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58"/>
  <w:drawingGridVerticalSpacing w:val="295"/>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DD"/>
    <w:rsid w:val="000039BD"/>
    <w:rsid w:val="00014C9A"/>
    <w:rsid w:val="000224E5"/>
    <w:rsid w:val="00022C1C"/>
    <w:rsid w:val="00030218"/>
    <w:rsid w:val="00063C2D"/>
    <w:rsid w:val="00066D03"/>
    <w:rsid w:val="00093380"/>
    <w:rsid w:val="000950D7"/>
    <w:rsid w:val="000D7994"/>
    <w:rsid w:val="000F0B57"/>
    <w:rsid w:val="00101E98"/>
    <w:rsid w:val="00114198"/>
    <w:rsid w:val="0011695C"/>
    <w:rsid w:val="00120F2A"/>
    <w:rsid w:val="00125855"/>
    <w:rsid w:val="00130C12"/>
    <w:rsid w:val="00152D82"/>
    <w:rsid w:val="00162525"/>
    <w:rsid w:val="001D17E8"/>
    <w:rsid w:val="001D409F"/>
    <w:rsid w:val="001E0078"/>
    <w:rsid w:val="001E57EF"/>
    <w:rsid w:val="001F3B0B"/>
    <w:rsid w:val="00231242"/>
    <w:rsid w:val="00232CB5"/>
    <w:rsid w:val="0024028E"/>
    <w:rsid w:val="002964CD"/>
    <w:rsid w:val="002D3303"/>
    <w:rsid w:val="003255D5"/>
    <w:rsid w:val="00424ADE"/>
    <w:rsid w:val="0044094F"/>
    <w:rsid w:val="00460079"/>
    <w:rsid w:val="00461851"/>
    <w:rsid w:val="00472B64"/>
    <w:rsid w:val="004A5977"/>
    <w:rsid w:val="004A66FB"/>
    <w:rsid w:val="004C074E"/>
    <w:rsid w:val="004C49D8"/>
    <w:rsid w:val="004E2B7C"/>
    <w:rsid w:val="00533CE4"/>
    <w:rsid w:val="00554039"/>
    <w:rsid w:val="00567A1D"/>
    <w:rsid w:val="00595079"/>
    <w:rsid w:val="005A3C8C"/>
    <w:rsid w:val="006054F9"/>
    <w:rsid w:val="0062005E"/>
    <w:rsid w:val="00620A06"/>
    <w:rsid w:val="0062610E"/>
    <w:rsid w:val="0063498E"/>
    <w:rsid w:val="00642D6A"/>
    <w:rsid w:val="006718C7"/>
    <w:rsid w:val="00695D35"/>
    <w:rsid w:val="006C16F7"/>
    <w:rsid w:val="006E4873"/>
    <w:rsid w:val="006F4650"/>
    <w:rsid w:val="00715782"/>
    <w:rsid w:val="007215ED"/>
    <w:rsid w:val="00722561"/>
    <w:rsid w:val="00725A33"/>
    <w:rsid w:val="00763DDB"/>
    <w:rsid w:val="00764E0D"/>
    <w:rsid w:val="0077566A"/>
    <w:rsid w:val="00776B4F"/>
    <w:rsid w:val="007B2599"/>
    <w:rsid w:val="00866503"/>
    <w:rsid w:val="00884D36"/>
    <w:rsid w:val="008B6D23"/>
    <w:rsid w:val="008C4580"/>
    <w:rsid w:val="008C560A"/>
    <w:rsid w:val="008E7E4B"/>
    <w:rsid w:val="00910EAB"/>
    <w:rsid w:val="00913412"/>
    <w:rsid w:val="009442B2"/>
    <w:rsid w:val="00946B05"/>
    <w:rsid w:val="00953916"/>
    <w:rsid w:val="00956FEC"/>
    <w:rsid w:val="00961017"/>
    <w:rsid w:val="00980332"/>
    <w:rsid w:val="009921A4"/>
    <w:rsid w:val="009E515A"/>
    <w:rsid w:val="009E618E"/>
    <w:rsid w:val="00A26678"/>
    <w:rsid w:val="00A33F04"/>
    <w:rsid w:val="00A43D59"/>
    <w:rsid w:val="00A57E4E"/>
    <w:rsid w:val="00A630B3"/>
    <w:rsid w:val="00AA27F5"/>
    <w:rsid w:val="00AB6D4D"/>
    <w:rsid w:val="00B66D64"/>
    <w:rsid w:val="00B7008F"/>
    <w:rsid w:val="00B844BF"/>
    <w:rsid w:val="00B95E18"/>
    <w:rsid w:val="00B97220"/>
    <w:rsid w:val="00BF4A4F"/>
    <w:rsid w:val="00C304D0"/>
    <w:rsid w:val="00C355D1"/>
    <w:rsid w:val="00C4729B"/>
    <w:rsid w:val="00C51F12"/>
    <w:rsid w:val="00C93DDC"/>
    <w:rsid w:val="00C96A8D"/>
    <w:rsid w:val="00C974DD"/>
    <w:rsid w:val="00CB44C3"/>
    <w:rsid w:val="00CC396E"/>
    <w:rsid w:val="00CF6D9E"/>
    <w:rsid w:val="00D3114E"/>
    <w:rsid w:val="00D74721"/>
    <w:rsid w:val="00DA333A"/>
    <w:rsid w:val="00DA6AB3"/>
    <w:rsid w:val="00E0354D"/>
    <w:rsid w:val="00E1740C"/>
    <w:rsid w:val="00E3348F"/>
    <w:rsid w:val="00E564FE"/>
    <w:rsid w:val="00EB5415"/>
    <w:rsid w:val="00EC7DCF"/>
    <w:rsid w:val="00EE2CE5"/>
    <w:rsid w:val="00EE3B4E"/>
    <w:rsid w:val="00EE3F13"/>
    <w:rsid w:val="00EF56AB"/>
    <w:rsid w:val="00EF6B61"/>
    <w:rsid w:val="00F27945"/>
    <w:rsid w:val="00F72093"/>
    <w:rsid w:val="00F76917"/>
    <w:rsid w:val="00F93617"/>
    <w:rsid w:val="00F97E80"/>
    <w:rsid w:val="00FB6DA8"/>
    <w:rsid w:val="00FC2CC8"/>
    <w:rsid w:val="05F268BB"/>
    <w:rsid w:val="065B7B0E"/>
    <w:rsid w:val="075E4835"/>
    <w:rsid w:val="095E0714"/>
    <w:rsid w:val="098C4CC6"/>
    <w:rsid w:val="0A1B4C2E"/>
    <w:rsid w:val="0DAD4216"/>
    <w:rsid w:val="0E4E4F90"/>
    <w:rsid w:val="0FB863A6"/>
    <w:rsid w:val="1000439D"/>
    <w:rsid w:val="1148268A"/>
    <w:rsid w:val="16F03E35"/>
    <w:rsid w:val="18BB6983"/>
    <w:rsid w:val="1CDF1C0C"/>
    <w:rsid w:val="1D094E13"/>
    <w:rsid w:val="1DB30D64"/>
    <w:rsid w:val="1DB6C40E"/>
    <w:rsid w:val="1F7FCA79"/>
    <w:rsid w:val="1FFE4B2D"/>
    <w:rsid w:val="207C19DD"/>
    <w:rsid w:val="24357894"/>
    <w:rsid w:val="26FB36C3"/>
    <w:rsid w:val="2AEC25F6"/>
    <w:rsid w:val="2C027A8D"/>
    <w:rsid w:val="2D845C21"/>
    <w:rsid w:val="2EA4243C"/>
    <w:rsid w:val="2ED35EDD"/>
    <w:rsid w:val="2F7BCBC7"/>
    <w:rsid w:val="2FC61907"/>
    <w:rsid w:val="331C2E8F"/>
    <w:rsid w:val="34CC4A71"/>
    <w:rsid w:val="36D51FE3"/>
    <w:rsid w:val="36F037E5"/>
    <w:rsid w:val="36F93729"/>
    <w:rsid w:val="373F390E"/>
    <w:rsid w:val="37BF7D1F"/>
    <w:rsid w:val="37DC765E"/>
    <w:rsid w:val="38E4692A"/>
    <w:rsid w:val="39380623"/>
    <w:rsid w:val="3CF71057"/>
    <w:rsid w:val="3D35430D"/>
    <w:rsid w:val="3D5D7E66"/>
    <w:rsid w:val="3D8451E1"/>
    <w:rsid w:val="3E3469D0"/>
    <w:rsid w:val="3E896985"/>
    <w:rsid w:val="3F45270E"/>
    <w:rsid w:val="3F7AA075"/>
    <w:rsid w:val="3FB73CFF"/>
    <w:rsid w:val="3FD97691"/>
    <w:rsid w:val="3FF44156"/>
    <w:rsid w:val="41231691"/>
    <w:rsid w:val="44DF90BD"/>
    <w:rsid w:val="46164EF0"/>
    <w:rsid w:val="4A6D276E"/>
    <w:rsid w:val="4BB234E6"/>
    <w:rsid w:val="4D0106BF"/>
    <w:rsid w:val="4D02325B"/>
    <w:rsid w:val="4E003FB4"/>
    <w:rsid w:val="51D06CA7"/>
    <w:rsid w:val="52BF0EA9"/>
    <w:rsid w:val="52C92BF5"/>
    <w:rsid w:val="52FB6E97"/>
    <w:rsid w:val="54400EB7"/>
    <w:rsid w:val="562471D5"/>
    <w:rsid w:val="57734AC5"/>
    <w:rsid w:val="57DFFE84"/>
    <w:rsid w:val="592F136A"/>
    <w:rsid w:val="59CA78F5"/>
    <w:rsid w:val="5AC70B45"/>
    <w:rsid w:val="5B2A27B7"/>
    <w:rsid w:val="5B7FC7F0"/>
    <w:rsid w:val="5BC7C588"/>
    <w:rsid w:val="5BFE2247"/>
    <w:rsid w:val="5DEF8420"/>
    <w:rsid w:val="5EC21ACC"/>
    <w:rsid w:val="5EDE67D6"/>
    <w:rsid w:val="5F322F7B"/>
    <w:rsid w:val="5F77C6F0"/>
    <w:rsid w:val="5FBD5292"/>
    <w:rsid w:val="5FCFD6F7"/>
    <w:rsid w:val="5FD3B5EE"/>
    <w:rsid w:val="617645F8"/>
    <w:rsid w:val="61BA54C0"/>
    <w:rsid w:val="62B1262D"/>
    <w:rsid w:val="63A05979"/>
    <w:rsid w:val="64EA5E64"/>
    <w:rsid w:val="66B72E4E"/>
    <w:rsid w:val="677F3668"/>
    <w:rsid w:val="6B555DC6"/>
    <w:rsid w:val="6BFF012D"/>
    <w:rsid w:val="6E5A11BC"/>
    <w:rsid w:val="6FBB95C8"/>
    <w:rsid w:val="6FC7927D"/>
    <w:rsid w:val="6FDFDDF1"/>
    <w:rsid w:val="70EF5185"/>
    <w:rsid w:val="71A400A0"/>
    <w:rsid w:val="71AE0CE7"/>
    <w:rsid w:val="71FDD3A9"/>
    <w:rsid w:val="73AFE8CE"/>
    <w:rsid w:val="73F92DCA"/>
    <w:rsid w:val="740D17A2"/>
    <w:rsid w:val="770B70CE"/>
    <w:rsid w:val="77F6FD02"/>
    <w:rsid w:val="79B48F7C"/>
    <w:rsid w:val="79BFEBED"/>
    <w:rsid w:val="79DD4B21"/>
    <w:rsid w:val="79F78295"/>
    <w:rsid w:val="7AAA3F10"/>
    <w:rsid w:val="7AEF85D2"/>
    <w:rsid w:val="7AFB891D"/>
    <w:rsid w:val="7BB95033"/>
    <w:rsid w:val="7BBFC047"/>
    <w:rsid w:val="7BDA9CC3"/>
    <w:rsid w:val="7BF3866A"/>
    <w:rsid w:val="7CEBDF9A"/>
    <w:rsid w:val="7D4410F1"/>
    <w:rsid w:val="7DDFD6DD"/>
    <w:rsid w:val="7DFE1C93"/>
    <w:rsid w:val="7E5B9D8A"/>
    <w:rsid w:val="7E9D9DFD"/>
    <w:rsid w:val="7EF36A12"/>
    <w:rsid w:val="7EFC9258"/>
    <w:rsid w:val="7F7D58EC"/>
    <w:rsid w:val="7F9A3E13"/>
    <w:rsid w:val="7FDD4592"/>
    <w:rsid w:val="7FECD849"/>
    <w:rsid w:val="7FEE57EC"/>
    <w:rsid w:val="7FEF89E3"/>
    <w:rsid w:val="7FF145FF"/>
    <w:rsid w:val="8CFF08CB"/>
    <w:rsid w:val="8FABF082"/>
    <w:rsid w:val="9AEE6247"/>
    <w:rsid w:val="9F5F2F6B"/>
    <w:rsid w:val="ABDF6DB3"/>
    <w:rsid w:val="B5DF0CEF"/>
    <w:rsid w:val="B7AF2CED"/>
    <w:rsid w:val="BAFF2317"/>
    <w:rsid w:val="BB7E9ED6"/>
    <w:rsid w:val="BBDF7D62"/>
    <w:rsid w:val="BDCE8E02"/>
    <w:rsid w:val="BEB71835"/>
    <w:rsid w:val="BEEA17CF"/>
    <w:rsid w:val="BEEE19DA"/>
    <w:rsid w:val="BF8BE0C7"/>
    <w:rsid w:val="CBFE98D6"/>
    <w:rsid w:val="CCFFE907"/>
    <w:rsid w:val="CFFF7263"/>
    <w:rsid w:val="D2E51A89"/>
    <w:rsid w:val="D3FF894E"/>
    <w:rsid w:val="D43EB241"/>
    <w:rsid w:val="DBFD68D7"/>
    <w:rsid w:val="DD9E4BF7"/>
    <w:rsid w:val="DEC9D00E"/>
    <w:rsid w:val="DFFD74D6"/>
    <w:rsid w:val="DFFED826"/>
    <w:rsid w:val="DFFFB2E2"/>
    <w:rsid w:val="E777966E"/>
    <w:rsid w:val="E7AE3AFC"/>
    <w:rsid w:val="EB7DE7CB"/>
    <w:rsid w:val="ED4426FF"/>
    <w:rsid w:val="EF970CA4"/>
    <w:rsid w:val="EFD744BC"/>
    <w:rsid w:val="F5B781CA"/>
    <w:rsid w:val="F5DB687B"/>
    <w:rsid w:val="F5E3EF9B"/>
    <w:rsid w:val="F69DF94B"/>
    <w:rsid w:val="F7797613"/>
    <w:rsid w:val="F9B37B9F"/>
    <w:rsid w:val="FAF7AE07"/>
    <w:rsid w:val="FBF3B09A"/>
    <w:rsid w:val="FF4F462D"/>
    <w:rsid w:val="FF564F59"/>
    <w:rsid w:val="FF5AA4B8"/>
    <w:rsid w:val="FF75507B"/>
    <w:rsid w:val="FFBDE561"/>
    <w:rsid w:val="FFFB7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color="red">
      <v:fill color="white"/>
      <v:stroke color="red" weight="2pt"/>
    </o:shapedefaults>
    <o:shapelayout v:ext="edit">
      <o:idmap v:ext="edit" data="1"/>
    </o:shapelayout>
  </w:shapeDefaults>
  <w:decimalSymbol w:val="."/>
  <w:listSeparator w:val=","/>
  <w14:docId w14:val="5EEE910F"/>
  <w15:chartTrackingRefBased/>
  <w15:docId w15:val="{C896997B-D9B6-4CB3-A743-94C82963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annotation text" w:uiPriority="99" w:unhideWhenUsed="1" w:qFormat="1"/>
    <w:lsdException w:name="caption" w:semiHidden="1" w:unhideWhenUsed="1" w:qFormat="1"/>
    <w:lsdException w:name="footnote reference" w:uiPriority="99" w:unhideWhenUsed="1" w:qFormat="1"/>
    <w:lsdException w:name="Title" w:qFormat="1"/>
    <w:lsdException w:name="Default Paragraph Font" w:semiHidden="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32"/>
      <w:szCs w:val="24"/>
    </w:rPr>
  </w:style>
  <w:style w:type="paragraph" w:styleId="1">
    <w:name w:val="heading 1"/>
    <w:basedOn w:val="a"/>
    <w:next w:val="a"/>
    <w:uiPriority w:val="9"/>
    <w:qFormat/>
    <w:pPr>
      <w:keepNext/>
      <w:keepLines/>
      <w:spacing w:before="240" w:after="240"/>
      <w:ind w:firstLineChars="200" w:firstLine="200"/>
      <w:jc w:val="left"/>
      <w:outlineLvl w:val="0"/>
    </w:pPr>
    <w:rPr>
      <w:rFonts w:eastAsia="黑体"/>
      <w:b/>
      <w:bCs/>
      <w:kern w:val="44"/>
      <w:szCs w:val="44"/>
    </w:rPr>
  </w:style>
  <w:style w:type="paragraph" w:styleId="2">
    <w:name w:val="heading 2"/>
    <w:basedOn w:val="a"/>
    <w:next w:val="a"/>
    <w:link w:val="20"/>
    <w:qFormat/>
    <w:pPr>
      <w:spacing w:beforeLines="50" w:afterLines="50"/>
      <w:ind w:firstLineChars="200" w:firstLine="200"/>
      <w:jc w:val="left"/>
      <w:outlineLvl w:val="1"/>
    </w:pPr>
    <w:rPr>
      <w:rFonts w:ascii="微软雅黑" w:eastAsia="黑体" w:hAnsi="微软雅黑"/>
      <w:b/>
      <w:kern w:val="0"/>
      <w:szCs w:val="36"/>
    </w:rPr>
  </w:style>
  <w:style w:type="paragraph" w:styleId="3">
    <w:name w:val="heading 3"/>
    <w:basedOn w:val="a"/>
    <w:next w:val="a"/>
    <w:uiPriority w:val="9"/>
    <w:qFormat/>
    <w:pPr>
      <w:keepNext/>
      <w:keepLines/>
      <w:spacing w:before="120" w:after="120"/>
      <w:ind w:firstLineChars="200" w:firstLine="200"/>
      <w:outlineLvl w:val="2"/>
    </w:pPr>
    <w:rPr>
      <w:rFonts w:eastAsia="楷体"/>
      <w:b/>
      <w:bCs/>
      <w:szCs w:val="32"/>
    </w:rPr>
  </w:style>
  <w:style w:type="paragraph" w:styleId="4">
    <w:name w:val="heading 4"/>
    <w:basedOn w:val="a"/>
    <w:next w:val="a"/>
    <w:uiPriority w:val="9"/>
    <w:qFormat/>
    <w:pPr>
      <w:keepNext/>
      <w:keepLines/>
      <w:ind w:firstLineChars="200" w:firstLine="200"/>
      <w:outlineLvl w:val="3"/>
    </w:pPr>
    <w:rPr>
      <w:rFonts w:ascii="仿宋" w:eastAsia="仿宋" w:hAnsi="仿宋"/>
      <w:b/>
      <w:bCs/>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qFormat/>
    <w:rPr>
      <w:rFonts w:ascii="微软雅黑" w:eastAsia="黑体" w:hAnsi="微软雅黑" w:cs="Times New Roman"/>
      <w:b/>
      <w:kern w:val="0"/>
      <w:sz w:val="32"/>
      <w:szCs w:val="36"/>
    </w:rPr>
  </w:style>
  <w:style w:type="paragraph" w:styleId="a3">
    <w:name w:val="annotation text"/>
    <w:basedOn w:val="a"/>
    <w:uiPriority w:val="99"/>
    <w:unhideWhenUsed/>
    <w:qFormat/>
    <w:pPr>
      <w:jc w:val="left"/>
    </w:pPr>
  </w:style>
  <w:style w:type="paragraph" w:styleId="a4">
    <w:name w:val="Body Text"/>
    <w:basedOn w:val="a"/>
    <w:qFormat/>
    <w:pPr>
      <w:jc w:val="center"/>
    </w:pPr>
    <w:rPr>
      <w:rFonts w:ascii="黑体" w:eastAsia="黑体" w:hAnsi="Calibri"/>
      <w:sz w:val="44"/>
    </w:rPr>
  </w:style>
  <w:style w:type="paragraph" w:styleId="30">
    <w:name w:val="目录 3"/>
    <w:basedOn w:val="a"/>
    <w:next w:val="a"/>
    <w:pPr>
      <w:ind w:leftChars="400" w:left="840"/>
    </w:p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10">
    <w:name w:val="目录 1"/>
    <w:basedOn w:val="a"/>
    <w:next w:val="a"/>
  </w:style>
  <w:style w:type="paragraph" w:styleId="a7">
    <w:name w:val="footnote text"/>
    <w:basedOn w:val="a"/>
    <w:uiPriority w:val="99"/>
    <w:unhideWhenUsed/>
    <w:qFormat/>
    <w:pPr>
      <w:snapToGrid w:val="0"/>
      <w:jc w:val="left"/>
    </w:pPr>
    <w:rPr>
      <w:sz w:val="18"/>
      <w:szCs w:val="18"/>
    </w:rPr>
  </w:style>
  <w:style w:type="paragraph" w:styleId="21">
    <w:name w:val="目录 2"/>
    <w:basedOn w:val="a"/>
    <w:next w:val="a"/>
    <w:pPr>
      <w:ind w:leftChars="200" w:left="420"/>
    </w:pPr>
  </w:style>
  <w:style w:type="paragraph" w:styleId="a8">
    <w:name w:val="Normal (Web)"/>
    <w:basedOn w:val="a"/>
    <w:next w:val="a"/>
    <w:uiPriority w:val="99"/>
    <w:qFormat/>
    <w:pPr>
      <w:ind w:firstLineChars="200" w:firstLine="200"/>
      <w:jc w:val="left"/>
    </w:pPr>
    <w:rPr>
      <w:rFonts w:eastAsia="仿宋"/>
      <w:kern w:val="0"/>
    </w:rPr>
  </w:style>
  <w:style w:type="paragraph" w:styleId="a9">
    <w:name w:val="正文首行缩进"/>
    <w:basedOn w:val="a4"/>
    <w:qFormat/>
    <w:pPr>
      <w:spacing w:after="120"/>
      <w:ind w:firstLineChars="100" w:firstLine="420"/>
      <w:jc w:val="both"/>
    </w:pPr>
    <w:rPr>
      <w:rFonts w:ascii="Times New Roman" w:eastAsia="仿宋_GB2312" w:hAnsi="Times New Roman"/>
      <w:sz w:val="32"/>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style>
  <w:style w:type="character" w:styleId="ac">
    <w:name w:val="footnote reference"/>
    <w:uiPriority w:val="99"/>
    <w:unhideWhenUsed/>
    <w:qFormat/>
    <w:rPr>
      <w:vertAlign w:val="superscript"/>
    </w:rPr>
  </w:style>
  <w:style w:type="character" w:customStyle="1" w:styleId="2Char">
    <w:name w:val="标题 2 Char"/>
    <w:link w:val="2"/>
    <w:qFormat/>
    <w:rPr>
      <w:rFonts w:ascii="微软雅黑" w:eastAsia="黑体" w:hAnsi="微软雅黑" w:cs="Times New Roman"/>
      <w:b/>
      <w:kern w:val="0"/>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Microsoft_Excel_97-2003_Worksheet.xls"/><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5365</Words>
  <Characters>30586</Characters>
  <Application>Microsoft Office Word</Application>
  <DocSecurity>0</DocSecurity>
  <Lines>254</Lines>
  <Paragraphs>71</Paragraphs>
  <ScaleCrop>false</ScaleCrop>
  <Company>Microsoft</Company>
  <LinksUpToDate>false</LinksUpToDate>
  <CharactersWithSpaces>35880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广州市番禺区人民政府办公室文件</dc:title>
  <dc:subject/>
  <dc:creator>苏明</dc:creator>
  <cp:keywords/>
  <dc:description/>
  <cp:lastModifiedBy>葱 包子</cp:lastModifiedBy>
  <cp:revision>3</cp:revision>
  <cp:lastPrinted>2012-12-22T02:48:00Z</cp:lastPrinted>
  <dcterms:created xsi:type="dcterms:W3CDTF">2023-01-19T10:37:00Z</dcterms:created>
  <dcterms:modified xsi:type="dcterms:W3CDTF">2023-01-19T10:37:00Z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2052-11.8.2.11019</vt:lpwstr>
  </property>
  <property fmtid="{D5CDD505-2E9C-101B-9397-08002B2CF9AE}" pid="3" name="ICV">
    <vt:lpwstr>0E80F84657AF466499FA933AC60B2AE3</vt:lpwstr>
  </property>
</Properties>
</file>