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331" w:lineRule="auto" w:after="40"/>
        <w:ind w:firstLine="0"/>
        <w:jc w:val="center"/>
      </w:pPr>
      <w:r>
        <w:rPr>
          <w:rFonts w:ascii="Times New Roman" w:hAnsi="Times New Roman" w:eastAsia="黑体"/>
          <w:b/>
          <w:sz w:val="36"/>
        </w:rPr>
        <w:t>「管策智研」智能体评测</w:t>
      </w:r>
    </w:p>
    <w:p>
      <w:pPr>
        <w:keepNext w:val="0"/>
        <w:spacing w:line="331" w:lineRule="auto" w:after="8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训练集使用说明</w:t>
      </w:r>
    </w:p>
    <w:p>
      <w:pPr>
        <w:keepNext w:val="0"/>
        <w:spacing w:line="331" w:lineRule="auto" w:after="320"/>
        <w:ind w:firstLine="0"/>
        <w:jc w:val="center"/>
      </w:pPr>
      <w:r>
        <w:rPr>
          <w:rFonts w:ascii="Times New Roman" w:hAnsi="Times New Roman" w:eastAsia="楷体"/>
          <w:b w:val="0"/>
          <w:sz w:val="22"/>
        </w:rPr>
        <w:t>训练集 1000 题 ｜ 配套数据集：规划文本知识库</w:t>
      </w:r>
    </w:p>
    <w:p>
      <w:pPr>
        <w:keepNext/>
        <w:spacing w:line="331" w:lineRule="auto" w:after="140"/>
        <w:ind w:firstLine="0"/>
      </w:pPr>
      <w:r>
        <w:rPr>
          <w:rFonts w:ascii="Times New Roman" w:hAnsi="Times New Roman" w:eastAsia="黑体"/>
          <w:b/>
          <w:sz w:val="30"/>
        </w:rPr>
        <w:t>一、这份训练集是什么</w:t>
      </w:r>
    </w:p>
    <w:p>
      <w:pPr>
        <w:keepNext w:val="0"/>
        <w:spacing w:line="331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这是「管策智研——政策研究与智能辅助决策智能体」的</w:t>
      </w:r>
      <w:r>
        <w:rPr>
          <w:rFonts w:ascii="Times New Roman" w:hAnsi="Times New Roman" w:eastAsia="宋体"/>
          <w:b/>
          <w:sz w:val="24"/>
        </w:rPr>
        <w:t>公开训练集</w:t>
      </w:r>
      <w:r>
        <w:rPr>
          <w:rFonts w:ascii="Times New Roman" w:hAnsi="Times New Roman" w:eastAsia="宋体"/>
          <w:b w:val="0"/>
          <w:sz w:val="24"/>
        </w:rPr>
        <w:t>，供参赛队开发与自测使用。全部题目基于同一套规划文本知识库（语料已提供），</w:t>
      </w:r>
      <w:r>
        <w:rPr>
          <w:rFonts w:ascii="Times New Roman" w:hAnsi="Times New Roman" w:eastAsia="宋体"/>
          <w:b/>
          <w:sz w:val="24"/>
        </w:rPr>
        <w:t>每道题的参考答案都经过机器校验</w:t>
      </w:r>
      <w:r>
        <w:rPr>
          <w:rFonts w:ascii="Times New Roman" w:hAnsi="Times New Roman" w:eastAsia="宋体"/>
          <w:b w:val="0"/>
          <w:sz w:val="24"/>
        </w:rPr>
        <w:t>：答案里的每条引用，都能在冻结语料中逐字定位到出处。</w:t>
      </w:r>
    </w:p>
    <w:p>
      <w:pPr>
        <w:keepNext w:val="0"/>
        <w:spacing w:line="331" w:lineRule="auto" w:after="120"/>
        <w:ind w:firstLine="480"/>
      </w:pPr>
      <w:r>
        <w:rPr>
          <w:rFonts w:ascii="Times New Roman" w:hAnsi="Times New Roman" w:eastAsia="宋体"/>
          <w:b w:val="0"/>
          <w:sz w:val="24"/>
        </w:rPr>
        <w:t>与常见问答数据集最大的不同是：</w:t>
      </w:r>
      <w:r>
        <w:rPr>
          <w:rFonts w:ascii="Times New Roman" w:hAnsi="Times New Roman" w:eastAsia="宋体"/>
          <w:b/>
          <w:sz w:val="24"/>
        </w:rPr>
        <w:t>本训练集考核的核心不是「答得像不像」，而是「能不能经得起核查」</w:t>
      </w:r>
      <w:r>
        <w:rPr>
          <w:rFonts w:ascii="Times New Roman" w:hAnsi="Times New Roman" w:eastAsia="宋体"/>
          <w:b w:val="0"/>
          <w:sz w:val="24"/>
        </w:rPr>
        <w:t>。因此每道题除题面外，都附带输出要点、引用出处与判分规则，让参赛队能够</w:t>
      </w:r>
      <w:r>
        <w:rPr>
          <w:rFonts w:ascii="Times New Roman" w:hAnsi="Times New Roman" w:eastAsia="宋体"/>
          <w:b/>
          <w:sz w:val="24"/>
        </w:rPr>
        <w:t>自建评测</w:t>
      </w:r>
      <w:r>
        <w:rPr>
          <w:rFonts w:ascii="Times New Roman" w:hAnsi="Times New Roman" w:eastAsia="宋体"/>
          <w:b w:val="0"/>
          <w:sz w:val="24"/>
        </w:rPr>
        <w:t>，而不是凭感觉调优。</w:t>
      </w:r>
    </w:p>
    <w:p>
      <w:pPr>
        <w:keepNext/>
        <w:spacing w:line="331" w:lineRule="auto" w:after="140"/>
        <w:ind w:firstLine="0"/>
      </w:pPr>
      <w:r>
        <w:rPr>
          <w:rFonts w:ascii="Times New Roman" w:hAnsi="Times New Roman" w:eastAsia="黑体"/>
          <w:b/>
          <w:sz w:val="30"/>
        </w:rPr>
        <w:t>二、题目构成</w:t>
      </w:r>
    </w:p>
    <w:p>
      <w:pPr>
        <w:keepNext/>
        <w:spacing w:line="331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按</w:t>
      </w:r>
      <w:r>
        <w:rPr>
          <w:rFonts w:ascii="Times New Roman" w:hAnsi="Times New Roman" w:eastAsia="宋体"/>
          <w:b/>
          <w:sz w:val="24"/>
        </w:rPr>
        <w:t>考察能力</w:t>
      </w:r>
      <w:r>
        <w:rPr>
          <w:rFonts w:ascii="Times New Roman" w:hAnsi="Times New Roman" w:eastAsia="宋体"/>
          <w:b w:val="0"/>
          <w:sz w:val="24"/>
        </w:rPr>
        <w:t>分为五类，与正式评测一致：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5216"/>
        <w:gridCol w:w="850"/>
        <w:gridCol w:w="1304"/>
      </w:tblGrid>
      <w:tr>
        <w:trPr>
          <w:cantSplit/>
          <w:tblHeader/>
        </w:trPr>
        <w:tc>
          <w:tcPr>
            <w:tcW w:type="dxa" w:w="1701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大类</w:t>
            </w:r>
          </w:p>
        </w:tc>
        <w:tc>
          <w:tcPr>
            <w:tcW w:type="dxa" w:w="5216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考察什么</w:t>
            </w:r>
          </w:p>
        </w:tc>
        <w:tc>
          <w:tcPr>
            <w:tcW w:type="dxa" w:w="850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题数</w:t>
            </w:r>
          </w:p>
        </w:tc>
        <w:tc>
          <w:tcPr>
            <w:tcW w:type="dxa" w:w="1304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占训练集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 定位与探究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单文档内的定位、梳理与开放探究</w:t>
            </w:r>
          </w:p>
        </w:tc>
        <w:tc>
          <w:tcPr>
            <w:tcW w:type="dxa" w:w="850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522</w:t>
            </w:r>
          </w:p>
        </w:tc>
        <w:tc>
          <w:tcPr>
            <w:tcW w:type="dxa" w:w="1304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52.2%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 横向比较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多地区同一主题的并排对照</w:t>
            </w:r>
          </w:p>
        </w:tc>
        <w:tc>
          <w:tcPr>
            <w:tcW w:type="dxa" w:w="850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56</w:t>
            </w:r>
          </w:p>
        </w:tc>
        <w:tc>
          <w:tcPr>
            <w:tcW w:type="dxa" w:w="1304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5.6%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C 纵向演变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同一对象跨时期的目标与表述变化</w:t>
            </w:r>
          </w:p>
        </w:tc>
        <w:tc>
          <w:tcPr>
            <w:tcW w:type="dxa" w:w="850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61</w:t>
            </w:r>
          </w:p>
        </w:tc>
        <w:tc>
          <w:tcPr>
            <w:tcW w:type="dxa" w:w="1304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6.1%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 综合研析</w:t>
            </w:r>
          </w:p>
        </w:tc>
        <w:tc>
          <w:tcPr>
            <w:tcW w:type="dxa" w:w="5216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多片段综合、结构化提取与成果产出</w:t>
            </w:r>
          </w:p>
        </w:tc>
        <w:tc>
          <w:tcPr>
            <w:tcW w:type="dxa" w:w="850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146</w:t>
            </w:r>
          </w:p>
        </w:tc>
        <w:tc>
          <w:tcPr>
            <w:tcW w:type="dxa" w:w="1304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14.6%</w:t>
            </w:r>
          </w:p>
        </w:tc>
      </w:tr>
      <w:tr>
        <w:trPr>
          <w:cantSplit/>
        </w:trPr>
        <w:tc>
          <w:tcPr>
            <w:tcW w:type="dxa" w:w="1701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 边界与对抗</w:t>
            </w:r>
          </w:p>
        </w:tc>
        <w:tc>
          <w:tcPr>
            <w:tcW w:type="dxa" w:w="5216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语料边界、职责边界、对抗诱导下的护栏</w:t>
            </w:r>
          </w:p>
        </w:tc>
        <w:tc>
          <w:tcPr>
            <w:tcW w:type="dxa" w:w="850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215</w:t>
            </w:r>
          </w:p>
        </w:tc>
        <w:tc>
          <w:tcPr>
            <w:tcW w:type="dxa" w:w="1304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21.5%</w:t>
            </w:r>
          </w:p>
        </w:tc>
      </w:tr>
    </w:tbl>
    <w:p>
      <w:pPr>
        <w:keepNext w:val="0"/>
        <w:spacing w:line="331" w:lineRule="auto" w:after="120"/>
        <w:ind w:firstLine="480"/>
      </w:pPr>
    </w:p>
    <w:p>
      <w:pPr>
        <w:keepNext/>
        <w:spacing w:line="331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按</w:t>
      </w:r>
      <w:r>
        <w:rPr>
          <w:rFonts w:ascii="Times New Roman" w:hAnsi="Times New Roman" w:eastAsia="宋体"/>
          <w:b/>
          <w:sz w:val="24"/>
        </w:rPr>
        <w:t>提问形式</w:t>
      </w:r>
      <w:r>
        <w:rPr>
          <w:rFonts w:ascii="Times New Roman" w:hAnsi="Times New Roman" w:eastAsia="宋体"/>
          <w:b w:val="0"/>
          <w:sz w:val="24"/>
        </w:rPr>
        <w:t>分为单轮与多轮：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6803"/>
        <w:gridCol w:w="1020"/>
      </w:tblGrid>
      <w:tr>
        <w:trPr>
          <w:cantSplit/>
          <w:tblHeader/>
        </w:trPr>
        <w:tc>
          <w:tcPr>
            <w:tcW w:type="dxa" w:w="1247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形式</w:t>
            </w:r>
          </w:p>
        </w:tc>
        <w:tc>
          <w:tcPr>
            <w:tcW w:type="dxa" w:w="6803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说明</w:t>
            </w:r>
          </w:p>
        </w:tc>
        <w:tc>
          <w:tcPr>
            <w:tcW w:type="dxa" w:w="1020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题数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单轮</w:t>
            </w:r>
          </w:p>
        </w:tc>
        <w:tc>
          <w:tcPr>
            <w:tcW w:type="dxa" w:w="6803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一问一答</w:t>
            </w:r>
          </w:p>
        </w:tc>
        <w:tc>
          <w:tcPr>
            <w:tcW w:type="dxa" w:w="1020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857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多轮</w:t>
            </w:r>
          </w:p>
        </w:tc>
        <w:tc>
          <w:tcPr>
            <w:tcW w:type="dxa" w:w="6803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4 轮追问链：笼统了解 → 抓点深挖 → 拉出去比 → 成文交付</w:t>
            </w:r>
          </w:p>
        </w:tc>
        <w:tc>
          <w:tcPr>
            <w:tcW w:type="dxa" w:w="1020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143</w:t>
            </w:r>
          </w:p>
        </w:tc>
      </w:tr>
    </w:tbl>
    <w:p>
      <w:pPr>
        <w:keepNext w:val="0"/>
        <w:spacing w:line="331" w:lineRule="auto" w:after="120"/>
        <w:ind w:firstLine="480"/>
      </w:pPr>
    </w:p>
    <w:p>
      <w:pPr>
        <w:keepNext w:val="0"/>
        <w:spacing w:line="331" w:lineRule="auto" w:after="40"/>
        <w:ind w:firstLine="480"/>
      </w:pPr>
      <w:r>
        <w:rPr>
          <w:rFonts w:ascii="Times New Roman" w:hAnsi="Times New Roman" w:eastAsia="宋体"/>
          <w:b w:val="0"/>
          <w:sz w:val="24"/>
        </w:rPr>
        <w:t>难度分布：易 63 ｜ 中 693 ｜ 难 244。</w:t>
      </w:r>
    </w:p>
    <w:p>
      <w:pPr>
        <w:keepNext/>
        <w:spacing w:line="331" w:lineRule="auto" w:after="140"/>
        <w:ind w:firstLine="0"/>
      </w:pPr>
      <w:r>
        <w:rPr>
          <w:rFonts w:ascii="Times New Roman" w:hAnsi="Times New Roman" w:eastAsia="黑体"/>
          <w:b/>
          <w:sz w:val="30"/>
        </w:rPr>
        <w:t>三、每题包含什么（字段说明）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531"/>
        <w:gridCol w:w="3969"/>
        <w:gridCol w:w="3572"/>
      </w:tblGrid>
      <w:tr>
        <w:trPr>
          <w:cantSplit/>
          <w:tblHeader/>
        </w:trPr>
        <w:tc>
          <w:tcPr>
            <w:tcW w:type="dxa" w:w="1531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字段</w:t>
            </w:r>
          </w:p>
        </w:tc>
        <w:tc>
          <w:tcPr>
            <w:tcW w:type="dxa" w:w="3969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含义</w:t>
            </w:r>
          </w:p>
        </w:tc>
        <w:tc>
          <w:tcPr>
            <w:tcW w:type="dxa" w:w="3572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怎么用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题号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全库唯一的题目编号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（如 </w:t>
            </w:r>
            <w:r>
              <w:rPr>
                <w:rFonts w:ascii="Consolas" w:hAnsi="Consolas" w:eastAsia="Consolas"/>
                <w:b w:val="0"/>
                <w:sz w:val="20"/>
              </w:rPr>
              <w:t>A-001</w:t>
            </w:r>
            <w:r>
              <w:rPr>
                <w:rFonts w:ascii="Times New Roman" w:hAnsi="Times New Roman" w:eastAsia="宋体"/>
                <w:b w:val="0"/>
                <w:sz w:val="21"/>
              </w:rPr>
              <w:t>）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可当主键：与文件名</w:t>
            </w:r>
            <w:r>
              <w:rPr>
                <w:rFonts w:ascii="Times New Roman" w:hAnsi="Times New Roman" w:eastAsia="宋体"/>
                <w:b/>
                <w:sz w:val="21"/>
              </w:rPr>
              <w:t>逐字相同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大类 / 亚类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考察能力分类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按类目分桶看弱项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形式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单轮 / 多轮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多轮题需维护会话状态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难度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易 / 中 / 难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分档统计通过率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题目正文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发给智能体的用户话术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多轮题为 4 轮完整话术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输出要点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答对必须覆盖的事实点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最核心的判分依据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示例输出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一道参考作答（机器生成，仅供对照）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看期望的回答</w:t>
            </w:r>
            <w:r>
              <w:rPr>
                <w:rFonts w:ascii="Times New Roman" w:hAnsi="Times New Roman" w:eastAsia="宋体"/>
                <w:b/>
                <w:sz w:val="21"/>
              </w:rPr>
              <w:t>形态</w:t>
            </w:r>
            <w:r>
              <w:rPr>
                <w:rFonts w:ascii="Times New Roman" w:hAnsi="Times New Roman" w:eastAsia="宋体"/>
                <w:b w:val="0"/>
                <w:sz w:val="21"/>
              </w:rPr>
              <w:t>，不必逐字对齐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引用出处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每个要点对应的语料篇目 </w:t>
            </w:r>
            <w:r>
              <w:rPr>
                <w:rFonts w:ascii="Consolas" w:hAnsi="Consolas" w:eastAsia="Consolas"/>
                <w:b w:val="0"/>
                <w:sz w:val="20"/>
              </w:rPr>
              <w:t>planid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核查引用是否落到正确的篇目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验证标准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人工复核步骤与合格线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理解判分口径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机器判定</w:t>
            </w:r>
          </w:p>
        </w:tc>
        <w:tc>
          <w:tcPr>
            <w:tcW w:type="dxa" w:w="396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可执行的通过/否决规则</w:t>
            </w:r>
          </w:p>
        </w:tc>
        <w:tc>
          <w:tcPr>
            <w:tcW w:type="dxa" w:w="3572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直接实现成自动化评测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完整对话</w:t>
            </w:r>
          </w:p>
        </w:tc>
        <w:tc>
          <w:tcPr>
            <w:tcW w:type="dxa" w:w="396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该题的</w:t>
            </w:r>
            <w:r>
              <w:rPr>
                <w:rFonts w:ascii="Times New Roman" w:hAnsi="Times New Roman" w:eastAsia="宋体"/>
                <w:b/>
                <w:sz w:val="21"/>
              </w:rPr>
              <w:t>逐轮完整问答</w:t>
            </w:r>
            <w:r>
              <w:rPr>
                <w:rFonts w:ascii="Times New Roman" w:hAnsi="Times New Roman" w:eastAsia="宋体"/>
                <w:b w:val="0"/>
                <w:sz w:val="21"/>
              </w:rPr>
              <w:t>（</w:t>
            </w:r>
            <w:r>
              <w:rPr>
                <w:rFonts w:ascii="Consolas" w:hAnsi="Consolas" w:eastAsia="Consolas"/>
                <w:b w:val="0"/>
                <w:sz w:val="20"/>
              </w:rPr>
              <w:t>jsonl</w:t>
            </w:r>
            <w:r>
              <w:rPr>
                <w:rFonts w:ascii="Times New Roman" w:hAnsi="Times New Roman" w:eastAsia="宋体"/>
                <w:b w:val="0"/>
                <w:sz w:val="21"/>
              </w:rPr>
              <w:t>，一行一条消息）</w:t>
            </w:r>
          </w:p>
        </w:tc>
        <w:tc>
          <w:tcPr>
            <w:tcW w:type="dxa" w:w="3572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文件名＝</w:t>
            </w:r>
            <w:r>
              <w:rPr>
                <w:rFonts w:ascii="Times New Roman" w:hAnsi="Times New Roman" w:eastAsia="宋体"/>
                <w:b/>
                <w:sz w:val="21"/>
              </w:rPr>
              <w:t>题号</w:t>
            </w:r>
            <w:r>
              <w:rPr>
                <w:rFonts w:ascii="Times New Roman" w:hAnsi="Times New Roman" w:eastAsia="宋体"/>
                <w:b w:val="0"/>
                <w:sz w:val="21"/>
              </w:rPr>
              <w:t>；多轮题</w:t>
            </w:r>
            <w:r>
              <w:rPr>
                <w:rFonts w:ascii="Times New Roman" w:hAnsi="Times New Roman" w:eastAsia="宋体"/>
                <w:b/>
                <w:sz w:val="21"/>
              </w:rPr>
              <w:t>逐轮拆分</w:t>
            </w:r>
          </w:p>
        </w:tc>
      </w:tr>
    </w:tbl>
    <w:p>
      <w:pPr>
        <w:keepNext/>
        <w:spacing w:line="331" w:lineRule="auto" w:after="140"/>
        <w:ind w:firstLine="0"/>
      </w:pPr>
      <w:r>
        <w:rPr>
          <w:rFonts w:ascii="Times New Roman" w:hAnsi="Times New Roman" w:eastAsia="黑体"/>
          <w:b/>
          <w:sz w:val="30"/>
        </w:rPr>
        <w:t>四、判分口径：三类题，三种判法</w:t>
      </w:r>
    </w:p>
    <w:p>
      <w:pPr>
        <w:keepNext/>
        <w:spacing w:line="331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这是本训练集最需要看懂的部分。</w:t>
      </w:r>
      <w:r>
        <w:rPr>
          <w:rFonts w:ascii="Times New Roman" w:hAnsi="Times New Roman" w:eastAsia="宋体"/>
          <w:b/>
          <w:sz w:val="24"/>
        </w:rPr>
        <w:t>不同类目的题，「答对」的定义不一样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247"/>
        <w:gridCol w:w="2494"/>
        <w:gridCol w:w="5329"/>
      </w:tblGrid>
      <w:tr>
        <w:trPr>
          <w:cantSplit/>
          <w:tblHeader/>
        </w:trPr>
        <w:tc>
          <w:tcPr>
            <w:tcW w:type="dxa" w:w="1247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类目</w:t>
            </w:r>
          </w:p>
        </w:tc>
        <w:tc>
          <w:tcPr>
            <w:tcW w:type="dxa" w:w="2494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判据</w:t>
            </w:r>
          </w:p>
        </w:tc>
        <w:tc>
          <w:tcPr>
            <w:tcW w:type="dxa" w:w="5329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关键要求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 / 多轮</w:t>
            </w:r>
          </w:p>
        </w:tc>
        <w:tc>
          <w:tcPr>
            <w:tcW w:type="dxa" w:w="249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必答要点覆盖率</w:t>
            </w:r>
          </w:p>
        </w:tc>
        <w:tc>
          <w:tcPr>
            <w:tcW w:type="dxa" w:w="532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覆盖 ≥60% 的要点，且其中 ≥2 个要点的出处正确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B / C</w:t>
            </w:r>
          </w:p>
        </w:tc>
        <w:tc>
          <w:tcPr>
            <w:tcW w:type="dxa" w:w="249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引用闸门 + 对象覆盖</w:t>
            </w:r>
          </w:p>
        </w:tc>
        <w:tc>
          <w:tcPr>
            <w:tcW w:type="dxa" w:w="532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每个比较对象、每个比较期次各至少 1 条</w:t>
            </w:r>
            <w:r>
              <w:rPr>
                <w:rFonts w:ascii="Times New Roman" w:hAnsi="Times New Roman" w:eastAsia="宋体"/>
                <w:b w:val="0"/>
                <w:sz w:val="21"/>
              </w:rPr>
              <w:t>有效引用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494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引用闸门 + 多片段覆盖</w:t>
            </w:r>
          </w:p>
        </w:tc>
        <w:tc>
          <w:tcPr>
            <w:tcW w:type="dxa" w:w="5329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有效引用来自</w:t>
            </w:r>
            <w:r>
              <w:rPr>
                <w:rFonts w:ascii="Times New Roman" w:hAnsi="Times New Roman" w:eastAsia="宋体"/>
                <w:b/>
                <w:sz w:val="21"/>
              </w:rPr>
              <w:t>不同片段</w:t>
            </w:r>
            <w:r>
              <w:rPr>
                <w:rFonts w:ascii="Times New Roman" w:hAnsi="Times New Roman" w:eastAsia="宋体"/>
                <w:b w:val="0"/>
                <w:sz w:val="21"/>
              </w:rPr>
              <w:t>（单篇综述类例外，但必须来自不同章节）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494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行为判定</w:t>
            </w:r>
          </w:p>
        </w:tc>
        <w:tc>
          <w:tcPr>
            <w:tcW w:type="dxa" w:w="5329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 xml:space="preserve">不看成文，看是否守住边界；每条题附 </w:t>
            </w:r>
            <w:r>
              <w:rPr>
                <w:rFonts w:ascii="Consolas" w:hAnsi="Consolas" w:eastAsia="Consolas"/>
                <w:b w:val="0"/>
                <w:sz w:val="20"/>
              </w:rPr>
              <w:t>pass_rule</w:t>
            </w:r>
            <w:r>
              <w:rPr>
                <w:rFonts w:ascii="Times New Roman" w:hAnsi="Times New Roman" w:eastAsia="宋体"/>
                <w:b w:val="0"/>
                <w:sz w:val="21"/>
              </w:rPr>
              <w:t xml:space="preserve"> 与 </w:t>
            </w:r>
            <w:r>
              <w:rPr>
                <w:rFonts w:ascii="Consolas" w:hAnsi="Consolas" w:eastAsia="Consolas"/>
                <w:b w:val="0"/>
                <w:sz w:val="20"/>
              </w:rPr>
              <w:t>reject_if</w:t>
            </w:r>
          </w:p>
        </w:tc>
      </w:tr>
    </w:tbl>
    <w:p>
      <w:pPr>
        <w:keepNext/>
        <w:spacing w:line="331" w:lineRule="auto" w:after="140"/>
        <w:ind w:firstLine="0"/>
      </w:pPr>
      <w:r>
        <w:rPr>
          <w:rFonts w:ascii="Times New Roman" w:hAnsi="Times New Roman" w:eastAsia="黑体"/>
          <w:b/>
          <w:sz w:val="30"/>
        </w:rPr>
        <w:t>五、引用必须过三道闸门</w:t>
      </w:r>
    </w:p>
    <w:p>
      <w:pPr>
        <w:keepNext/>
        <w:spacing w:line="331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这是本项目的核心机制，也是参赛队最该对齐的地方。任何进入答案的引文，都要经过三层校验——</w:t>
      </w:r>
      <w:r>
        <w:rPr>
          <w:rFonts w:ascii="Times New Roman" w:hAnsi="Times New Roman" w:eastAsia="宋体"/>
          <w:b/>
          <w:sz w:val="24"/>
        </w:rPr>
        <w:t>前两层是确定性的，第三层不是</w:t>
      </w:r>
      <w:r>
        <w:rPr>
          <w:rFonts w:ascii="Times New Roman" w:hAnsi="Times New Roman" w:eastAsia="宋体"/>
          <w:b w:val="0"/>
          <w:sz w:val="24"/>
        </w:rPr>
        <w:t>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134"/>
        <w:gridCol w:w="6123"/>
        <w:gridCol w:w="1361"/>
      </w:tblGrid>
      <w:tr>
        <w:trPr>
          <w:cantSplit/>
          <w:tblHeader/>
        </w:trPr>
        <w:tc>
          <w:tcPr>
            <w:tcW w:type="dxa" w:w="1134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层级</w:t>
            </w:r>
          </w:p>
        </w:tc>
        <w:tc>
          <w:tcPr>
            <w:tcW w:type="dxa" w:w="6123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校验什么</w:t>
            </w:r>
          </w:p>
        </w:tc>
        <w:tc>
          <w:tcPr>
            <w:tcW w:type="dxa" w:w="1361"/>
          </w:tcPr>
          <w:p>
            <w:pPr>
              <w:keepNext/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性质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L1 出处</w:t>
            </w:r>
          </w:p>
        </w:tc>
        <w:tc>
          <w:tcPr>
            <w:tcW w:type="dxa" w:w="6123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引文是否</w:t>
            </w:r>
            <w:r>
              <w:rPr>
                <w:rFonts w:ascii="Times New Roman" w:hAnsi="Times New Roman" w:eastAsia="宋体"/>
                <w:b/>
                <w:sz w:val="21"/>
              </w:rPr>
              <w:t>逐字</w:t>
            </w:r>
            <w:r>
              <w:rPr>
                <w:rFonts w:ascii="Times New Roman" w:hAnsi="Times New Roman" w:eastAsia="宋体"/>
                <w:b w:val="0"/>
                <w:sz w:val="21"/>
              </w:rPr>
              <w:t>存在于冻结语料？坐标是否吻合？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完全确定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L2 接地</w:t>
            </w:r>
          </w:p>
        </w:tc>
        <w:tc>
          <w:tcPr>
            <w:tcW w:type="dxa" w:w="6123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答案里的每个数值、机构名、政策提法，是否都能在引文中找到？</w:t>
            </w:r>
          </w:p>
        </w:tc>
        <w:tc>
          <w:tcPr>
            <w:tcW w:type="dxa" w:w="1361"/>
          </w:tcPr>
          <w:p>
            <w:pPr>
              <w:keepNext/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确定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line="288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L3 支持</w:t>
            </w:r>
          </w:p>
        </w:tc>
        <w:tc>
          <w:tcPr>
            <w:tcW w:type="dxa" w:w="6123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引文是否在语义上支持该结论？</w:t>
            </w:r>
          </w:p>
        </w:tc>
        <w:tc>
          <w:tcPr>
            <w:tcW w:type="dxa" w:w="1361"/>
          </w:tcPr>
          <w:p>
            <w:pPr>
              <w:spacing w:line="288" w:lineRule="auto"/>
              <w:ind w:firstLine="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概率判定，不声称确定</w:t>
            </w:r>
          </w:p>
        </w:tc>
      </w:tr>
    </w:tbl>
    <w:p>
      <w:pPr>
        <w:keepNext w:val="0"/>
        <w:spacing w:line="331" w:lineRule="auto" w:after="120"/>
        <w:ind w:firstLine="480"/>
      </w:pPr>
    </w:p>
    <w:p>
      <w:pPr>
        <w:keepNext w:val="0"/>
        <w:spacing w:line="331" w:lineRule="auto" w:after="120"/>
        <w:ind w:firstLine="480"/>
      </w:pPr>
      <w:r>
        <w:rPr>
          <w:rFonts w:ascii="Times New Roman" w:hAnsi="Times New Roman" w:eastAsia="宋体"/>
          <w:b/>
          <w:sz w:val="24"/>
        </w:rPr>
        <w:t>L1 与 L2 是硬门槛</w:t>
      </w:r>
      <w:r>
        <w:rPr>
          <w:rFonts w:ascii="Times New Roman" w:hAnsi="Times New Roman" w:eastAsia="宋体"/>
          <w:b w:val="0"/>
          <w:sz w:val="24"/>
        </w:rPr>
        <w:t>：引文定位不到、或者数值在引文里找不到，该结论即不成立。L3 由机器判官与人工复核共同把关，本项目</w:t>
      </w:r>
      <w:r>
        <w:rPr>
          <w:rFonts w:ascii="Times New Roman" w:hAnsi="Times New Roman" w:eastAsia="宋体"/>
          <w:b/>
          <w:sz w:val="24"/>
        </w:rPr>
        <w:t>不把它当作确定性的东西</w:t>
      </w:r>
      <w:r>
        <w:rPr>
          <w:rFonts w:ascii="Times New Roman" w:hAnsi="Times New Roman" w:eastAsia="宋体"/>
          <w:b w:val="0"/>
          <w:sz w:val="24"/>
        </w:rPr>
        <w:t>——这一点请在自测时同样保持诚实：不要把概率判定包装成确定结论。</w:t>
      </w:r>
    </w:p>
    <w:p>
      <w:pPr>
        <w:keepNext/>
        <w:spacing w:line="331" w:lineRule="auto" w:after="140"/>
        <w:ind w:firstLine="0"/>
      </w:pPr>
      <w:r>
        <w:rPr>
          <w:rFonts w:ascii="Times New Roman" w:hAnsi="Times New Roman" w:eastAsia="黑体"/>
          <w:b/>
          <w:sz w:val="30"/>
        </w:rPr>
        <w:t>六、使用建议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/>
          <w:sz w:val="24"/>
        </w:rPr>
        <w:t>先按类目分桶自测</w:t>
      </w:r>
      <w:r>
        <w:rPr>
          <w:rFonts w:ascii="Times New Roman" w:hAnsi="Times New Roman" w:eastAsia="宋体"/>
          <w:b w:val="0"/>
          <w:sz w:val="24"/>
        </w:rPr>
        <w:t>，而不是只看总通过率。五类考察的能力差异很大，某一类偏低往往指向具体的能力短板（如 B/C 类偏低通常是跨文档对照没做好）。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/>
          <w:sz w:val="24"/>
        </w:rPr>
        <w:t>把「引用出处」当成硬约束来验</w:t>
      </w:r>
      <w:r>
        <w:rPr>
          <w:rFonts w:ascii="Times New Roman" w:hAnsi="Times New Roman" w:eastAsia="宋体"/>
          <w:b w:val="0"/>
          <w:sz w:val="24"/>
        </w:rPr>
        <w:t>。自己写一个校验脚本，把智能体给出的引文拿去语料里做子串查找——一字不差才算数。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/>
          <w:sz w:val="24"/>
        </w:rPr>
        <w:t>多轮题要维护会话状态</w:t>
      </w:r>
      <w:r>
        <w:rPr>
          <w:rFonts w:ascii="Times New Roman" w:hAnsi="Times New Roman" w:eastAsia="宋体"/>
          <w:b w:val="0"/>
          <w:sz w:val="24"/>
        </w:rPr>
        <w:t>。第 2 轮明确要求「承接上一轮提到的某一点」，若智能体每轮独立作答，这一档会系统性失分。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/>
          <w:sz w:val="24"/>
        </w:rPr>
        <w:t>留意 E 类</w:t>
      </w:r>
      <w:r>
        <w:rPr>
          <w:rFonts w:ascii="Times New Roman" w:hAnsi="Times New Roman" w:eastAsia="宋体"/>
          <w:b w:val="0"/>
          <w:sz w:val="24"/>
        </w:rPr>
        <w:t>。它不是「答对/答错」，而是「该不该答」。这类题在正式评测中另有比重，且最容易在真实场景里出问题。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/>
          <w:sz w:val="24"/>
        </w:rPr>
        <w:t>示例输出仅供对照形态</w:t>
      </w:r>
      <w:r>
        <w:rPr>
          <w:rFonts w:ascii="Times New Roman" w:hAnsi="Times New Roman" w:eastAsia="宋体"/>
          <w:b w:val="0"/>
          <w:sz w:val="24"/>
        </w:rPr>
        <w:t>，不必逐字对齐——开放式问题的答案本就不唯一。</w:t>
      </w:r>
    </w:p>
    <w:p>
      <w:pPr>
        <w:keepNext/>
        <w:spacing w:line="331" w:lineRule="auto" w:after="140"/>
        <w:ind w:firstLine="0"/>
      </w:pPr>
      <w:r>
        <w:rPr>
          <w:rFonts w:ascii="Times New Roman" w:hAnsi="Times New Roman" w:eastAsia="黑体"/>
          <w:b/>
          <w:sz w:val="30"/>
        </w:rPr>
        <w:t>七、注意事项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/>
          <w:sz w:val="24"/>
        </w:rPr>
        <w:t>训练集可公开使用</w:t>
      </w:r>
      <w:r>
        <w:rPr>
          <w:rFonts w:ascii="Times New Roman" w:hAnsi="Times New Roman" w:eastAsia="宋体"/>
          <w:b w:val="0"/>
          <w:sz w:val="24"/>
        </w:rPr>
        <w:t>，可用于开发、自测、微调。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/>
          <w:sz w:val="24"/>
        </w:rPr>
        <w:t>测试集不随本训练集发布</w:t>
      </w:r>
      <w:r>
        <w:rPr>
          <w:rFonts w:ascii="Times New Roman" w:hAnsi="Times New Roman" w:eastAsia="宋体"/>
          <w:b w:val="0"/>
          <w:sz w:val="24"/>
        </w:rPr>
        <w:t>。正式评测使用独立的 300 题测试集，与训练集</w:t>
      </w:r>
      <w:r>
        <w:rPr>
          <w:rFonts w:ascii="Times New Roman" w:hAnsi="Times New Roman" w:eastAsia="宋体"/>
          <w:b/>
          <w:sz w:val="24"/>
        </w:rPr>
        <w:t>无重复题面</w:t>
      </w:r>
      <w:r>
        <w:rPr>
          <w:rFonts w:ascii="Times New Roman" w:hAnsi="Times New Roman" w:eastAsia="宋体"/>
          <w:b w:val="0"/>
          <w:sz w:val="24"/>
        </w:rPr>
        <w:t>，且同一份源文档的问法变体不会跨集分布。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/>
          <w:sz w:val="24"/>
        </w:rPr>
        <w:t>语料使用须遵守数据集说明中的数据承诺</w:t>
      </w:r>
      <w:r>
        <w:rPr>
          <w:rFonts w:ascii="Times New Roman" w:hAnsi="Times New Roman" w:eastAsia="宋体"/>
          <w:b w:val="0"/>
          <w:sz w:val="24"/>
        </w:rPr>
        <w:t>（数据仅限校内网络使用，不出校园网）。</w:t>
      </w:r>
    </w:p>
    <w:p>
      <w:pPr>
        <w:pStyle w:val="ListBullet"/>
        <w:spacing w:line="324" w:lineRule="auto" w:after="60"/>
        <w:ind w:left="425"/>
      </w:pPr>
      <w:r>
        <w:rPr>
          <w:rFonts w:ascii="Times New Roman" w:hAnsi="Times New Roman" w:eastAsia="宋体"/>
          <w:b w:val="0"/>
          <w:sz w:val="24"/>
        </w:rPr>
        <w:t>题目中的「输出要点」是从语料中提取并经过校验的事实点，可放心作为判分依据使用。</w:t>
      </w:r>
    </w:p>
    <w:sectPr w:rsidR="00FC693F" w:rsidRPr="0006063C" w:rsidSect="00034616">
      <w:footerReference w:type="default" r:id="rId9"/>
      <w:pgSz w:w="11906" w:h="16838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separate"/>
    </w:r>
    <w:r>
      <w:rPr>
        <w:rFonts w:ascii="Times New Roman" w:hAnsi="Times New Roman" w:eastAsia="宋体"/>
        <w:b w:val="0"/>
        <w:sz w:val="18"/>
      </w:rPr>
      <w:t>1</w:t>
    </w:r>
    <w:r>
      <w:rPr>
        <w:rFonts w:ascii="Times New Roman" w:hAnsi="Times New Roman" w:eastAsia="宋体"/>
        <w:b w:val="0"/>
        <w:sz w:val="18"/>
      </w:rPr>
      <w:fldChar w:fldCharType="end"/>
    </w:r>
    <w:r>
      <w:rPr>
        <w:rFonts w:ascii="Times New Roman" w:hAnsi="Times New Roman" w:eastAsia="宋体"/>
        <w:b w:val="0"/>
        <w:sz w:val="18"/>
      </w:rPr>
      <w:t xml:space="preserve"> / </w:t>
    </w: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NUMPAGES </w:instrText>
    </w:r>
    <w:r>
      <w:rPr>
        <w:rFonts w:ascii="Times New Roman" w:hAnsi="Times New Roman" w:eastAsia="宋体"/>
        <w:b w:val="0"/>
        <w:sz w:val="18"/>
      </w:rPr>
      <w:fldChar w:fldCharType="separate"/>
    </w:r>
    <w:r>
      <w:rPr>
        <w:rFonts w:ascii="Times New Roman" w:hAnsi="Times New Roman" w:eastAsia="宋体"/>
        <w:b w:val="0"/>
        <w:sz w:val="18"/>
      </w:rPr>
      <w:t>3</w: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