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B2" w:rsidRPr="00F77787" w:rsidRDefault="0093680D" w:rsidP="005D01B2">
      <w:pPr>
        <w:pStyle w:val="berschrift1"/>
        <w:numPr>
          <w:ilvl w:val="0"/>
          <w:numId w:val="0"/>
        </w:numPr>
        <w:rPr>
          <w:sz w:val="36"/>
          <w:lang w:val="en-GB"/>
        </w:rPr>
      </w:pPr>
      <w:r>
        <w:rPr>
          <w:sz w:val="36"/>
          <w:lang w:val="en-GB"/>
        </w:rPr>
        <w:t>C</w:t>
      </w:r>
      <w:r w:rsidR="000A4E76">
        <w:rPr>
          <w:sz w:val="36"/>
          <w:lang w:val="en-GB"/>
        </w:rPr>
        <w:t>laims, trade and FDI d</w:t>
      </w:r>
      <w:r w:rsidR="005D01B2" w:rsidRPr="00F77787">
        <w:rPr>
          <w:sz w:val="36"/>
          <w:lang w:val="en-GB"/>
        </w:rPr>
        <w:t>ata</w:t>
      </w:r>
      <w:r w:rsidR="000A4E76">
        <w:rPr>
          <w:sz w:val="36"/>
          <w:lang w:val="en-GB"/>
        </w:rPr>
        <w:t xml:space="preserve"> set</w:t>
      </w:r>
    </w:p>
    <w:p w:rsidR="008A547B" w:rsidRDefault="00644FBD" w:rsidP="008805C7">
      <w:pPr>
        <w:ind w:firstLine="0"/>
        <w:rPr>
          <w:lang w:val="en-GB"/>
        </w:rPr>
      </w:pPr>
      <w:r>
        <w:rPr>
          <w:lang w:val="en-GB"/>
        </w:rPr>
        <w:t>IBRN</w:t>
      </w:r>
      <w:r w:rsidRPr="00644FBD">
        <w:rPr>
          <w:lang w:val="en-GB"/>
        </w:rPr>
        <w:t xml:space="preserve"> Fragmentation – Meta Analysis</w:t>
      </w:r>
    </w:p>
    <w:p w:rsidR="009B54BA" w:rsidRDefault="009B54BA" w:rsidP="008805C7">
      <w:pPr>
        <w:ind w:firstLine="0"/>
        <w:rPr>
          <w:lang w:val="en-GB"/>
        </w:rPr>
      </w:pPr>
      <w:r>
        <w:rPr>
          <w:lang w:val="en-GB"/>
        </w:rPr>
        <w:t>September 2021</w:t>
      </w:r>
    </w:p>
    <w:p w:rsidR="00F77787" w:rsidRDefault="00F77787" w:rsidP="00F77787">
      <w:pPr>
        <w:pStyle w:val="berschrift1"/>
        <w:numPr>
          <w:ilvl w:val="0"/>
          <w:numId w:val="0"/>
        </w:numPr>
        <w:rPr>
          <w:lang w:val="en-GB"/>
        </w:rPr>
      </w:pPr>
      <w:r>
        <w:rPr>
          <w:lang w:val="en-GB"/>
        </w:rPr>
        <w:t>Overview</w:t>
      </w:r>
    </w:p>
    <w:p w:rsidR="00F77787" w:rsidRDefault="00552D86" w:rsidP="008805C7">
      <w:pPr>
        <w:ind w:firstLine="0"/>
        <w:rPr>
          <w:lang w:val="en-GB"/>
        </w:rPr>
      </w:pPr>
      <w:r>
        <w:rPr>
          <w:lang w:val="en-GB"/>
        </w:rPr>
        <w:t>The underlying data set (</w:t>
      </w:r>
      <w:proofErr w:type="spellStart"/>
      <w:r>
        <w:rPr>
          <w:lang w:val="en-GB"/>
        </w:rPr>
        <w:t>flows.dta</w:t>
      </w:r>
      <w:proofErr w:type="spellEnd"/>
      <w:r>
        <w:rPr>
          <w:lang w:val="en-GB"/>
        </w:rPr>
        <w:t xml:space="preserve">) contains bilateral country observations on international claims (stocks), trade (flows) and FDI (stocks). </w:t>
      </w:r>
      <w:r w:rsidR="00A54C91">
        <w:rPr>
          <w:lang w:val="en-GB"/>
        </w:rPr>
        <w:t xml:space="preserve">Yearly information </w:t>
      </w:r>
      <w:proofErr w:type="gramStart"/>
      <w:r w:rsidR="00A54C91">
        <w:rPr>
          <w:lang w:val="en-GB"/>
        </w:rPr>
        <w:t>is gathered</w:t>
      </w:r>
      <w:proofErr w:type="gramEnd"/>
      <w:r w:rsidR="00A54C91">
        <w:rPr>
          <w:lang w:val="en-GB"/>
        </w:rPr>
        <w:t xml:space="preserve"> for the period between 2002-2019, but after 2012</w:t>
      </w:r>
      <w:r w:rsidR="006F21BA">
        <w:rPr>
          <w:lang w:val="en-GB"/>
        </w:rPr>
        <w:t>,</w:t>
      </w:r>
      <w:r w:rsidR="00A54C91">
        <w:rPr>
          <w:lang w:val="en-GB"/>
        </w:rPr>
        <w:t xml:space="preserve"> the data availability </w:t>
      </w:r>
      <w:r w:rsidR="006F21BA">
        <w:rPr>
          <w:lang w:val="en-GB"/>
        </w:rPr>
        <w:t>becomes</w:t>
      </w:r>
      <w:r w:rsidR="00A54C91">
        <w:rPr>
          <w:lang w:val="en-GB"/>
        </w:rPr>
        <w:t xml:space="preserve"> better as more countries started reporting information to the data providers.</w:t>
      </w:r>
      <w:r w:rsidR="00A3764E">
        <w:rPr>
          <w:lang w:val="en-GB"/>
        </w:rPr>
        <w:t xml:space="preserve"> All data used is publicly available and free of charge.</w:t>
      </w:r>
    </w:p>
    <w:p w:rsidR="00FE7FAB" w:rsidRDefault="006F21BA" w:rsidP="00F77787">
      <w:pPr>
        <w:rPr>
          <w:lang w:val="en-GB"/>
        </w:rPr>
      </w:pPr>
      <w:r>
        <w:rPr>
          <w:lang w:val="en-GB"/>
        </w:rPr>
        <w:t xml:space="preserve">Bilateral observations </w:t>
      </w:r>
      <w:proofErr w:type="gramStart"/>
      <w:r>
        <w:rPr>
          <w:lang w:val="en-GB"/>
        </w:rPr>
        <w:t>are structured</w:t>
      </w:r>
      <w:proofErr w:type="gramEnd"/>
      <w:r>
        <w:rPr>
          <w:lang w:val="en-GB"/>
        </w:rPr>
        <w:t xml:space="preserve"> as follows: A </w:t>
      </w:r>
      <w:r w:rsidRPr="006F21BA">
        <w:rPr>
          <w:b/>
          <w:lang w:val="en-GB"/>
        </w:rPr>
        <w:t>reporting country</w:t>
      </w:r>
      <w:r>
        <w:rPr>
          <w:lang w:val="en-GB"/>
        </w:rPr>
        <w:t xml:space="preserve"> (A) lends loans or exports goods to a </w:t>
      </w:r>
      <w:r w:rsidRPr="006F21BA">
        <w:rPr>
          <w:b/>
          <w:lang w:val="en-GB"/>
        </w:rPr>
        <w:t>partner country</w:t>
      </w:r>
      <w:r>
        <w:rPr>
          <w:lang w:val="en-GB"/>
        </w:rPr>
        <w:t xml:space="preserve">. </w:t>
      </w:r>
      <w:r w:rsidR="00C43018">
        <w:rPr>
          <w:lang w:val="en-GB"/>
        </w:rPr>
        <w:t xml:space="preserve">All observations are stored in “long” format. </w:t>
      </w:r>
      <w:r>
        <w:rPr>
          <w:lang w:val="en-GB"/>
        </w:rPr>
        <w:t xml:space="preserve">The data set builds on the information on international claims and thus, the highest degree of “completeness” </w:t>
      </w:r>
      <w:proofErr w:type="gramStart"/>
      <w:r>
        <w:rPr>
          <w:lang w:val="en-GB"/>
        </w:rPr>
        <w:t>is achieved</w:t>
      </w:r>
      <w:proofErr w:type="gramEnd"/>
      <w:r>
        <w:rPr>
          <w:lang w:val="en-GB"/>
        </w:rPr>
        <w:t xml:space="preserve"> for countries reporting international claims data to the BIS. Information on partner countries can be incomplete, especially when these countries do not report to the BIS.</w:t>
      </w:r>
    </w:p>
    <w:p w:rsidR="006F21BA" w:rsidRDefault="00F177F8" w:rsidP="00F77787">
      <w:pPr>
        <w:rPr>
          <w:lang w:val="en-GB"/>
        </w:rPr>
      </w:pPr>
      <w:r>
        <w:rPr>
          <w:lang w:val="en-GB"/>
        </w:rPr>
        <w:t xml:space="preserve">For example, we can observe how much international claims </w:t>
      </w:r>
      <w:proofErr w:type="gramStart"/>
      <w:r>
        <w:rPr>
          <w:lang w:val="en-GB"/>
        </w:rPr>
        <w:t>were lent</w:t>
      </w:r>
      <w:proofErr w:type="gramEnd"/>
      <w:r>
        <w:rPr>
          <w:lang w:val="en-GB"/>
        </w:rPr>
        <w:t xml:space="preserve"> from German banks to borrowers in Peru and Colombia. </w:t>
      </w:r>
      <w:proofErr w:type="gramStart"/>
      <w:r>
        <w:rPr>
          <w:lang w:val="en-GB"/>
        </w:rPr>
        <w:t>But</w:t>
      </w:r>
      <w:proofErr w:type="gramEnd"/>
      <w:r>
        <w:rPr>
          <w:lang w:val="en-GB"/>
        </w:rPr>
        <w:t xml:space="preserve"> we cannot observe, how much claims were lent from Peruvian or Colombian banks to German borrowers or what kind of international cl</w:t>
      </w:r>
      <w:r w:rsidR="004738F9">
        <w:rPr>
          <w:lang w:val="en-GB"/>
        </w:rPr>
        <w:t>a</w:t>
      </w:r>
      <w:r>
        <w:rPr>
          <w:lang w:val="en-GB"/>
        </w:rPr>
        <w:t>ims flows existed between the two South American countries, because they do not report to the BIS.</w:t>
      </w:r>
    </w:p>
    <w:p w:rsidR="00D944FC" w:rsidRDefault="00D944FC" w:rsidP="00F77787">
      <w:pPr>
        <w:rPr>
          <w:lang w:val="en-GB"/>
        </w:rPr>
      </w:pPr>
    </w:p>
    <w:p w:rsidR="00D944FC" w:rsidRDefault="00D944FC" w:rsidP="00145EED">
      <w:pPr>
        <w:ind w:firstLine="0"/>
        <w:rPr>
          <w:lang w:val="en-GB"/>
        </w:rPr>
      </w:pPr>
      <w:r w:rsidRPr="00D944FC">
        <w:rPr>
          <w:b/>
          <w:lang w:val="en-GB"/>
        </w:rPr>
        <w:t>Important note</w:t>
      </w:r>
      <w:r>
        <w:rPr>
          <w:lang w:val="en-GB"/>
        </w:rPr>
        <w:t xml:space="preserve">: The partner country variable includes a “World” value (iso2 code “wo”). This has to </w:t>
      </w:r>
      <w:proofErr w:type="gramStart"/>
      <w:r>
        <w:rPr>
          <w:lang w:val="en-GB"/>
        </w:rPr>
        <w:t>be considered</w:t>
      </w:r>
      <w:proofErr w:type="gramEnd"/>
      <w:r>
        <w:rPr>
          <w:lang w:val="en-GB"/>
        </w:rPr>
        <w:t xml:space="preserve"> when the data is aggregated.</w:t>
      </w:r>
    </w:p>
    <w:p w:rsidR="00FE7FAB" w:rsidRDefault="00FE7FAB" w:rsidP="00FE7FAB">
      <w:pPr>
        <w:pStyle w:val="berschrift1"/>
        <w:numPr>
          <w:ilvl w:val="0"/>
          <w:numId w:val="0"/>
        </w:numPr>
        <w:rPr>
          <w:lang w:val="en-GB"/>
        </w:rPr>
      </w:pPr>
      <w:r>
        <w:rPr>
          <w:lang w:val="en-GB"/>
        </w:rPr>
        <w:t>Variables</w:t>
      </w:r>
    </w:p>
    <w:p w:rsidR="00D944FC" w:rsidRDefault="00D944FC" w:rsidP="00D944FC">
      <w:pPr>
        <w:pStyle w:val="berschrift2"/>
        <w:numPr>
          <w:ilvl w:val="0"/>
          <w:numId w:val="0"/>
        </w:numPr>
        <w:rPr>
          <w:lang w:val="en-GB"/>
        </w:rPr>
      </w:pPr>
      <w:r>
        <w:rPr>
          <w:lang w:val="en-GB"/>
        </w:rPr>
        <w:t>International claims (BIS)</w:t>
      </w:r>
    </w:p>
    <w:p w:rsidR="00D944FC" w:rsidRPr="00D944FC" w:rsidRDefault="00D944FC" w:rsidP="00D944FC">
      <w:pPr>
        <w:rPr>
          <w:lang w:val="en-GB"/>
        </w:rPr>
      </w:pPr>
      <w:r>
        <w:rPr>
          <w:lang w:val="en-GB"/>
        </w:rPr>
        <w:t>The main data of the underlying set comes from the Bank of International Settlements’ “</w:t>
      </w:r>
      <w:hyperlink r:id="rId8" w:history="1">
        <w:r w:rsidRPr="00D944FC">
          <w:rPr>
            <w:rStyle w:val="Hyperlink"/>
            <w:lang w:val="en-GB"/>
          </w:rPr>
          <w:t>Consolidated banking statistics</w:t>
        </w:r>
      </w:hyperlink>
      <w:r>
        <w:rPr>
          <w:lang w:val="en-GB"/>
        </w:rPr>
        <w:t>”</w:t>
      </w:r>
      <w:r w:rsidR="00A30CE3">
        <w:rPr>
          <w:lang w:val="en-GB"/>
        </w:rPr>
        <w:t xml:space="preserve">. The original data </w:t>
      </w:r>
      <w:proofErr w:type="gramStart"/>
      <w:r w:rsidR="00A30CE3">
        <w:rPr>
          <w:lang w:val="en-GB"/>
        </w:rPr>
        <w:t>was transformed</w:t>
      </w:r>
      <w:proofErr w:type="gramEnd"/>
      <w:r w:rsidR="00A30CE3">
        <w:rPr>
          <w:lang w:val="en-GB"/>
        </w:rPr>
        <w:t xml:space="preserve"> from wide to long data</w:t>
      </w:r>
      <w:r w:rsidR="00E86DEB">
        <w:rPr>
          <w:lang w:val="en-GB"/>
        </w:rPr>
        <w:t xml:space="preserve"> and from quarterly to yearly data by taking the average by year</w:t>
      </w:r>
      <w:r w:rsidR="00A30CE3">
        <w:rPr>
          <w:lang w:val="en-GB"/>
        </w:rPr>
        <w:t xml:space="preserve">. Detailed information on the variable values </w:t>
      </w:r>
      <w:proofErr w:type="gramStart"/>
      <w:r w:rsidR="00A30CE3">
        <w:rPr>
          <w:lang w:val="en-GB"/>
        </w:rPr>
        <w:t>can be found</w:t>
      </w:r>
      <w:proofErr w:type="gramEnd"/>
      <w:r w:rsidR="00A30CE3">
        <w:rPr>
          <w:lang w:val="en-GB"/>
        </w:rPr>
        <w:t xml:space="preserve"> </w:t>
      </w:r>
      <w:r w:rsidR="00AB1B26">
        <w:rPr>
          <w:lang w:val="en-GB"/>
        </w:rPr>
        <w:t xml:space="preserve">in the </w:t>
      </w:r>
      <w:hyperlink r:id="rId9" w:history="1">
        <w:r w:rsidR="00AB1B26" w:rsidRPr="00AB1B26">
          <w:rPr>
            <w:rStyle w:val="Hyperlink"/>
            <w:lang w:val="en-GB"/>
          </w:rPr>
          <w:t>official description</w:t>
        </w:r>
      </w:hyperlink>
      <w:r w:rsidR="00AB1B26">
        <w:rPr>
          <w:lang w:val="en-GB"/>
        </w:rPr>
        <w:t xml:space="preserve"> or on this </w:t>
      </w:r>
      <w:hyperlink r:id="rId10" w:history="1">
        <w:r w:rsidR="00AB1B26" w:rsidRPr="00AB1B26">
          <w:rPr>
            <w:rStyle w:val="Hyperlink"/>
            <w:lang w:val="en-GB"/>
          </w:rPr>
          <w:t>resear</w:t>
        </w:r>
        <w:r w:rsidR="00AB1B26" w:rsidRPr="00AB1B26">
          <w:rPr>
            <w:rStyle w:val="Hyperlink"/>
            <w:lang w:val="en-GB"/>
          </w:rPr>
          <w:t>c</w:t>
        </w:r>
        <w:r w:rsidR="00AB1B26" w:rsidRPr="00AB1B26">
          <w:rPr>
            <w:rStyle w:val="Hyperlink"/>
            <w:lang w:val="en-GB"/>
          </w:rPr>
          <w:t>her’s website</w:t>
        </w:r>
      </w:hyperlink>
      <w:r w:rsidR="00AB1B26">
        <w:rPr>
          <w:lang w:val="en-GB"/>
        </w:rPr>
        <w:t>.</w:t>
      </w:r>
      <w:r w:rsidR="00643FE7">
        <w:rPr>
          <w:lang w:val="en-GB"/>
        </w:rPr>
        <w:t xml:space="preserve"> All obse</w:t>
      </w:r>
      <w:r w:rsidR="00E86DEB">
        <w:rPr>
          <w:lang w:val="en-GB"/>
        </w:rPr>
        <w:t>rvation represent claims stocks.</w:t>
      </w:r>
    </w:p>
    <w:p w:rsidR="00C76A17" w:rsidRDefault="00C76A17" w:rsidP="00C76A1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year</w:t>
      </w:r>
    </w:p>
    <w:p w:rsidR="00C76A17" w:rsidRDefault="00C76A17" w:rsidP="00C76A17">
      <w:pPr>
        <w:pStyle w:val="Listenabsatz"/>
        <w:numPr>
          <w:ilvl w:val="0"/>
          <w:numId w:val="17"/>
        </w:numPr>
        <w:rPr>
          <w:lang w:val="en-GB"/>
        </w:rPr>
      </w:pPr>
      <w:r w:rsidRPr="00C76A17">
        <w:rPr>
          <w:lang w:val="en-GB"/>
        </w:rPr>
        <w:t>reporter_iso2</w:t>
      </w:r>
      <w:r>
        <w:rPr>
          <w:lang w:val="en-GB"/>
        </w:rPr>
        <w:t>: ISO2 code of reporting country</w:t>
      </w:r>
    </w:p>
    <w:p w:rsidR="00C76A17" w:rsidRDefault="00C76A17" w:rsidP="00C76A17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C76A17">
        <w:rPr>
          <w:lang w:val="en-GB"/>
        </w:rPr>
        <w:t>reportingcountry</w:t>
      </w:r>
      <w:proofErr w:type="spellEnd"/>
      <w:r>
        <w:rPr>
          <w:lang w:val="en-GB"/>
        </w:rPr>
        <w:t>: Name of reporting country</w:t>
      </w:r>
    </w:p>
    <w:p w:rsidR="00C76A17" w:rsidRDefault="00C76A17" w:rsidP="00C76A17">
      <w:pPr>
        <w:pStyle w:val="Listenabsatz"/>
        <w:numPr>
          <w:ilvl w:val="0"/>
          <w:numId w:val="17"/>
        </w:numPr>
        <w:rPr>
          <w:lang w:val="en-GB"/>
        </w:rPr>
      </w:pPr>
      <w:r w:rsidRPr="00C76A17">
        <w:rPr>
          <w:lang w:val="en-GB"/>
        </w:rPr>
        <w:t>partner_iso2</w:t>
      </w:r>
      <w:r>
        <w:rPr>
          <w:lang w:val="en-GB"/>
        </w:rPr>
        <w:t xml:space="preserve">: </w:t>
      </w:r>
      <w:r>
        <w:rPr>
          <w:lang w:val="en-GB"/>
        </w:rPr>
        <w:t xml:space="preserve">ISO2 code of </w:t>
      </w:r>
      <w:r>
        <w:rPr>
          <w:lang w:val="en-GB"/>
        </w:rPr>
        <w:t>partner</w:t>
      </w:r>
      <w:r>
        <w:rPr>
          <w:lang w:val="en-GB"/>
        </w:rPr>
        <w:t xml:space="preserve"> country</w:t>
      </w:r>
    </w:p>
    <w:p w:rsidR="003B0F4E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counterpartycountry</w:t>
      </w:r>
      <w:proofErr w:type="spellEnd"/>
      <w:r>
        <w:rPr>
          <w:lang w:val="en-GB"/>
        </w:rPr>
        <w:t xml:space="preserve">: Name of </w:t>
      </w:r>
      <w:r>
        <w:rPr>
          <w:lang w:val="en-GB"/>
        </w:rPr>
        <w:t>partner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country</w:t>
      </w:r>
      <w:proofErr w:type="spellEnd"/>
    </w:p>
    <w:p w:rsidR="003B0F4E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3B0F4E">
        <w:rPr>
          <w:lang w:val="en-GB"/>
        </w:rPr>
        <w:t>position_value</w:t>
      </w:r>
      <w:proofErr w:type="spellEnd"/>
      <w:r w:rsidR="003B0F4E">
        <w:rPr>
          <w:lang w:val="en-GB"/>
        </w:rPr>
        <w:t>: value of position in billion USD (2020)</w:t>
      </w:r>
    </w:p>
    <w:p w:rsidR="00E01E87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3B0F4E">
        <w:rPr>
          <w:lang w:val="en-GB"/>
        </w:rPr>
        <w:t>cbs_bank_type</w:t>
      </w:r>
      <w:proofErr w:type="spellEnd"/>
      <w:r w:rsidR="00E01E87">
        <w:rPr>
          <w:lang w:val="en-GB"/>
        </w:rPr>
        <w:t>: BIS code for bank type (domestic, foreign, …)</w:t>
      </w:r>
    </w:p>
    <w:p w:rsidR="00E01E87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3B0F4E">
        <w:rPr>
          <w:lang w:val="en-GB"/>
        </w:rPr>
        <w:t>cbsbanktype</w:t>
      </w:r>
      <w:proofErr w:type="spellEnd"/>
      <w:r w:rsidR="00E01E87">
        <w:rPr>
          <w:lang w:val="en-GB"/>
        </w:rPr>
        <w:t>: BIS name of bank type</w:t>
      </w:r>
    </w:p>
    <w:p w:rsidR="00E01E87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3B0F4E">
        <w:rPr>
          <w:lang w:val="en-GB"/>
        </w:rPr>
        <w:lastRenderedPageBreak/>
        <w:t>l_position</w:t>
      </w:r>
      <w:proofErr w:type="spellEnd"/>
      <w:r w:rsidR="00E01E87">
        <w:rPr>
          <w:lang w:val="en-GB"/>
        </w:rPr>
        <w:t>: BIS code for balance sheet position</w:t>
      </w:r>
      <w:r w:rsidR="00FC2CB8">
        <w:rPr>
          <w:lang w:val="en-GB"/>
        </w:rPr>
        <w:t xml:space="preserve"> (international claims, local claims, equity, capital, …)</w:t>
      </w:r>
    </w:p>
    <w:p w:rsidR="00E01E87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3B0F4E">
        <w:rPr>
          <w:lang w:val="en-GB"/>
        </w:rPr>
        <w:t>balancesheetposition</w:t>
      </w:r>
      <w:proofErr w:type="spellEnd"/>
      <w:r w:rsidR="00E01E87">
        <w:rPr>
          <w:lang w:val="en-GB"/>
        </w:rPr>
        <w:t>: BIS name of balance sheet position</w:t>
      </w:r>
    </w:p>
    <w:p w:rsidR="00A83219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3B0F4E">
        <w:rPr>
          <w:lang w:val="en-GB"/>
        </w:rPr>
        <w:t>l_cp_sector</w:t>
      </w:r>
      <w:proofErr w:type="spellEnd"/>
      <w:r w:rsidR="00A83219">
        <w:rPr>
          <w:lang w:val="en-GB"/>
        </w:rPr>
        <w:t>: BIS code of receiving partner’s sector (financial, public, corporate, …)</w:t>
      </w:r>
    </w:p>
    <w:p w:rsidR="00A83219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3B0F4E">
        <w:rPr>
          <w:lang w:val="en-GB"/>
        </w:rPr>
        <w:t>counterpartysector</w:t>
      </w:r>
      <w:proofErr w:type="spellEnd"/>
      <w:r w:rsidR="00A83219">
        <w:rPr>
          <w:lang w:val="en-GB"/>
        </w:rPr>
        <w:t>: BIS name of counterparty sector</w:t>
      </w:r>
    </w:p>
    <w:p w:rsidR="00A83219" w:rsidRDefault="00A83219" w:rsidP="003B0F4E">
      <w:pPr>
        <w:pStyle w:val="Listenabsatz"/>
        <w:numPr>
          <w:ilvl w:val="0"/>
          <w:numId w:val="17"/>
        </w:numPr>
        <w:rPr>
          <w:lang w:val="en-GB"/>
        </w:rPr>
      </w:pPr>
      <w:r w:rsidRPr="003B0F4E">
        <w:rPr>
          <w:lang w:val="en-GB"/>
        </w:rPr>
        <w:t>I</w:t>
      </w:r>
      <w:r w:rsidR="00C76A17" w:rsidRPr="003B0F4E">
        <w:rPr>
          <w:lang w:val="en-GB"/>
        </w:rPr>
        <w:t>nstrument</w:t>
      </w:r>
      <w:r>
        <w:rPr>
          <w:lang w:val="en-GB"/>
        </w:rPr>
        <w:t>:</w:t>
      </w:r>
      <w:r w:rsidR="00A3764E">
        <w:rPr>
          <w:lang w:val="en-GB"/>
        </w:rPr>
        <w:t xml:space="preserve"> Derivatives and all instruments</w:t>
      </w:r>
    </w:p>
    <w:p w:rsidR="00A2514D" w:rsidRDefault="00A2514D" w:rsidP="003B0F4E">
      <w:pPr>
        <w:pStyle w:val="Listenabsatz"/>
        <w:numPr>
          <w:ilvl w:val="0"/>
          <w:numId w:val="17"/>
        </w:numPr>
        <w:rPr>
          <w:lang w:val="en-GB"/>
        </w:rPr>
      </w:pPr>
      <w:r w:rsidRPr="003B0F4E">
        <w:rPr>
          <w:lang w:val="en-GB"/>
        </w:rPr>
        <w:t>M</w:t>
      </w:r>
      <w:r w:rsidR="00C76A17" w:rsidRPr="003B0F4E">
        <w:rPr>
          <w:lang w:val="en-GB"/>
        </w:rPr>
        <w:t>aturity</w:t>
      </w:r>
      <w:r>
        <w:rPr>
          <w:lang w:val="en-GB"/>
        </w:rPr>
        <w:t>:  type of maturity (character variable)</w:t>
      </w:r>
    </w:p>
    <w:p w:rsidR="00A2514D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3B0F4E">
        <w:rPr>
          <w:lang w:val="en-GB"/>
        </w:rPr>
        <w:t>currency_type</w:t>
      </w:r>
      <w:proofErr w:type="spellEnd"/>
      <w:r w:rsidR="00A2514D">
        <w:rPr>
          <w:lang w:val="en-GB"/>
        </w:rPr>
        <w:t>: Local currency, all currencies</w:t>
      </w:r>
    </w:p>
    <w:p w:rsidR="00D944FC" w:rsidRDefault="00C76A17" w:rsidP="003B0F4E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 w:rsidRPr="003B0F4E">
        <w:rPr>
          <w:lang w:val="en-GB"/>
        </w:rPr>
        <w:t>reporting_basis</w:t>
      </w:r>
      <w:proofErr w:type="spellEnd"/>
      <w:r w:rsidR="00A2514D">
        <w:rPr>
          <w:lang w:val="en-GB"/>
        </w:rPr>
        <w:t>: Source, which reports to BIS. Details on differences in abovementioned documentation</w:t>
      </w:r>
    </w:p>
    <w:p w:rsidR="00643FE7" w:rsidRDefault="00643FE7" w:rsidP="00A93656">
      <w:pPr>
        <w:pStyle w:val="berschrift2"/>
        <w:numPr>
          <w:ilvl w:val="0"/>
          <w:numId w:val="0"/>
        </w:numPr>
        <w:rPr>
          <w:lang w:val="en-GB"/>
        </w:rPr>
      </w:pPr>
      <w:r>
        <w:rPr>
          <w:lang w:val="en-GB"/>
        </w:rPr>
        <w:t>International trade</w:t>
      </w:r>
      <w:r w:rsidR="00AA7B71">
        <w:rPr>
          <w:lang w:val="en-GB"/>
        </w:rPr>
        <w:t xml:space="preserve"> (</w:t>
      </w:r>
      <w:proofErr w:type="spellStart"/>
      <w:r w:rsidR="00AA7B71">
        <w:rPr>
          <w:lang w:val="en-GB"/>
        </w:rPr>
        <w:t>Ba</w:t>
      </w:r>
      <w:r w:rsidR="00CF4300">
        <w:rPr>
          <w:lang w:val="en-GB"/>
        </w:rPr>
        <w:t>ci</w:t>
      </w:r>
      <w:proofErr w:type="spellEnd"/>
      <w:r w:rsidR="00CF4300">
        <w:rPr>
          <w:lang w:val="en-GB"/>
        </w:rPr>
        <w:t>)</w:t>
      </w:r>
    </w:p>
    <w:p w:rsidR="00CF4300" w:rsidRDefault="00E86DEB" w:rsidP="00CF4300">
      <w:pPr>
        <w:rPr>
          <w:lang w:val="en-GB"/>
        </w:rPr>
      </w:pPr>
      <w:r>
        <w:rPr>
          <w:lang w:val="en-GB"/>
        </w:rPr>
        <w:t xml:space="preserve">The information on </w:t>
      </w:r>
      <w:r w:rsidR="00824103">
        <w:rPr>
          <w:lang w:val="en-GB"/>
        </w:rPr>
        <w:t xml:space="preserve">yearly </w:t>
      </w:r>
      <w:r>
        <w:rPr>
          <w:lang w:val="en-GB"/>
        </w:rPr>
        <w:t xml:space="preserve">international trade flows </w:t>
      </w:r>
      <w:proofErr w:type="gramStart"/>
      <w:r>
        <w:rPr>
          <w:lang w:val="en-GB"/>
        </w:rPr>
        <w:t>is obtained</w:t>
      </w:r>
      <w:proofErr w:type="gramEnd"/>
      <w:r>
        <w:rPr>
          <w:lang w:val="en-GB"/>
        </w:rPr>
        <w:t xml:space="preserve"> from </w:t>
      </w:r>
      <w:hyperlink r:id="rId11" w:history="1">
        <w:r w:rsidR="00824103" w:rsidRPr="00824103">
          <w:rPr>
            <w:rStyle w:val="Hyperlink"/>
            <w:lang w:val="en-GB"/>
          </w:rPr>
          <w:t xml:space="preserve">CEPII </w:t>
        </w:r>
        <w:proofErr w:type="spellStart"/>
        <w:r w:rsidR="00824103" w:rsidRPr="00824103">
          <w:rPr>
            <w:rStyle w:val="Hyperlink"/>
            <w:lang w:val="en-GB"/>
          </w:rPr>
          <w:t>Baci</w:t>
        </w:r>
        <w:proofErr w:type="spellEnd"/>
      </w:hyperlink>
      <w:r w:rsidR="00824103">
        <w:rPr>
          <w:lang w:val="en-GB"/>
        </w:rPr>
        <w:t xml:space="preserve">. Originally, the contained bilateral trade flows on product level, but </w:t>
      </w:r>
      <w:proofErr w:type="gramStart"/>
      <w:r w:rsidR="00824103">
        <w:rPr>
          <w:lang w:val="en-GB"/>
        </w:rPr>
        <w:t>was aggregated</w:t>
      </w:r>
      <w:proofErr w:type="gramEnd"/>
      <w:r w:rsidR="00824103">
        <w:rPr>
          <w:lang w:val="en-GB"/>
        </w:rPr>
        <w:t xml:space="preserve"> to a total trade flow. More information on </w:t>
      </w:r>
      <w:proofErr w:type="spellStart"/>
      <w:r w:rsidR="00824103">
        <w:rPr>
          <w:lang w:val="en-GB"/>
        </w:rPr>
        <w:t>Baci’s</w:t>
      </w:r>
      <w:proofErr w:type="spellEnd"/>
      <w:r w:rsidR="00824103">
        <w:rPr>
          <w:lang w:val="en-GB"/>
        </w:rPr>
        <w:t xml:space="preserve"> sources and methods are in the </w:t>
      </w:r>
      <w:hyperlink r:id="rId12" w:history="1">
        <w:r w:rsidR="00824103" w:rsidRPr="00824103">
          <w:rPr>
            <w:rStyle w:val="Hyperlink"/>
            <w:lang w:val="en-GB"/>
          </w:rPr>
          <w:t>description</w:t>
        </w:r>
      </w:hyperlink>
      <w:r w:rsidR="00824103">
        <w:rPr>
          <w:lang w:val="en-GB"/>
        </w:rPr>
        <w:t xml:space="preserve">. The observation </w:t>
      </w:r>
      <w:proofErr w:type="gramStart"/>
      <w:r w:rsidR="00824103">
        <w:rPr>
          <w:lang w:val="en-GB"/>
        </w:rPr>
        <w:t>were merged</w:t>
      </w:r>
      <w:proofErr w:type="gramEnd"/>
      <w:r w:rsidR="00824103">
        <w:rPr>
          <w:lang w:val="en-GB"/>
        </w:rPr>
        <w:t xml:space="preserve"> to the BIS data by the reporter_iso2, partner_iso2 and year.</w:t>
      </w:r>
    </w:p>
    <w:p w:rsidR="005A0923" w:rsidRDefault="005A0923" w:rsidP="005A0923">
      <w:pPr>
        <w:pStyle w:val="Listenabsatz"/>
        <w:numPr>
          <w:ilvl w:val="0"/>
          <w:numId w:val="18"/>
        </w:numPr>
        <w:ind w:left="709" w:hanging="425"/>
        <w:rPr>
          <w:lang w:val="en-GB"/>
        </w:rPr>
      </w:pPr>
      <w:r>
        <w:rPr>
          <w:lang w:val="en-GB"/>
        </w:rPr>
        <w:t>exports</w:t>
      </w:r>
      <w:r w:rsidR="00824103" w:rsidRPr="005A0923">
        <w:rPr>
          <w:lang w:val="en-GB"/>
        </w:rPr>
        <w:t xml:space="preserve">: </w:t>
      </w:r>
      <w:r>
        <w:rPr>
          <w:lang w:val="en-GB"/>
        </w:rPr>
        <w:t>Value of bilateral exports in billion USD (2019)</w:t>
      </w:r>
    </w:p>
    <w:p w:rsidR="005A0923" w:rsidRDefault="005A0923" w:rsidP="005A0923">
      <w:pPr>
        <w:pStyle w:val="Listenabsatz"/>
        <w:numPr>
          <w:ilvl w:val="0"/>
          <w:numId w:val="18"/>
        </w:numPr>
        <w:ind w:left="709" w:hanging="425"/>
        <w:rPr>
          <w:lang w:val="en-GB"/>
        </w:rPr>
      </w:pPr>
      <w:proofErr w:type="gramStart"/>
      <w:r>
        <w:rPr>
          <w:lang w:val="en-GB"/>
        </w:rPr>
        <w:t>i</w:t>
      </w:r>
      <w:r w:rsidRPr="005A0923">
        <w:rPr>
          <w:lang w:val="en-GB"/>
        </w:rPr>
        <w:t>mports</w:t>
      </w:r>
      <w:proofErr w:type="gramEnd"/>
      <w:r>
        <w:rPr>
          <w:lang w:val="en-GB"/>
        </w:rPr>
        <w:t>:</w:t>
      </w:r>
      <w:r w:rsidRPr="005A0923">
        <w:rPr>
          <w:lang w:val="en-GB"/>
        </w:rPr>
        <w:t xml:space="preserve"> </w:t>
      </w:r>
      <w:r>
        <w:rPr>
          <w:lang w:val="en-GB"/>
        </w:rPr>
        <w:t>Value of bilateral exports in billion USD (2019)</w:t>
      </w:r>
      <w:r>
        <w:rPr>
          <w:lang w:val="en-GB"/>
        </w:rPr>
        <w:t xml:space="preserve">. This variable </w:t>
      </w:r>
      <w:proofErr w:type="gramStart"/>
      <w:r>
        <w:rPr>
          <w:lang w:val="en-GB"/>
        </w:rPr>
        <w:t>was imputed</w:t>
      </w:r>
      <w:proofErr w:type="gramEnd"/>
      <w:r>
        <w:rPr>
          <w:lang w:val="en-GB"/>
        </w:rPr>
        <w:t xml:space="preserve"> according to the </w:t>
      </w:r>
      <w:proofErr w:type="spellStart"/>
      <w:r>
        <w:rPr>
          <w:lang w:val="en-GB"/>
        </w:rPr>
        <w:t>Baci</w:t>
      </w:r>
      <w:proofErr w:type="spellEnd"/>
      <w:r>
        <w:rPr>
          <w:lang w:val="en-GB"/>
        </w:rPr>
        <w:t xml:space="preserve"> instructions. An export from country A to B </w:t>
      </w:r>
      <w:proofErr w:type="gramStart"/>
      <w:r>
        <w:rPr>
          <w:lang w:val="en-GB"/>
        </w:rPr>
        <w:t>is counted</w:t>
      </w:r>
      <w:proofErr w:type="gramEnd"/>
      <w:r>
        <w:rPr>
          <w:lang w:val="en-GB"/>
        </w:rPr>
        <w:t xml:space="preserve"> as import received by B and sent by A. The database states to be as complete as it gets, thus the imputation should have only minor errors.</w:t>
      </w:r>
    </w:p>
    <w:p w:rsidR="00824103" w:rsidRDefault="005A0923" w:rsidP="00C7006E">
      <w:pPr>
        <w:pStyle w:val="Listenabsatz"/>
        <w:numPr>
          <w:ilvl w:val="0"/>
          <w:numId w:val="18"/>
        </w:numPr>
        <w:ind w:left="709" w:hanging="425"/>
        <w:rPr>
          <w:lang w:val="en-GB"/>
        </w:rPr>
      </w:pPr>
      <w:proofErr w:type="spellStart"/>
      <w:r>
        <w:rPr>
          <w:lang w:val="en-GB"/>
        </w:rPr>
        <w:t>total_exports</w:t>
      </w:r>
      <w:proofErr w:type="spellEnd"/>
      <w:r>
        <w:rPr>
          <w:lang w:val="en-GB"/>
        </w:rPr>
        <w:t>: The sum of all exports of a reporting country in a year.</w:t>
      </w:r>
    </w:p>
    <w:p w:rsidR="005A0923" w:rsidRDefault="005A0923" w:rsidP="005A0923">
      <w:pPr>
        <w:pStyle w:val="Listenabsatz"/>
        <w:numPr>
          <w:ilvl w:val="0"/>
          <w:numId w:val="18"/>
        </w:numPr>
        <w:ind w:left="709" w:hanging="425"/>
        <w:rPr>
          <w:lang w:val="en-GB"/>
        </w:rPr>
      </w:pPr>
      <w:proofErr w:type="spellStart"/>
      <w:r>
        <w:rPr>
          <w:lang w:val="en-GB"/>
        </w:rPr>
        <w:t>total</w:t>
      </w:r>
      <w:r>
        <w:rPr>
          <w:lang w:val="en-GB"/>
        </w:rPr>
        <w:t>_</w:t>
      </w:r>
      <w:r>
        <w:rPr>
          <w:lang w:val="en-GB"/>
        </w:rPr>
        <w:t>impor</w:t>
      </w:r>
      <w:r>
        <w:rPr>
          <w:lang w:val="en-GB"/>
        </w:rPr>
        <w:t>ts</w:t>
      </w:r>
      <w:proofErr w:type="spellEnd"/>
      <w:r>
        <w:rPr>
          <w:lang w:val="en-GB"/>
        </w:rPr>
        <w:t xml:space="preserve">: The sum of all </w:t>
      </w:r>
      <w:r>
        <w:rPr>
          <w:lang w:val="en-GB"/>
        </w:rPr>
        <w:t xml:space="preserve">imports </w:t>
      </w:r>
      <w:r>
        <w:rPr>
          <w:lang w:val="en-GB"/>
        </w:rPr>
        <w:t xml:space="preserve">of a </w:t>
      </w:r>
      <w:proofErr w:type="gramStart"/>
      <w:r>
        <w:rPr>
          <w:lang w:val="en-GB"/>
        </w:rPr>
        <w:t xml:space="preserve">partner </w:t>
      </w:r>
      <w:r>
        <w:rPr>
          <w:lang w:val="en-GB"/>
        </w:rPr>
        <w:t xml:space="preserve"> country</w:t>
      </w:r>
      <w:proofErr w:type="gramEnd"/>
      <w:r>
        <w:rPr>
          <w:lang w:val="en-GB"/>
        </w:rPr>
        <w:t xml:space="preserve"> in a year.</w:t>
      </w:r>
    </w:p>
    <w:p w:rsidR="00A93656" w:rsidRDefault="00A93656" w:rsidP="00A93656">
      <w:pPr>
        <w:pStyle w:val="berschrift2"/>
        <w:numPr>
          <w:ilvl w:val="0"/>
          <w:numId w:val="0"/>
        </w:numPr>
        <w:rPr>
          <w:lang w:val="en-GB"/>
        </w:rPr>
      </w:pPr>
      <w:r>
        <w:rPr>
          <w:lang w:val="en-GB"/>
        </w:rPr>
        <w:t>Foreign direct investments (OECD)</w:t>
      </w:r>
    </w:p>
    <w:p w:rsidR="00A93656" w:rsidRDefault="00B03C8E" w:rsidP="00A93656">
      <w:pPr>
        <w:rPr>
          <w:lang w:val="en-GB"/>
        </w:rPr>
      </w:pPr>
      <w:r>
        <w:rPr>
          <w:lang w:val="en-GB"/>
        </w:rPr>
        <w:t xml:space="preserve">Information on yearly, bilateral FDI stocks </w:t>
      </w:r>
      <w:proofErr w:type="gramStart"/>
      <w:r>
        <w:rPr>
          <w:lang w:val="en-GB"/>
        </w:rPr>
        <w:t>is obtained</w:t>
      </w:r>
      <w:proofErr w:type="gramEnd"/>
      <w:r>
        <w:rPr>
          <w:lang w:val="en-GB"/>
        </w:rPr>
        <w:t xml:space="preserve"> from the </w:t>
      </w:r>
      <w:hyperlink r:id="rId13" w:history="1">
        <w:r w:rsidRPr="00B03C8E">
          <w:rPr>
            <w:rStyle w:val="Hyperlink"/>
            <w:lang w:val="en-GB"/>
          </w:rPr>
          <w:t>OECD database</w:t>
        </w:r>
      </w:hyperlink>
      <w:r>
        <w:rPr>
          <w:lang w:val="en-GB"/>
        </w:rPr>
        <w:t xml:space="preserve">. The OECD FDI definition has several edition and therefore, there exist several databases on FDI data. For this data set, the </w:t>
      </w:r>
      <w:proofErr w:type="gramStart"/>
      <w:r>
        <w:rPr>
          <w:lang w:val="en-GB"/>
        </w:rPr>
        <w:t>3rd</w:t>
      </w:r>
      <w:proofErr w:type="gramEnd"/>
      <w:r>
        <w:rPr>
          <w:lang w:val="en-GB"/>
        </w:rPr>
        <w:t xml:space="preserve"> and 4th edition were used. Whenever possible, the </w:t>
      </w:r>
      <w:proofErr w:type="gramStart"/>
      <w:r>
        <w:rPr>
          <w:lang w:val="en-GB"/>
        </w:rPr>
        <w:t>4th</w:t>
      </w:r>
      <w:proofErr w:type="gramEnd"/>
      <w:r>
        <w:rPr>
          <w:lang w:val="en-GB"/>
        </w:rPr>
        <w:t xml:space="preserve"> was used, but for many reporting countries data up to 2012 was only available in the 3rd edition. Differences between the two editions are rather small and </w:t>
      </w:r>
      <w:proofErr w:type="gramStart"/>
      <w:r>
        <w:rPr>
          <w:lang w:val="en-GB"/>
        </w:rPr>
        <w:t>can be found</w:t>
      </w:r>
      <w:proofErr w:type="gramEnd"/>
      <w:r>
        <w:rPr>
          <w:lang w:val="en-GB"/>
        </w:rPr>
        <w:t xml:space="preserve"> </w:t>
      </w:r>
      <w:hyperlink r:id="rId14" w:history="1">
        <w:r w:rsidRPr="00B03C8E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. The data on FDI </w:t>
      </w:r>
      <w:proofErr w:type="gramStart"/>
      <w:r>
        <w:rPr>
          <w:lang w:val="en-GB"/>
        </w:rPr>
        <w:t>was merged</w:t>
      </w:r>
      <w:proofErr w:type="gramEnd"/>
      <w:r>
        <w:rPr>
          <w:lang w:val="en-GB"/>
        </w:rPr>
        <w:t xml:space="preserve"> to the BIS data by year, reporter_iso2 and partner_iso2.</w:t>
      </w:r>
    </w:p>
    <w:p w:rsidR="00B03C8E" w:rsidRDefault="00B03C8E" w:rsidP="00B03C8E">
      <w:pPr>
        <w:pStyle w:val="Listenabsatz"/>
        <w:numPr>
          <w:ilvl w:val="0"/>
          <w:numId w:val="19"/>
        </w:numPr>
        <w:ind w:left="709" w:hanging="709"/>
        <w:rPr>
          <w:lang w:val="en-GB"/>
        </w:rPr>
      </w:pPr>
      <w:proofErr w:type="spellStart"/>
      <w:r>
        <w:rPr>
          <w:lang w:val="en-GB"/>
        </w:rPr>
        <w:t>FDIOutward</w:t>
      </w:r>
      <w:proofErr w:type="spellEnd"/>
      <w:r>
        <w:rPr>
          <w:lang w:val="en-GB"/>
        </w:rPr>
        <w:t>: Value of outward FDI in billion USD (2019)</w:t>
      </w:r>
    </w:p>
    <w:p w:rsidR="00B03C8E" w:rsidRDefault="00B03C8E" w:rsidP="00B03C8E">
      <w:pPr>
        <w:pStyle w:val="Listenabsatz"/>
        <w:numPr>
          <w:ilvl w:val="0"/>
          <w:numId w:val="19"/>
        </w:numPr>
        <w:ind w:left="709" w:hanging="709"/>
        <w:rPr>
          <w:lang w:val="en-GB"/>
        </w:rPr>
      </w:pPr>
      <w:proofErr w:type="spellStart"/>
      <w:r w:rsidRPr="00B03C8E">
        <w:rPr>
          <w:lang w:val="en-GB"/>
        </w:rPr>
        <w:t>FDIInward</w:t>
      </w:r>
      <w:proofErr w:type="spellEnd"/>
      <w:r>
        <w:rPr>
          <w:lang w:val="en-GB"/>
        </w:rPr>
        <w:t xml:space="preserve">: Value of inward FDI in billion USD (2019). This variable </w:t>
      </w:r>
      <w:proofErr w:type="gramStart"/>
      <w:r>
        <w:rPr>
          <w:lang w:val="en-GB"/>
        </w:rPr>
        <w:t>was imputed</w:t>
      </w:r>
      <w:proofErr w:type="gramEnd"/>
      <w:r>
        <w:rPr>
          <w:lang w:val="en-GB"/>
        </w:rPr>
        <w:t xml:space="preserve"> by reverting the stocks’ direction. </w:t>
      </w:r>
      <w:r>
        <w:rPr>
          <w:lang w:val="en-GB"/>
        </w:rPr>
        <w:t xml:space="preserve">An </w:t>
      </w:r>
      <w:r>
        <w:rPr>
          <w:lang w:val="en-GB"/>
        </w:rPr>
        <w:t>outward FDI</w:t>
      </w:r>
      <w:r>
        <w:rPr>
          <w:lang w:val="en-GB"/>
        </w:rPr>
        <w:t xml:space="preserve"> from country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in country</w:t>
      </w:r>
      <w:r>
        <w:rPr>
          <w:lang w:val="en-GB"/>
        </w:rPr>
        <w:t xml:space="preserve"> B is counted as </w:t>
      </w:r>
      <w:r>
        <w:rPr>
          <w:lang w:val="en-GB"/>
        </w:rPr>
        <w:t>inward FDI</w:t>
      </w:r>
      <w:r>
        <w:rPr>
          <w:lang w:val="en-GB"/>
        </w:rPr>
        <w:t xml:space="preserve"> received by B and </w:t>
      </w:r>
      <w:r>
        <w:rPr>
          <w:lang w:val="en-GB"/>
        </w:rPr>
        <w:t xml:space="preserve">made </w:t>
      </w:r>
      <w:r>
        <w:rPr>
          <w:lang w:val="en-GB"/>
        </w:rPr>
        <w:t>by A</w:t>
      </w:r>
      <w:r>
        <w:rPr>
          <w:lang w:val="en-GB"/>
        </w:rPr>
        <w:t xml:space="preserve">. The </w:t>
      </w:r>
      <w:r w:rsidR="001C214B">
        <w:rPr>
          <w:lang w:val="en-GB"/>
        </w:rPr>
        <w:t>inward and outward observations exist for all 37 reporting countries.</w:t>
      </w:r>
    </w:p>
    <w:p w:rsidR="001C214B" w:rsidRDefault="00B03C8E" w:rsidP="00B03C8E">
      <w:pPr>
        <w:pStyle w:val="Listenabsatz"/>
        <w:numPr>
          <w:ilvl w:val="0"/>
          <w:numId w:val="19"/>
        </w:numPr>
        <w:ind w:left="709" w:hanging="709"/>
        <w:rPr>
          <w:lang w:val="en-GB"/>
        </w:rPr>
      </w:pPr>
      <w:proofErr w:type="spellStart"/>
      <w:r w:rsidRPr="00B03C8E">
        <w:rPr>
          <w:lang w:val="en-GB"/>
        </w:rPr>
        <w:t>total_FDIout</w:t>
      </w:r>
      <w:proofErr w:type="spellEnd"/>
      <w:r w:rsidR="001C214B">
        <w:rPr>
          <w:lang w:val="en-GB"/>
        </w:rPr>
        <w:t>:</w:t>
      </w:r>
      <w:r w:rsidR="001C214B" w:rsidRPr="001C214B">
        <w:rPr>
          <w:lang w:val="en-GB"/>
        </w:rPr>
        <w:t xml:space="preserve"> </w:t>
      </w:r>
      <w:r w:rsidR="001C214B">
        <w:rPr>
          <w:lang w:val="en-GB"/>
        </w:rPr>
        <w:t xml:space="preserve">The sum of all </w:t>
      </w:r>
      <w:r w:rsidR="001C214B">
        <w:rPr>
          <w:lang w:val="en-GB"/>
        </w:rPr>
        <w:t>outward FDI</w:t>
      </w:r>
      <w:r w:rsidR="001C214B">
        <w:rPr>
          <w:lang w:val="en-GB"/>
        </w:rPr>
        <w:t xml:space="preserve"> of a reporting country in a year</w:t>
      </w:r>
    </w:p>
    <w:p w:rsidR="00B03C8E" w:rsidRPr="00B03C8E" w:rsidRDefault="00B03C8E" w:rsidP="00B03C8E">
      <w:pPr>
        <w:pStyle w:val="Listenabsatz"/>
        <w:numPr>
          <w:ilvl w:val="0"/>
          <w:numId w:val="19"/>
        </w:numPr>
        <w:ind w:left="709" w:hanging="709"/>
        <w:rPr>
          <w:lang w:val="en-GB"/>
        </w:rPr>
      </w:pPr>
      <w:bookmarkStart w:id="0" w:name="_GoBack"/>
      <w:bookmarkEnd w:id="0"/>
      <w:proofErr w:type="spellStart"/>
      <w:r w:rsidRPr="00B03C8E">
        <w:rPr>
          <w:lang w:val="en-GB"/>
        </w:rPr>
        <w:t>total_FDIin</w:t>
      </w:r>
      <w:proofErr w:type="spellEnd"/>
      <w:r w:rsidR="001C214B">
        <w:rPr>
          <w:lang w:val="en-GB"/>
        </w:rPr>
        <w:t xml:space="preserve">: </w:t>
      </w:r>
      <w:r w:rsidR="001C214B">
        <w:rPr>
          <w:lang w:val="en-GB"/>
        </w:rPr>
        <w:t xml:space="preserve">The sum of all </w:t>
      </w:r>
      <w:r w:rsidR="001C214B">
        <w:rPr>
          <w:lang w:val="en-GB"/>
        </w:rPr>
        <w:t>inward FDI</w:t>
      </w:r>
      <w:r w:rsidR="001C214B">
        <w:rPr>
          <w:lang w:val="en-GB"/>
        </w:rPr>
        <w:t xml:space="preserve"> of a </w:t>
      </w:r>
      <w:r w:rsidR="001C214B">
        <w:rPr>
          <w:lang w:val="en-GB"/>
        </w:rPr>
        <w:t xml:space="preserve">partner </w:t>
      </w:r>
      <w:r w:rsidR="001C214B">
        <w:rPr>
          <w:lang w:val="en-GB"/>
        </w:rPr>
        <w:t>country in a year</w:t>
      </w:r>
    </w:p>
    <w:sectPr w:rsidR="00B03C8E" w:rsidRPr="00B03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167" w:rsidRDefault="006C0167" w:rsidP="00095460">
      <w:pPr>
        <w:spacing w:line="240" w:lineRule="auto"/>
      </w:pPr>
      <w:r>
        <w:separator/>
      </w:r>
    </w:p>
  </w:endnote>
  <w:endnote w:type="continuationSeparator" w:id="0">
    <w:p w:rsidR="006C0167" w:rsidRDefault="006C0167" w:rsidP="00095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167" w:rsidRDefault="006C0167" w:rsidP="00095460">
      <w:pPr>
        <w:spacing w:line="240" w:lineRule="auto"/>
      </w:pPr>
      <w:r>
        <w:separator/>
      </w:r>
    </w:p>
  </w:footnote>
  <w:footnote w:type="continuationSeparator" w:id="0">
    <w:p w:rsidR="006C0167" w:rsidRDefault="006C0167" w:rsidP="000954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FEA"/>
    <w:multiLevelType w:val="multilevel"/>
    <w:tmpl w:val="A24CEB62"/>
    <w:numStyleLink w:val="GliederungAufzhlung"/>
  </w:abstractNum>
  <w:abstractNum w:abstractNumId="1" w15:restartNumberingAfterBreak="0">
    <w:nsid w:val="106E7132"/>
    <w:multiLevelType w:val="multilevel"/>
    <w:tmpl w:val="98080658"/>
    <w:styleLink w:val="GliederungNummerierung"/>
    <w:lvl w:ilvl="0">
      <w:start w:val="1"/>
      <w:numFmt w:val="decimal"/>
      <w:pStyle w:val="GliederungmitNummerierung"/>
      <w:lvlText w:val="%1"/>
      <w:lvlJc w:val="left"/>
      <w:pPr>
        <w:tabs>
          <w:tab w:val="num" w:pos="357"/>
        </w:tabs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2098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98"/>
        </w:tabs>
        <w:ind w:left="3062" w:hanging="964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70C10"/>
    <w:multiLevelType w:val="hybridMultilevel"/>
    <w:tmpl w:val="D7349BC2"/>
    <w:lvl w:ilvl="0" w:tplc="717E7552">
      <w:start w:val="1"/>
      <w:numFmt w:val="decimal"/>
      <w:pStyle w:val="Nummerierung2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6054"/>
    <w:multiLevelType w:val="hybridMultilevel"/>
    <w:tmpl w:val="6172EF3E"/>
    <w:lvl w:ilvl="0" w:tplc="6AFEFE52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F2443"/>
    <w:multiLevelType w:val="multilevel"/>
    <w:tmpl w:val="A24CEB62"/>
    <w:numStyleLink w:val="GliederungAufzhlung"/>
  </w:abstractNum>
  <w:abstractNum w:abstractNumId="5" w15:restartNumberingAfterBreak="0">
    <w:nsid w:val="337E2D2C"/>
    <w:multiLevelType w:val="hybridMultilevel"/>
    <w:tmpl w:val="DFCE96C6"/>
    <w:lvl w:ilvl="0" w:tplc="980A441C">
      <w:start w:val="1"/>
      <w:numFmt w:val="bullet"/>
      <w:pStyle w:val="Aufzhlungszeichen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26677"/>
    <w:multiLevelType w:val="multilevel"/>
    <w:tmpl w:val="A24CEB62"/>
    <w:styleLink w:val="GliederungAufzhlung"/>
    <w:lvl w:ilvl="0">
      <w:start w:val="1"/>
      <w:numFmt w:val="bullet"/>
      <w:pStyle w:val="GliederungmitAufzhlung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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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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F817403"/>
    <w:multiLevelType w:val="multilevel"/>
    <w:tmpl w:val="911A36E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6461D3"/>
    <w:multiLevelType w:val="hybridMultilevel"/>
    <w:tmpl w:val="70029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65198"/>
    <w:multiLevelType w:val="hybridMultilevel"/>
    <w:tmpl w:val="D318C9F6"/>
    <w:lvl w:ilvl="0" w:tplc="7C4C06EE">
      <w:start w:val="1"/>
      <w:numFmt w:val="upperRoman"/>
      <w:pStyle w:val="Nummerierung3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321FC"/>
    <w:multiLevelType w:val="hybridMultilevel"/>
    <w:tmpl w:val="03682A64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6663C3F"/>
    <w:multiLevelType w:val="hybridMultilevel"/>
    <w:tmpl w:val="B2F04386"/>
    <w:lvl w:ilvl="0" w:tplc="C2F8164C">
      <w:start w:val="1"/>
      <w:numFmt w:val="bullet"/>
      <w:pStyle w:val="Aufzhlungszeichen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27D97"/>
    <w:multiLevelType w:val="hybridMultilevel"/>
    <w:tmpl w:val="A0C8C08E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649E5352"/>
    <w:multiLevelType w:val="hybridMultilevel"/>
    <w:tmpl w:val="D9729186"/>
    <w:lvl w:ilvl="0" w:tplc="53C89F24">
      <w:start w:val="1"/>
      <w:numFmt w:val="bullet"/>
      <w:pStyle w:val="Aufzhlungszeichen3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05DB6"/>
    <w:multiLevelType w:val="multilevel"/>
    <w:tmpl w:val="98080658"/>
    <w:numStyleLink w:val="GliederungNummerierung"/>
  </w:abstractNum>
  <w:abstractNum w:abstractNumId="15" w15:restartNumberingAfterBreak="0">
    <w:nsid w:val="746D5400"/>
    <w:multiLevelType w:val="hybridMultilevel"/>
    <w:tmpl w:val="17C64B84"/>
    <w:lvl w:ilvl="0" w:tplc="31ACDECC">
      <w:start w:val="1"/>
      <w:numFmt w:val="lowerLetter"/>
      <w:pStyle w:val="Nummerierung4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13"/>
  </w:num>
  <w:num w:numId="10">
    <w:abstractNumId w:val="3"/>
  </w:num>
  <w:num w:numId="11">
    <w:abstractNumId w:val="2"/>
  </w:num>
  <w:num w:numId="12">
    <w:abstractNumId w:val="9"/>
  </w:num>
  <w:num w:numId="13">
    <w:abstractNumId w:val="15"/>
  </w:num>
  <w:num w:numId="14">
    <w:abstractNumId w:val="0"/>
  </w:num>
  <w:num w:numId="15">
    <w:abstractNumId w:val="4"/>
  </w:num>
  <w:num w:numId="16">
    <w:abstractNumId w:val="14"/>
  </w:num>
  <w:num w:numId="17">
    <w:abstractNumId w:val="8"/>
  </w:num>
  <w:num w:numId="18">
    <w:abstractNumId w:val="10"/>
  </w:num>
  <w:num w:numId="1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67"/>
    <w:rsid w:val="000105AE"/>
    <w:rsid w:val="00095460"/>
    <w:rsid w:val="000969F2"/>
    <w:rsid w:val="000A2221"/>
    <w:rsid w:val="000A4E76"/>
    <w:rsid w:val="00111E32"/>
    <w:rsid w:val="00145EED"/>
    <w:rsid w:val="001969A3"/>
    <w:rsid w:val="00197F42"/>
    <w:rsid w:val="001C214B"/>
    <w:rsid w:val="002E5B7A"/>
    <w:rsid w:val="003126B1"/>
    <w:rsid w:val="00335539"/>
    <w:rsid w:val="00396F5D"/>
    <w:rsid w:val="003B0F4E"/>
    <w:rsid w:val="003C2272"/>
    <w:rsid w:val="003F15B2"/>
    <w:rsid w:val="004738F9"/>
    <w:rsid w:val="00552D86"/>
    <w:rsid w:val="005A0923"/>
    <w:rsid w:val="005B045E"/>
    <w:rsid w:val="005D01B2"/>
    <w:rsid w:val="00643FE7"/>
    <w:rsid w:val="00644FBD"/>
    <w:rsid w:val="006B69A9"/>
    <w:rsid w:val="006C0167"/>
    <w:rsid w:val="006F21BA"/>
    <w:rsid w:val="00705C2A"/>
    <w:rsid w:val="00720296"/>
    <w:rsid w:val="00734DA3"/>
    <w:rsid w:val="007C0E8B"/>
    <w:rsid w:val="00807359"/>
    <w:rsid w:val="00824103"/>
    <w:rsid w:val="00854305"/>
    <w:rsid w:val="0086558B"/>
    <w:rsid w:val="008805C7"/>
    <w:rsid w:val="008A547B"/>
    <w:rsid w:val="008B4363"/>
    <w:rsid w:val="008F3D60"/>
    <w:rsid w:val="00933A2A"/>
    <w:rsid w:val="0093680D"/>
    <w:rsid w:val="00946F1F"/>
    <w:rsid w:val="009B29D3"/>
    <w:rsid w:val="009B54BA"/>
    <w:rsid w:val="00A2514D"/>
    <w:rsid w:val="00A30CE3"/>
    <w:rsid w:val="00A3764E"/>
    <w:rsid w:val="00A54C91"/>
    <w:rsid w:val="00A71A65"/>
    <w:rsid w:val="00A83219"/>
    <w:rsid w:val="00A93656"/>
    <w:rsid w:val="00AA7B71"/>
    <w:rsid w:val="00AB0861"/>
    <w:rsid w:val="00AB1B26"/>
    <w:rsid w:val="00B03C8E"/>
    <w:rsid w:val="00B762B8"/>
    <w:rsid w:val="00B77797"/>
    <w:rsid w:val="00BE4FB8"/>
    <w:rsid w:val="00C15C85"/>
    <w:rsid w:val="00C43018"/>
    <w:rsid w:val="00C76A17"/>
    <w:rsid w:val="00CD1382"/>
    <w:rsid w:val="00CF4300"/>
    <w:rsid w:val="00D573C7"/>
    <w:rsid w:val="00D944FC"/>
    <w:rsid w:val="00E01E87"/>
    <w:rsid w:val="00E86DEB"/>
    <w:rsid w:val="00EC03F5"/>
    <w:rsid w:val="00EF5022"/>
    <w:rsid w:val="00EF7FEA"/>
    <w:rsid w:val="00F02B88"/>
    <w:rsid w:val="00F177F8"/>
    <w:rsid w:val="00F3773D"/>
    <w:rsid w:val="00F55257"/>
    <w:rsid w:val="00F77787"/>
    <w:rsid w:val="00F84957"/>
    <w:rsid w:val="00FA74F8"/>
    <w:rsid w:val="00FC2CB8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A40F"/>
  <w15:chartTrackingRefBased/>
  <w15:docId w15:val="{E7020140-EFD1-4D4F-A0F7-62855CC5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5EED"/>
    <w:pPr>
      <w:spacing w:after="0" w:line="312" w:lineRule="auto"/>
      <w:ind w:firstLine="397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F3D60"/>
    <w:pPr>
      <w:keepNext/>
      <w:numPr>
        <w:numId w:val="6"/>
      </w:numPr>
      <w:tabs>
        <w:tab w:val="left" w:pos="1134"/>
      </w:tabs>
      <w:spacing w:before="360" w:after="180" w:line="240" w:lineRule="auto"/>
      <w:ind w:left="1134" w:hanging="1134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8F3D60"/>
    <w:pPr>
      <w:keepLines/>
      <w:numPr>
        <w:ilvl w:val="1"/>
      </w:numPr>
      <w:spacing w:before="240" w:after="120"/>
      <w:ind w:left="1134" w:hanging="1134"/>
      <w:outlineLvl w:val="1"/>
    </w:pPr>
    <w:rPr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8F3D60"/>
    <w:pPr>
      <w:numPr>
        <w:ilvl w:val="2"/>
      </w:numPr>
      <w:spacing w:before="180"/>
      <w:ind w:left="1134" w:hanging="1134"/>
      <w:outlineLvl w:val="2"/>
    </w:pPr>
    <w:rPr>
      <w:rFonts w:asciiTheme="minorHAnsi" w:hAnsiTheme="minorHAnsi"/>
      <w:sz w:val="22"/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8F3D60"/>
    <w:pPr>
      <w:numPr>
        <w:ilvl w:val="3"/>
      </w:numPr>
      <w:spacing w:before="160"/>
      <w:ind w:left="1134" w:hanging="1134"/>
      <w:outlineLvl w:val="3"/>
    </w:pPr>
    <w:rPr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8F3D60"/>
    <w:pPr>
      <w:keepNext/>
      <w:keepLines/>
      <w:numPr>
        <w:ilvl w:val="4"/>
        <w:numId w:val="6"/>
      </w:numPr>
      <w:spacing w:before="140" w:after="120" w:line="240" w:lineRule="auto"/>
      <w:ind w:left="1134" w:hanging="1134"/>
      <w:outlineLvl w:val="4"/>
    </w:pPr>
    <w:rPr>
      <w:rFonts w:eastAsiaTheme="majorEastAsia" w:cstheme="majorBidi"/>
      <w:b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2E5B7A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00305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5B7A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305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5B7A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5B7A"/>
    <w:pPr>
      <w:keepNext/>
      <w:keepLines/>
      <w:numPr>
        <w:ilvl w:val="8"/>
        <w:numId w:val="3"/>
      </w:numPr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szeichen1">
    <w:name w:val="Aufzählungszeichen1"/>
    <w:basedOn w:val="Standard"/>
    <w:qFormat/>
    <w:rsid w:val="008F3D60"/>
    <w:pPr>
      <w:numPr>
        <w:numId w:val="7"/>
      </w:numPr>
      <w:spacing w:after="120"/>
      <w:ind w:left="357" w:hanging="357"/>
    </w:pPr>
  </w:style>
  <w:style w:type="paragraph" w:customStyle="1" w:styleId="Aufzhlungszeichen2">
    <w:name w:val="Aufzählungszeichen2"/>
    <w:basedOn w:val="Standard"/>
    <w:qFormat/>
    <w:rsid w:val="002E5B7A"/>
    <w:pPr>
      <w:numPr>
        <w:numId w:val="8"/>
      </w:numPr>
      <w:spacing w:after="120"/>
    </w:pPr>
  </w:style>
  <w:style w:type="paragraph" w:customStyle="1" w:styleId="Aufzhlungszeichen3">
    <w:name w:val="Aufzählungszeichen3"/>
    <w:basedOn w:val="Standard"/>
    <w:qFormat/>
    <w:rsid w:val="002E5B7A"/>
    <w:pPr>
      <w:numPr>
        <w:numId w:val="9"/>
      </w:numPr>
      <w:spacing w:after="120"/>
    </w:pPr>
  </w:style>
  <w:style w:type="paragraph" w:customStyle="1" w:styleId="HngEinrckung1">
    <w:name w:val="Häng.Einrückung1"/>
    <w:basedOn w:val="Standard"/>
    <w:rsid w:val="000969F2"/>
    <w:pPr>
      <w:ind w:left="567" w:hanging="567"/>
    </w:pPr>
  </w:style>
  <w:style w:type="paragraph" w:customStyle="1" w:styleId="HngEinrckung2">
    <w:name w:val="Häng.Einrückung2"/>
    <w:basedOn w:val="HngEinrckung1"/>
    <w:rsid w:val="000969F2"/>
    <w:pPr>
      <w:ind w:left="1134"/>
    </w:pPr>
  </w:style>
  <w:style w:type="paragraph" w:customStyle="1" w:styleId="HngEinrckung3">
    <w:name w:val="Häng.Einrückung3"/>
    <w:basedOn w:val="HngEinrckung2"/>
    <w:rsid w:val="000969F2"/>
    <w:pPr>
      <w:ind w:left="1701"/>
    </w:pPr>
  </w:style>
  <w:style w:type="paragraph" w:customStyle="1" w:styleId="Nummerierung1">
    <w:name w:val="Nummerierung1"/>
    <w:basedOn w:val="Standard"/>
    <w:qFormat/>
    <w:rsid w:val="008F3D60"/>
    <w:pPr>
      <w:numPr>
        <w:numId w:val="10"/>
      </w:numPr>
      <w:spacing w:after="120"/>
      <w:ind w:left="357" w:hanging="357"/>
    </w:pPr>
  </w:style>
  <w:style w:type="paragraph" w:customStyle="1" w:styleId="Nummerierung2">
    <w:name w:val="Nummerierung2"/>
    <w:basedOn w:val="Standard"/>
    <w:qFormat/>
    <w:rsid w:val="008F3D60"/>
    <w:pPr>
      <w:numPr>
        <w:numId w:val="11"/>
      </w:numPr>
      <w:spacing w:after="120"/>
      <w:ind w:left="357" w:hanging="357"/>
    </w:pPr>
  </w:style>
  <w:style w:type="paragraph" w:customStyle="1" w:styleId="Nummerierung3">
    <w:name w:val="Nummerierung3"/>
    <w:basedOn w:val="Standard"/>
    <w:qFormat/>
    <w:rsid w:val="002E5B7A"/>
    <w:pPr>
      <w:numPr>
        <w:numId w:val="12"/>
      </w:numPr>
      <w:spacing w:after="120"/>
    </w:pPr>
  </w:style>
  <w:style w:type="paragraph" w:customStyle="1" w:styleId="Nummerierung4">
    <w:name w:val="Nummerierung4"/>
    <w:basedOn w:val="Standard"/>
    <w:qFormat/>
    <w:rsid w:val="00946F1F"/>
    <w:pPr>
      <w:numPr>
        <w:numId w:val="13"/>
      </w:numPr>
      <w:spacing w:after="120"/>
      <w:ind w:left="357" w:hanging="357"/>
    </w:pPr>
  </w:style>
  <w:style w:type="paragraph" w:styleId="Endnotentext">
    <w:name w:val="endnote text"/>
    <w:basedOn w:val="Standard"/>
    <w:link w:val="EndnotentextZchn"/>
    <w:uiPriority w:val="99"/>
    <w:rsid w:val="00807359"/>
    <w:pPr>
      <w:spacing w:before="20" w:line="180" w:lineRule="exact"/>
      <w:ind w:left="142" w:hanging="142"/>
    </w:pPr>
    <w:rPr>
      <w:sz w:val="16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807359"/>
    <w:rPr>
      <w:sz w:val="16"/>
      <w:szCs w:val="20"/>
    </w:rPr>
  </w:style>
  <w:style w:type="paragraph" w:styleId="Funotentext">
    <w:name w:val="footnote text"/>
    <w:basedOn w:val="Standard"/>
    <w:link w:val="FunotentextZchn"/>
    <w:uiPriority w:val="99"/>
    <w:rsid w:val="001969A3"/>
    <w:pPr>
      <w:spacing w:before="20" w:line="180" w:lineRule="exact"/>
      <w:ind w:left="142" w:hanging="142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969A3"/>
    <w:rPr>
      <w:sz w:val="16"/>
      <w:szCs w:val="20"/>
    </w:rPr>
  </w:style>
  <w:style w:type="character" w:styleId="Endnotenzeichen">
    <w:name w:val="endnote reference"/>
    <w:basedOn w:val="Absatz-Standardschriftart"/>
    <w:uiPriority w:val="99"/>
    <w:rsid w:val="00095460"/>
    <w:rPr>
      <w:rFonts w:asciiTheme="minorHAnsi" w:hAnsiTheme="minorHAnsi"/>
      <w:position w:val="4"/>
      <w:sz w:val="12"/>
      <w:vertAlign w:val="baseline"/>
    </w:rPr>
  </w:style>
  <w:style w:type="character" w:styleId="Funotenzeichen">
    <w:name w:val="footnote reference"/>
    <w:basedOn w:val="Absatz-Standardschriftart"/>
    <w:uiPriority w:val="99"/>
    <w:rsid w:val="001969A3"/>
    <w:rPr>
      <w:rFonts w:asciiTheme="minorHAnsi" w:hAnsiTheme="minorHAnsi"/>
      <w:position w:val="4"/>
      <w:sz w:val="12"/>
      <w:vertAlign w:val="superscript"/>
    </w:rPr>
  </w:style>
  <w:style w:type="paragraph" w:styleId="Fuzeile">
    <w:name w:val="footer"/>
    <w:basedOn w:val="Standard"/>
    <w:link w:val="FuzeileZchn"/>
    <w:uiPriority w:val="99"/>
    <w:rsid w:val="001969A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69A3"/>
  </w:style>
  <w:style w:type="character" w:styleId="Hyperlink">
    <w:name w:val="Hyperlink"/>
    <w:basedOn w:val="Absatz-Standardschriftart"/>
    <w:uiPriority w:val="99"/>
    <w:rsid w:val="001969A3"/>
    <w:rPr>
      <w:color w:val="7C93C3" w:themeColor="hyperlink"/>
      <w:u w:val="single"/>
    </w:rPr>
  </w:style>
  <w:style w:type="paragraph" w:customStyle="1" w:styleId="Marginalspalte">
    <w:name w:val="Marginalspalte"/>
    <w:basedOn w:val="Standard"/>
    <w:next w:val="Standard"/>
    <w:rsid w:val="001969A3"/>
    <w:pPr>
      <w:framePr w:w="851" w:h="851" w:hRule="exact" w:hSpace="284" w:wrap="around" w:vAnchor="text" w:hAnchor="page" w:y="1"/>
      <w:spacing w:line="240" w:lineRule="auto"/>
    </w:pPr>
    <w:rPr>
      <w:i/>
      <w:sz w:val="20"/>
    </w:rPr>
  </w:style>
  <w:style w:type="numbering" w:customStyle="1" w:styleId="GliederungNummerierung">
    <w:name w:val="GliederungNummerierung"/>
    <w:uiPriority w:val="99"/>
    <w:rsid w:val="00396F5D"/>
    <w:pPr>
      <w:numPr>
        <w:numId w:val="4"/>
      </w:numPr>
    </w:pPr>
  </w:style>
  <w:style w:type="paragraph" w:customStyle="1" w:styleId="GliederungmitNummerierung">
    <w:name w:val="Gliederung mit Nummerierung"/>
    <w:basedOn w:val="Listenabsatz"/>
    <w:link w:val="GliederungmitNummerierungZchn"/>
    <w:qFormat/>
    <w:rsid w:val="003F15B2"/>
    <w:pPr>
      <w:numPr>
        <w:numId w:val="16"/>
      </w:numPr>
    </w:pPr>
  </w:style>
  <w:style w:type="numbering" w:customStyle="1" w:styleId="GliederungAufzhlung">
    <w:name w:val="GliederungAufzählung"/>
    <w:uiPriority w:val="99"/>
    <w:rsid w:val="00AB0861"/>
    <w:pPr>
      <w:numPr>
        <w:numId w:val="5"/>
      </w:numPr>
    </w:pPr>
  </w:style>
  <w:style w:type="character" w:customStyle="1" w:styleId="GliederungmitNummerierungZchn">
    <w:name w:val="Gliederung mit Nummerierung Zchn"/>
    <w:basedOn w:val="Absatz-Standardschriftart"/>
    <w:link w:val="GliederungmitNummerierung"/>
    <w:rsid w:val="003F15B2"/>
  </w:style>
  <w:style w:type="paragraph" w:styleId="Listenabsatz">
    <w:name w:val="List Paragraph"/>
    <w:basedOn w:val="Standard"/>
    <w:link w:val="ListenabsatzZchn"/>
    <w:uiPriority w:val="34"/>
    <w:semiHidden/>
    <w:qFormat/>
    <w:rsid w:val="002E5B7A"/>
    <w:pPr>
      <w:ind w:left="720"/>
      <w:contextualSpacing/>
    </w:pPr>
  </w:style>
  <w:style w:type="paragraph" w:customStyle="1" w:styleId="GliederungmitAufzhlung">
    <w:name w:val="Gliederung mit Aufzählung"/>
    <w:basedOn w:val="Listenabsatz"/>
    <w:link w:val="GliederungmitAufzhlungZchn"/>
    <w:qFormat/>
    <w:rsid w:val="00335539"/>
    <w:pPr>
      <w:numPr>
        <w:numId w:val="15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2E5B7A"/>
  </w:style>
  <w:style w:type="character" w:customStyle="1" w:styleId="GliederungmitAufzhlungZchn">
    <w:name w:val="Gliederung mit Aufzählung Zchn"/>
    <w:basedOn w:val="ListenabsatzZchn"/>
    <w:link w:val="GliederungmitAufzhlung"/>
    <w:rsid w:val="00335539"/>
  </w:style>
  <w:style w:type="character" w:customStyle="1" w:styleId="berschrift1Zchn">
    <w:name w:val="Überschrift 1 Zchn"/>
    <w:basedOn w:val="Absatz-Standardschriftart"/>
    <w:link w:val="berschrift1"/>
    <w:uiPriority w:val="9"/>
    <w:rsid w:val="008F3D60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3D60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3D60"/>
    <w:rPr>
      <w:rFonts w:eastAsiaTheme="majorEastAsia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3D60"/>
    <w:rPr>
      <w:rFonts w:eastAsiaTheme="majorEastAsia" w:cstheme="majorBidi"/>
      <w:b/>
      <w:i/>
      <w:iCs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3D60"/>
    <w:rPr>
      <w:rFonts w:eastAsiaTheme="majorEastAsia" w:cstheme="majorBidi"/>
      <w:b/>
      <w:i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5B7A"/>
    <w:rPr>
      <w:rFonts w:asciiTheme="majorHAnsi" w:eastAsiaTheme="majorEastAsia" w:hAnsiTheme="majorHAnsi" w:cstheme="majorBidi"/>
      <w:color w:val="00305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5B7A"/>
    <w:rPr>
      <w:rFonts w:asciiTheme="majorHAnsi" w:eastAsiaTheme="majorEastAsia" w:hAnsiTheme="majorHAnsi" w:cstheme="majorBidi"/>
      <w:i/>
      <w:iCs/>
      <w:color w:val="00305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5B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5B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rsid w:val="00C15C85"/>
    <w:pPr>
      <w:tabs>
        <w:tab w:val="left" w:pos="794"/>
        <w:tab w:val="right" w:leader="dot" w:pos="9072"/>
      </w:tabs>
      <w:spacing w:before="120" w:after="120" w:line="240" w:lineRule="auto"/>
      <w:ind w:left="794" w:hanging="794"/>
    </w:pPr>
    <w:rPr>
      <w:b/>
      <w:smallCaps/>
      <w:sz w:val="24"/>
    </w:rPr>
  </w:style>
  <w:style w:type="paragraph" w:styleId="Verzeichnis2">
    <w:name w:val="toc 2"/>
    <w:basedOn w:val="Verzeichnis1"/>
    <w:next w:val="Standard"/>
    <w:autoRedefine/>
    <w:uiPriority w:val="39"/>
    <w:rsid w:val="00C15C85"/>
    <w:pPr>
      <w:spacing w:after="60"/>
    </w:pPr>
    <w:rPr>
      <w:sz w:val="22"/>
    </w:rPr>
  </w:style>
  <w:style w:type="paragraph" w:styleId="Verzeichnis3">
    <w:name w:val="toc 3"/>
    <w:basedOn w:val="Verzeichnis2"/>
    <w:next w:val="Standard"/>
    <w:autoRedefine/>
    <w:uiPriority w:val="39"/>
    <w:rsid w:val="00C15C85"/>
    <w:rPr>
      <w:b w:val="0"/>
      <w:noProof/>
      <w:sz w:val="20"/>
    </w:rPr>
  </w:style>
  <w:style w:type="paragraph" w:styleId="Verzeichnis4">
    <w:name w:val="toc 4"/>
    <w:basedOn w:val="Verzeichnis3"/>
    <w:next w:val="Standard"/>
    <w:autoRedefine/>
    <w:uiPriority w:val="39"/>
    <w:rsid w:val="00C15C85"/>
    <w:pPr>
      <w:spacing w:after="40"/>
    </w:pPr>
    <w:rPr>
      <w:sz w:val="18"/>
    </w:rPr>
  </w:style>
  <w:style w:type="paragraph" w:styleId="Verzeichnis5">
    <w:name w:val="toc 5"/>
    <w:basedOn w:val="Verzeichnis4"/>
    <w:next w:val="Standard"/>
    <w:autoRedefine/>
    <w:uiPriority w:val="39"/>
    <w:rsid w:val="003126B1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rsid w:val="00644FB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4FBD"/>
  </w:style>
  <w:style w:type="character" w:styleId="BesuchterLink">
    <w:name w:val="FollowedHyperlink"/>
    <w:basedOn w:val="Absatz-Standardschriftart"/>
    <w:uiPriority w:val="99"/>
    <w:semiHidden/>
    <w:unhideWhenUsed/>
    <w:rsid w:val="00A2514D"/>
    <w:rPr>
      <w:color w:val="B0BED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s.org/statistics/full_data_sets.htm" TargetMode="External"/><Relationship Id="rId13" Type="http://schemas.openxmlformats.org/officeDocument/2006/relationships/hyperlink" Target="https://stats.oecd.org/Index.aspx?DataSetCode=FDI_POSITION_PARTN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epii.fr/PDF_PUB/wp/2010/wp2010-23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epii.fr/CEPII/en/bdd_modele/presentation.asp?id=3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geerolf.com/data/bis/CB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s.org/statistics/dsd_cbs.pdf" TargetMode="External"/><Relationship Id="rId14" Type="http://schemas.openxmlformats.org/officeDocument/2006/relationships/hyperlink" Target="https://www.oecd-ilibrary.org/docserver/9789264045743-11-en.pdf?expires=1630507563&amp;id=id&amp;accname=ocid177286a&amp;checksum=F8ED2F9AE2C7FD68E7AB0BD3DAC929FA" TargetMode="External"/></Relationships>
</file>

<file path=word/theme/theme1.xml><?xml version="1.0" encoding="utf-8"?>
<a:theme xmlns:a="http://schemas.openxmlformats.org/drawingml/2006/main" name="BBk_Farbe">
  <a:themeElements>
    <a:clrScheme name="Farbe3_Neu">
      <a:dk1>
        <a:srgbClr val="000000"/>
      </a:dk1>
      <a:lt1>
        <a:srgbClr val="FFFFFF"/>
      </a:lt1>
      <a:dk2>
        <a:srgbClr val="000000"/>
      </a:dk2>
      <a:lt2>
        <a:srgbClr val="9FA2A4"/>
      </a:lt2>
      <a:accent1>
        <a:srgbClr val="0062A1"/>
      </a:accent1>
      <a:accent2>
        <a:srgbClr val="96BF0D"/>
      </a:accent2>
      <a:accent3>
        <a:srgbClr val="77B5C2"/>
      </a:accent3>
      <a:accent4>
        <a:srgbClr val="FBBD1A"/>
      </a:accent4>
      <a:accent5>
        <a:srgbClr val="9C9E9F"/>
      </a:accent5>
      <a:accent6>
        <a:srgbClr val="E52B38"/>
      </a:accent6>
      <a:hlink>
        <a:srgbClr val="7C93C3"/>
      </a:hlink>
      <a:folHlink>
        <a:srgbClr val="B0BEDB"/>
      </a:folHlink>
    </a:clrScheme>
    <a:fontScheme name="Bundesbank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>
          <a:solidFill>
            <a:schemeClr val="accent1">
              <a:lumMod val="75000"/>
            </a:schemeClr>
          </a:solidFill>
        </a:ln>
      </a:spPr>
      <a:bodyPr rtlCol="0" anchor="ctr"/>
      <a:lstStyle>
        <a:defPPr algn="ctr">
          <a:defRPr sz="8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9BA6A-0371-465A-9489-87552067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Bundesbank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Kimm-Friedenberg Sebastian</dc:creator>
  <cp:keywords/>
  <dc:description/>
  <cp:lastModifiedBy>Kimm-Friedenberg Sebastian</cp:lastModifiedBy>
  <cp:revision>35</cp:revision>
  <dcterms:created xsi:type="dcterms:W3CDTF">2021-09-01T12:50:00Z</dcterms:created>
  <dcterms:modified xsi:type="dcterms:W3CDTF">2021-09-01T14:45:00Z</dcterms:modified>
</cp:coreProperties>
</file>