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bCs/>
          <w:color w:val="0D0F1C"/>
          <w:sz w:val="64"/>
          <w:szCs w:val="64"/>
        </w:rPr>
        <w:t>skill</w:t>
      </w:r>
      <w:r>
        <w:rPr>
          <w:b/>
          <w:bCs/>
          <w:color w:val="3EC6C6"/>
          <w:sz w:val="64"/>
          <w:szCs w:val="64"/>
        </w:rPr>
        <w:t>IT</w:t>
      </w:r>
    </w:p>
    <w:p>
      <w:pPr>
        <w:pStyle w:val="Normal"/>
        <w:spacing w:before="0" w:after="600"/>
        <w:jc w:val="center"/>
        <w:rPr/>
      </w:pPr>
      <w:r>
        <w:rPr>
          <w:b w:val="false"/>
          <w:bCs w:val="false"/>
          <w:color w:val="2B2B2B"/>
          <w:sz w:val="22"/>
          <w:szCs w:val="22"/>
        </w:rPr>
        <w:t>AI/ML Internship</w:t>
      </w:r>
    </w:p>
    <w:p>
      <w:pPr>
        <w:pStyle w:val="Normal"/>
        <w:pBdr>
          <w:bottom w:val="single" w:sz="18" w:space="10" w:color="E8394A"/>
        </w:pBdr>
        <w:spacing w:before="0" w:after="40"/>
        <w:jc w:val="center"/>
        <w:rPr/>
      </w:pPr>
      <w:r>
        <w:rPr>
          <w:b/>
          <w:bCs/>
          <w:color w:val="0D0F1C"/>
          <w:sz w:val="52"/>
          <w:szCs w:val="52"/>
        </w:rPr>
        <w:t>Adaptive Learning Tutor</w:t>
      </w:r>
    </w:p>
    <w:p>
      <w:pPr>
        <w:pStyle w:val="Normal"/>
        <w:spacing w:before="0" w:after="900"/>
        <w:jc w:val="center"/>
        <w:rPr/>
      </w:pPr>
      <w:r>
        <w:rPr>
          <w:b/>
          <w:bCs/>
          <w:color w:val="E8394A"/>
          <w:sz w:val="28"/>
          <w:szCs w:val="28"/>
        </w:rPr>
        <w:t>Project Report</w:t>
      </w:r>
    </w:p>
    <w:p>
      <w:pPr>
        <w:pStyle w:val="Normal"/>
        <w:rPr/>
      </w:pPr>
      <w:r>
        <w:rPr/>
      </w:r>
    </w:p>
    <w:p>
      <w:pPr>
        <w:pStyle w:val="Normal"/>
        <w:rPr/>
      </w:pPr>
      <w:r>
        <w:rPr/>
      </w:r>
    </w:p>
    <w:p>
      <w:pPr>
        <w:pStyle w:val="Normal"/>
        <w:rPr/>
      </w:pPr>
      <w:r>
        <w:rPr/>
      </w:r>
    </w:p>
    <w:p>
      <w:pPr>
        <w:pStyle w:val="Normal"/>
        <w:rPr/>
      </w:pPr>
      <w:r>
        <w:rPr/>
      </w:r>
    </w:p>
    <w:p>
      <w:pPr>
        <w:pStyle w:val="Normal"/>
        <w:spacing w:before="0" w:after="100"/>
        <w:jc w:val="center"/>
        <w:rPr/>
      </w:pPr>
      <w:r>
        <w:rPr>
          <w:b/>
          <w:bCs/>
          <w:color w:val="2B2B2B"/>
          <w:sz w:val="24"/>
          <w:szCs w:val="24"/>
        </w:rPr>
        <w:t>Prepared by: Saliha Adan</w:t>
      </w:r>
    </w:p>
    <w:p>
      <w:pPr>
        <w:pStyle w:val="Normal"/>
        <w:spacing w:before="0" w:after="100"/>
        <w:jc w:val="center"/>
        <w:rPr/>
      </w:pPr>
      <w:r>
        <w:rPr>
          <w:b w:val="false"/>
          <w:bCs w:val="false"/>
          <w:color w:val="2B2B2B"/>
          <w:sz w:val="22"/>
          <w:szCs w:val="22"/>
        </w:rPr>
        <w:t>skillIT AI/ML Internship Track</w:t>
      </w:r>
    </w:p>
    <w:p>
      <w:pPr>
        <w:pStyle w:val="Normal"/>
        <w:spacing w:before="0" w:after="100"/>
        <w:jc w:val="center"/>
        <w:rPr/>
      </w:pPr>
      <w:r>
        <w:rPr>
          <w:b w:val="false"/>
          <w:bCs w:val="false"/>
          <w:color w:val="2B2B2B"/>
          <w:sz w:val="22"/>
          <w:szCs w:val="22"/>
        </w:rPr>
        <w:t xml:space="preserve">August </w:t>
      </w:r>
      <w:r>
        <w:rPr>
          <w:b w:val="false"/>
          <w:bCs w:val="false"/>
          <w:color w:val="2B2B2B"/>
          <w:sz w:val="22"/>
          <w:szCs w:val="22"/>
        </w:rPr>
        <w:t>27</w:t>
      </w:r>
      <w:r>
        <w:rPr>
          <w:b w:val="false"/>
          <w:bCs w:val="false"/>
          <w:color w:val="2B2B2B"/>
          <w:sz w:val="22"/>
          <w:szCs w:val="22"/>
        </w:rPr>
        <w:t>, 2026</w:t>
      </w:r>
    </w:p>
    <w:p>
      <w:pPr>
        <w:pStyle w:val="Normal"/>
        <w:rPr/>
      </w:pPr>
      <w:r>
        <w:rPr/>
      </w:r>
    </w:p>
    <w:p>
      <w:pPr>
        <w:pStyle w:val="Normal"/>
        <w:rPr/>
      </w:pPr>
      <w:r>
        <w:rPr/>
      </w:r>
      <w:r>
        <w:br w:type="page"/>
      </w:r>
    </w:p>
    <w:p>
      <w:pPr>
        <w:pStyle w:val="Normal"/>
        <w:rPr/>
      </w:pPr>
      <w:r>
        <w:rPr/>
      </w:r>
    </w:p>
    <w:p>
      <w:pPr>
        <w:pStyle w:val="Normal"/>
        <w:pBdr>
          <w:bottom w:val="single" w:sz="14" w:space="4" w:color="E8394A"/>
        </w:pBdr>
        <w:spacing w:before="420" w:after="200"/>
        <w:rPr/>
      </w:pPr>
      <w:r>
        <w:rPr>
          <w:b/>
          <w:bCs/>
          <w:color w:val="0D0F1C"/>
          <w:sz w:val="30"/>
          <w:szCs w:val="30"/>
        </w:rPr>
        <w:t>1. Problem Statement</w:t>
      </w:r>
    </w:p>
    <w:p>
      <w:pPr>
        <w:pStyle w:val="Normal"/>
        <w:spacing w:lineRule="exact" w:line="300" w:before="0" w:after="160"/>
        <w:rPr/>
      </w:pPr>
      <w:r>
        <w:rPr>
          <w:b w:val="false"/>
          <w:bCs w:val="false"/>
          <w:i w:val="false"/>
          <w:iCs w:val="false"/>
          <w:color w:val="2B2B2B"/>
          <w:sz w:val="22"/>
          <w:szCs w:val="22"/>
        </w:rPr>
        <w:t>Learners working through foundational math material are commonly given static, one-size-fits-all practice content that does not adapt to their actual skill level. A learner who is ready for harder problems is held back by repetitive, easy questions; a learner who is struggling is moved forward without the underlying concept ever being re-explained in a way that genuinely helps. Fixed-difficulty worksheets and generic apps also don't reflect how a learner should naturally be addressed in this context — a warm, age-appropriate, bilingual register (Urdu-English ‘Urdlish’, with a consistently formal, respectful form of address) rather than a plain translated interface.</w:t>
      </w:r>
    </w:p>
    <w:p>
      <w:pPr>
        <w:pStyle w:val="Normal"/>
        <w:spacing w:lineRule="exact" w:line="300" w:before="0" w:after="160"/>
        <w:rPr/>
      </w:pPr>
      <w:r>
        <w:rPr>
          <w:b w:val="false"/>
          <w:bCs w:val="false"/>
          <w:i w:val="false"/>
          <w:iCs w:val="false"/>
          <w:color w:val="2B2B2B"/>
          <w:sz w:val="22"/>
          <w:szCs w:val="22"/>
        </w:rPr>
        <w:t>Client ask: an adaptive math tutor that places each learner at the right starting level through a short diagnostic, generates practice content matched to that level, re-teaches a concept through more than one explanation strategy when a learner struggles rather than simply marking the answer wrong, and delivers all of this in a natural Urdu-English register with a consistent, warm tone.</w:t>
      </w:r>
    </w:p>
    <w:p>
      <w:pPr>
        <w:pStyle w:val="Normal"/>
        <w:pBdr>
          <w:bottom w:val="single" w:sz="14" w:space="4" w:color="E8394A"/>
        </w:pBdr>
        <w:spacing w:before="420" w:after="200"/>
        <w:rPr/>
      </w:pPr>
      <w:r>
        <w:rPr>
          <w:b/>
          <w:bCs/>
          <w:color w:val="0D0F1C"/>
          <w:sz w:val="30"/>
          <w:szCs w:val="30"/>
        </w:rPr>
        <w:t>2. Core Design Principle / Approach</w:t>
      </w:r>
    </w:p>
    <w:p>
      <w:pPr>
        <w:pStyle w:val="Normal"/>
        <w:spacing w:lineRule="exact" w:line="300" w:before="0" w:after="160"/>
        <w:rPr/>
      </w:pPr>
      <w:r>
        <w:rPr>
          <w:b w:val="false"/>
          <w:bCs w:val="false"/>
          <w:i w:val="false"/>
          <w:iCs w:val="false"/>
          <w:color w:val="2B2B2B"/>
          <w:sz w:val="22"/>
          <w:szCs w:val="22"/>
        </w:rPr>
        <w:t>Rather than building one large tutoring script, the system was designed as a set of small, independently testable modules — each responsible for exactly one part of the tutoring specification — wired together by a single orchestrator only once every underlying piece had already been verified on its own. This kept the build incremental and reviewable: each module was proposed, locked, built, and tested before the next one began.</w:t>
      </w:r>
    </w:p>
    <w:p>
      <w:pPr>
        <w:pStyle w:val="Normal"/>
        <w:spacing w:lineRule="exact" w:line="300" w:before="0" w:after="160"/>
        <w:rPr/>
      </w:pPr>
      <w:r>
        <w:rPr>
          <w:b w:val="false"/>
          <w:bCs w:val="false"/>
          <w:i w:val="false"/>
          <w:iCs w:val="false"/>
          <w:color w:val="2B2B2B"/>
          <w:sz w:val="22"/>
          <w:szCs w:val="22"/>
        </w:rPr>
        <w:t>Two principles were enforced throughout the build:</w:t>
      </w:r>
    </w:p>
    <w:p>
      <w:pPr>
        <w:pStyle w:val="ListParagraph"/>
        <w:numPr>
          <w:ilvl w:val="0"/>
          <w:numId w:val="3"/>
        </w:numPr>
        <w:spacing w:lineRule="exact" w:line="280" w:before="0" w:after="100"/>
        <w:rPr/>
      </w:pPr>
      <w:r>
        <w:rPr>
          <w:color w:val="2B2B2B"/>
          <w:sz w:val="22"/>
          <w:szCs w:val="22"/>
        </w:rPr>
        <w:t>Separation of concerns by design — the diagnostic engine, the re-teaching ladder, the timeout tracker, and the difficulty-progression tracker have no awareness of text-to-speech, UI, or of any other module's internal state. Each accepts plain inputs (a yes/no answer, a category, a short piece of text) and returns a plain result, which is what made each piece safe to test in isolation and cheap to combine later.</w:t>
      </w:r>
    </w:p>
    <w:p>
      <w:pPr>
        <w:pStyle w:val="ListParagraph"/>
        <w:numPr>
          <w:ilvl w:val="0"/>
          <w:numId w:val="1"/>
        </w:numPr>
        <w:spacing w:lineRule="exact" w:line="280" w:before="0" w:after="100"/>
        <w:rPr/>
      </w:pPr>
      <w:r>
        <w:rPr>
          <w:color w:val="2B2B2B"/>
          <w:sz w:val="22"/>
          <w:szCs w:val="22"/>
        </w:rPr>
        <w:t>Independent AI verification, not self-grading — anywhere the system uses a large language model to generate learner-facing content, a second, independent model call reviews that content before it is shown to the learner. That review call is deliberately never shown how or why the content was produced, so it cannot simply agree with its own earlier reasoning.</w:t>
      </w:r>
    </w:p>
    <w:p>
      <w:pPr>
        <w:pStyle w:val="Normal"/>
        <w:pBdr>
          <w:bottom w:val="single" w:sz="14" w:space="4" w:color="E8394A"/>
        </w:pBdr>
        <w:spacing w:before="420" w:after="200"/>
        <w:rPr/>
      </w:pPr>
      <w:r>
        <w:rPr>
          <w:b/>
          <w:bCs/>
          <w:color w:val="0D0F1C"/>
          <w:sz w:val="30"/>
          <w:szCs w:val="30"/>
        </w:rPr>
        <w:t>3. Architecture &amp; Pipeline</w:t>
      </w:r>
    </w:p>
    <w:p>
      <w:pPr>
        <w:pStyle w:val="Normal"/>
        <w:spacing w:lineRule="exact" w:line="300" w:before="0" w:after="160"/>
        <w:rPr/>
      </w:pPr>
      <w:r>
        <w:rPr>
          <w:b w:val="false"/>
          <w:bCs w:val="false"/>
          <w:i w:val="false"/>
          <w:iCs w:val="false"/>
          <w:color w:val="2B2B2B"/>
          <w:sz w:val="22"/>
          <w:szCs w:val="22"/>
        </w:rPr>
        <w:t>The system is organized into the following stages, each built and tested as its own module before integration.</w:t>
      </w:r>
    </w:p>
    <w:p>
      <w:pPr>
        <w:pStyle w:val="Normal"/>
        <w:spacing w:before="280" w:after="140"/>
        <w:rPr/>
      </w:pPr>
      <w:r>
        <w:rPr>
          <w:b/>
          <w:bCs/>
          <w:color w:val="0D0F1C"/>
          <w:sz w:val="24"/>
          <w:szCs w:val="24"/>
        </w:rPr>
        <w:t>3.1  Level Assessment (Diagnostic Staircase)</w:t>
      </w:r>
    </w:p>
    <w:p>
      <w:pPr>
        <w:pStyle w:val="Normal"/>
        <w:spacing w:lineRule="exact" w:line="300" w:before="0" w:after="160"/>
        <w:rPr/>
      </w:pPr>
      <w:r>
        <w:rPr>
          <w:b w:val="false"/>
          <w:bCs w:val="false"/>
          <w:i w:val="false"/>
          <w:iCs w:val="false"/>
          <w:color w:val="2B2B2B"/>
          <w:sz w:val="22"/>
          <w:szCs w:val="22"/>
        </w:rPr>
        <w:t>A short, fixed set of warm-up and placement questions — not AI-generated, by design, for reliability — walks the learner through an adaptive ‘staircase’: each answer moves a difficulty pointer up or down. The process stops early once the learner's ceiling or floor is found, or resolves after four questions using the pattern of correct answers observed. This assessment runs once per session and requires no AI model.</w:t>
      </w:r>
    </w:p>
    <w:p>
      <w:pPr>
        <w:pStyle w:val="Normal"/>
        <w:spacing w:before="280" w:after="140"/>
        <w:rPr/>
      </w:pPr>
      <w:r>
        <w:rPr>
          <w:b/>
          <w:bCs/>
          <w:color w:val="0D0F1C"/>
          <w:sz w:val="24"/>
          <w:szCs w:val="24"/>
        </w:rPr>
        <w:t>3.2  Difficulty-Adapted Content Generation</w:t>
      </w:r>
    </w:p>
    <w:p>
      <w:pPr>
        <w:pStyle w:val="Normal"/>
        <w:spacing w:lineRule="exact" w:line="300" w:before="0" w:after="160"/>
        <w:rPr/>
      </w:pPr>
      <w:r>
        <w:rPr>
          <w:b w:val="false"/>
          <w:bCs w:val="false"/>
          <w:i w:val="false"/>
          <w:iCs w:val="false"/>
          <w:color w:val="2B2B2B"/>
          <w:sz w:val="22"/>
          <w:szCs w:val="22"/>
        </w:rPr>
        <w:t>For the level the learner has been placed at, the system asks Google Gemini Flash to generate one practice item at a time — a short concept explanation, a worked example, and a question with a verified single correct answer. Before an item is shown to the learner, a second, independent model call reviews it for mathematical correctness, plausibility of any multiple-choice distractors, and fit to the intended level. Content that fails this review is regenerated (up to two additional attempts), with the specific reason for rejection fed back into the next attempt.</w:t>
      </w:r>
    </w:p>
    <w:p>
      <w:pPr>
        <w:pStyle w:val="Normal"/>
        <w:spacing w:before="280" w:after="140"/>
        <w:rPr/>
      </w:pPr>
      <w:r>
        <w:rPr>
          <w:b/>
          <w:bCs/>
          <w:color w:val="0D0F1C"/>
          <w:sz w:val="24"/>
          <w:szCs w:val="24"/>
        </w:rPr>
        <w:t>3.3  Re-Teaching Ladder</w:t>
      </w:r>
    </w:p>
    <w:p>
      <w:pPr>
        <w:pStyle w:val="Normal"/>
        <w:spacing w:lineRule="exact" w:line="300" w:before="0" w:after="160"/>
        <w:rPr/>
      </w:pPr>
      <w:r>
        <w:rPr>
          <w:b w:val="false"/>
          <w:bCs w:val="false"/>
          <w:i w:val="false"/>
          <w:iCs w:val="false"/>
          <w:color w:val="2B2B2B"/>
          <w:sz w:val="22"/>
          <w:szCs w:val="22"/>
        </w:rPr>
        <w:t>If a learner answers a practice question incorrectly, the system does not simply mark it wrong — it works through up to three distinct re-teaching strategies, one attempt each: a different worked example, a step-by-step breakdown, and a visual/concrete explanation with the difficulty dropped one level. The same generate-then-independently-verify pipeline is reused here, with an added check that each re-teaching attempt is a genuinely different explanation and not the original question reworded. If all three strategies are exhausted without success, the session shifts into a short, deliberately easy activity from a small fixed set, ending on a guaranteed win rather than a third failure.</w:t>
      </w:r>
    </w:p>
    <w:p>
      <w:pPr>
        <w:pStyle w:val="Normal"/>
        <w:spacing w:before="280" w:after="140"/>
        <w:rPr/>
      </w:pPr>
      <w:r>
        <w:rPr>
          <w:b/>
          <w:bCs/>
          <w:color w:val="0D0F1C"/>
          <w:sz w:val="24"/>
          <w:szCs w:val="24"/>
        </w:rPr>
        <w:t>3.4  Timeout Handling</w:t>
      </w:r>
    </w:p>
    <w:p>
      <w:pPr>
        <w:pStyle w:val="Normal"/>
        <w:spacing w:lineRule="exact" w:line="300" w:before="0" w:after="160"/>
        <w:rPr/>
      </w:pPr>
      <w:r>
        <w:rPr>
          <w:b w:val="false"/>
          <w:bCs w:val="false"/>
          <w:i w:val="false"/>
          <w:iCs w:val="false"/>
          <w:color w:val="2B2B2B"/>
          <w:sz w:val="22"/>
          <w:szCs w:val="22"/>
        </w:rPr>
        <w:t>If a learner does not respond, the system distinguishes three situations — an unanswered warm-up question, an unanswered placement question, and an unanswered practice question — and reacts differently to each: skipping the warm-up, treating the placement question as an ordinary wrong answer, or triggering the re-teaching ladder, respectively.</w:t>
      </w:r>
    </w:p>
    <w:p>
      <w:pPr>
        <w:pStyle w:val="Normal"/>
        <w:spacing w:before="280" w:after="140"/>
        <w:rPr/>
      </w:pPr>
      <w:r>
        <w:rPr>
          <w:b/>
          <w:bCs/>
          <w:color w:val="0D0F1C"/>
          <w:sz w:val="24"/>
          <w:szCs w:val="24"/>
        </w:rPr>
        <w:t>3.5  Difficulty Progression (Rolling Window)</w:t>
      </w:r>
    </w:p>
    <w:p>
      <w:pPr>
        <w:pStyle w:val="Normal"/>
        <w:spacing w:lineRule="exact" w:line="300" w:before="0" w:after="160"/>
        <w:rPr/>
      </w:pPr>
      <w:r>
        <w:rPr>
          <w:b w:val="false"/>
          <w:bCs w:val="false"/>
          <w:i w:val="false"/>
          <w:iCs w:val="false"/>
          <w:color w:val="2B2B2B"/>
          <w:sz w:val="22"/>
          <w:szCs w:val="22"/>
        </w:rPr>
        <w:t>Independent of any single question, the system tracks the learner's last three practice outcomes on a rolling basis: three in a row correct raises the difficulty level; two or more incorrect in that window lowers it. A re-teaching episode counts as an incorrect outcome for this tracking regardless of whether the learner eventually recovers, since re-teaching is remediation, not a retry of the original question.</w:t>
      </w:r>
    </w:p>
    <w:p>
      <w:pPr>
        <w:pStyle w:val="Normal"/>
        <w:spacing w:before="280" w:after="140"/>
        <w:rPr/>
      </w:pPr>
      <w:r>
        <w:rPr>
          <w:b/>
          <w:bCs/>
          <w:color w:val="0D0F1C"/>
          <w:sz w:val="24"/>
          <w:szCs w:val="24"/>
        </w:rPr>
        <w:t>3.6  Urdlish Register</w:t>
      </w:r>
    </w:p>
    <w:p>
      <w:pPr>
        <w:pStyle w:val="Normal"/>
        <w:spacing w:lineRule="exact" w:line="300" w:before="0" w:after="160"/>
        <w:rPr/>
      </w:pPr>
      <w:r>
        <w:rPr>
          <w:b w:val="false"/>
          <w:bCs w:val="false"/>
          <w:i w:val="false"/>
          <w:iCs w:val="false"/>
          <w:color w:val="2B2B2B"/>
          <w:sz w:val="22"/>
          <w:szCs w:val="22"/>
        </w:rPr>
        <w:t>All tutor-facing lines follow a fixed language rule: conversational scaffolding (greetings, encouragement, transitions) is in Urdu; subject terms, structural labels, and numbers stay in English. The learner is always addressed formally (‘aap’), with warmth expressed through phrasing rather than informal address.</w:t>
      </w:r>
    </w:p>
    <w:p>
      <w:pPr>
        <w:pStyle w:val="Normal"/>
        <w:spacing w:before="280" w:after="140"/>
        <w:rPr/>
      </w:pPr>
      <w:r>
        <w:rPr>
          <w:b/>
          <w:bCs/>
          <w:color w:val="0D0F1C"/>
          <w:sz w:val="24"/>
          <w:szCs w:val="24"/>
        </w:rPr>
        <w:t>3.7  Session Orchestration</w:t>
      </w:r>
    </w:p>
    <w:p>
      <w:pPr>
        <w:pStyle w:val="Normal"/>
        <w:spacing w:lineRule="exact" w:line="300" w:before="0" w:after="160"/>
        <w:rPr/>
      </w:pPr>
      <w:r>
        <w:rPr>
          <w:b w:val="false"/>
          <w:bCs w:val="false"/>
          <w:i w:val="false"/>
          <w:iCs w:val="false"/>
          <w:color w:val="2B2B2B"/>
          <w:sz w:val="22"/>
          <w:szCs w:val="22"/>
        </w:rPr>
        <w:t>A single orchestrator wires all of the above into one continuous session: opening → warm-up → placement → practice loop → re-teaching/timeout branch-ins as needed → session end. It is the only part of the system aware of every other module; each underlying module remains unaware of it.</w:t>
      </w:r>
    </w:p>
    <w:p>
      <w:pPr>
        <w:pStyle w:val="Normal"/>
        <w:spacing w:before="280" w:after="140"/>
        <w:rPr/>
      </w:pPr>
      <w:r>
        <w:rPr>
          <w:b/>
          <w:bCs/>
          <w:color w:val="0D0F1C"/>
          <w:sz w:val="24"/>
          <w:szCs w:val="24"/>
        </w:rPr>
        <w:t>3.8  Demo Application</w:t>
      </w:r>
    </w:p>
    <w:p>
      <w:pPr>
        <w:pStyle w:val="Normal"/>
        <w:spacing w:lineRule="exact" w:line="300" w:before="0" w:after="160"/>
        <w:rPr/>
      </w:pPr>
      <w:r>
        <w:rPr>
          <w:b w:val="false"/>
          <w:bCs w:val="false"/>
          <w:i w:val="false"/>
          <w:iCs w:val="false"/>
          <w:color w:val="2B2B2B"/>
          <w:sz w:val="22"/>
          <w:szCs w:val="22"/>
        </w:rPr>
        <w:t>A lightweight web application — a FastAPI backend and a plain HTML/CSS/JavaScript frontend — wraps the orchestrator for hands-on testing and demonstration, using the real Gemini API rather than a simulated one, so the content shown reflects what the system actually generates.</w:t>
      </w:r>
    </w:p>
    <w:p>
      <w:pPr>
        <w:pStyle w:val="Normal"/>
        <w:pBdr>
          <w:bottom w:val="single" w:sz="14" w:space="4" w:color="E8394A"/>
        </w:pBdr>
        <w:spacing w:before="420" w:after="200"/>
        <w:rPr/>
      </w:pPr>
      <w:r>
        <w:rPr>
          <w:b/>
          <w:bCs/>
          <w:color w:val="0D0F1C"/>
          <w:sz w:val="30"/>
          <w:szCs w:val="30"/>
        </w:rPr>
        <w:t>4. Key Technical Decisions</w:t>
      </w:r>
    </w:p>
    <w:p>
      <w:pPr>
        <w:pStyle w:val="Normal"/>
        <w:spacing w:lineRule="exact" w:line="300" w:before="0" w:after="160"/>
        <w:rPr/>
      </w:pPr>
      <w:r>
        <w:rPr>
          <w:b w:val="false"/>
          <w:bCs w:val="false"/>
          <w:i w:val="false"/>
          <w:iCs w:val="false"/>
          <w:color w:val="2B2B2B"/>
          <w:sz w:val="22"/>
          <w:szCs w:val="22"/>
        </w:rPr>
        <w:t>The table below summarizes the significant technical decisions made during the build, including one that was reconsidered after an issue surfaced during integration testing (see Section 5).</w:t>
      </w:r>
    </w:p>
    <w:tbl>
      <w:tblPr>
        <w:tblW w:w="9026" w:type="dxa"/>
        <w:jc w:val="left"/>
        <w:tblInd w:w="0" w:type="dxa"/>
        <w:tblLayout w:type="fixed"/>
        <w:tblCellMar>
          <w:top w:w="100" w:type="dxa"/>
          <w:left w:w="120" w:type="dxa"/>
          <w:bottom w:w="100" w:type="dxa"/>
          <w:right w:w="120" w:type="dxa"/>
        </w:tblCellMar>
      </w:tblPr>
      <w:tblGrid>
        <w:gridCol w:w="3249"/>
        <w:gridCol w:w="5776"/>
      </w:tblGrid>
      <w:tr>
        <w:trPr>
          <w:tblHeader w:val="true"/>
        </w:trPr>
        <w:tc>
          <w:tcPr>
            <w:tcW w:w="3249" w:type="dxa"/>
            <w:tcBorders>
              <w:top w:val="single" w:sz="4" w:space="0" w:color="000000"/>
              <w:left w:val="single" w:sz="4" w:space="0" w:color="000000"/>
              <w:bottom w:val="single" w:sz="4" w:space="0" w:color="000000"/>
              <w:right w:val="single" w:sz="4" w:space="0" w:color="000000"/>
            </w:tcBorders>
            <w:shd w:color="auto" w:fill="0D0F1C" w:val="clear"/>
          </w:tcPr>
          <w:p>
            <w:pPr>
              <w:pStyle w:val="Normal"/>
              <w:widowControl w:val="false"/>
              <w:rPr/>
            </w:pPr>
            <w:r>
              <w:rPr>
                <w:b/>
                <w:bCs/>
                <w:color w:val="FFFFFF"/>
                <w:sz w:val="20"/>
                <w:szCs w:val="20"/>
              </w:rPr>
              <w:t>Decision</w:t>
            </w:r>
          </w:p>
        </w:tc>
        <w:tc>
          <w:tcPr>
            <w:tcW w:w="5776" w:type="dxa"/>
            <w:tcBorders>
              <w:top w:val="single" w:sz="4" w:space="0" w:color="000000"/>
              <w:left w:val="single" w:sz="4" w:space="0" w:color="000000"/>
              <w:bottom w:val="single" w:sz="4" w:space="0" w:color="000000"/>
              <w:right w:val="single" w:sz="4" w:space="0" w:color="000000"/>
            </w:tcBorders>
            <w:shd w:color="auto" w:fill="0D0F1C" w:val="clear"/>
          </w:tcPr>
          <w:p>
            <w:pPr>
              <w:pStyle w:val="Normal"/>
              <w:widowControl w:val="false"/>
              <w:rPr/>
            </w:pPr>
            <w:r>
              <w:rPr>
                <w:b/>
                <w:bCs/>
                <w:color w:val="FFFFFF"/>
                <w:sz w:val="20"/>
                <w:szCs w:val="20"/>
              </w:rPr>
              <w:t>Rationale</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Fixed question banks for the diagnostic and the ‘guaranteed win’ activity, not AI-generated</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Both moments are short, run once per session, and need to be reliable rather than varied — unlike ordinary practice content, which benefits from AI-generated variety.</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Google Gemini Flash selected for all content generation and verification</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An earlier option (Groq) was ruled out per internal direction. The current ‘flash’ model alias is used rather than a fixed dated version, so the system automatically tracks Google's current fast model without a code change each time a new version ships.</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Generation and verification always run as two separate AI calls, never combined into one</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A verifier that shares the generator's reasoning can rubber-stamp its own mistakes. The verification call only ever sees the finished content, never how it was produced.</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A fast, non-AI structural check runs before the AI verification call</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Confirms an answer key is well-formed (right number of options, no duplicate/missing correct answer) at effectively no cost, reserving the AI check for judgments a plain check can't make.</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Failed generations retry automatically (up to two extra attempts), with the failure reason fed into the next attempt</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Improves the odds of producing usable content quickly, without retrying indefinitely.</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shd w:color="auto" w:fill="FBE7E9" w:val="clear"/>
          </w:tcPr>
          <w:p>
            <w:pPr>
              <w:pStyle w:val="Normal"/>
              <w:widowControl w:val="false"/>
              <w:rPr/>
            </w:pPr>
            <w:r>
              <w:rPr>
                <w:b/>
                <w:bCs/>
                <w:color w:val="E8394A"/>
                <w:sz w:val="20"/>
                <w:szCs w:val="20"/>
              </w:rPr>
              <w:t>[Reconsidered] Recovering from a failed AI generation was originally handled by having the learner resubmit their last answer.</w:t>
            </w:r>
          </w:p>
        </w:tc>
        <w:tc>
          <w:tcPr>
            <w:tcW w:w="5776" w:type="dxa"/>
            <w:tcBorders>
              <w:top w:val="single" w:sz="4" w:space="0" w:color="000000"/>
              <w:left w:val="single" w:sz="4" w:space="0" w:color="000000"/>
              <w:bottom w:val="single" w:sz="4" w:space="0" w:color="000000"/>
              <w:right w:val="single" w:sz="4" w:space="0" w:color="000000"/>
            </w:tcBorders>
            <w:shd w:color="auto" w:fill="FBE7E9" w:val="clear"/>
          </w:tcPr>
          <w:p>
            <w:pPr>
              <w:pStyle w:val="Normal"/>
              <w:widowControl w:val="false"/>
              <w:rPr/>
            </w:pPr>
            <w:r>
              <w:rPr>
                <w:color w:val="2B2B2B"/>
                <w:sz w:val="20"/>
                <w:szCs w:val="20"/>
              </w:rPr>
              <w:t>During integration testing this was found to be unsafe in two specific situations (see Section 5) and was replaced with a dedicated mechanism that retries only the exact step that failed, never the learner's answer.</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No module is aware of text-to-speech, UI, or of any other module</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Keeps each piece independently testable and confines integration work to a single orchestrator rather than spreading it across the codebase.</w:t>
            </w:r>
          </w:p>
        </w:tc>
      </w:tr>
      <w:tr>
        <w:trPr>
          <w:cantSplit w:val="true"/>
        </w:trPr>
        <w:tc>
          <w:tcPr>
            <w:tcW w:w="32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2B2B2B"/>
                <w:sz w:val="20"/>
                <w:szCs w:val="20"/>
              </w:rPr>
              <w:t>Existing skillIT brand colours and fonts reused for the demo interface rather than a new design</w:t>
            </w:r>
          </w:p>
        </w:tc>
        <w:tc>
          <w:tcPr>
            <w:tcW w:w="577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2B2B2B"/>
                <w:sz w:val="20"/>
                <w:szCs w:val="20"/>
              </w:rPr>
              <w:t>Keeps the demo visually consistent with other skillIT client-facing materials.</w:t>
            </w:r>
          </w:p>
        </w:tc>
      </w:tr>
    </w:tbl>
    <w:p>
      <w:pPr>
        <w:pStyle w:val="Normal"/>
        <w:pBdr>
          <w:bottom w:val="single" w:sz="14" w:space="4" w:color="E8394A"/>
        </w:pBdr>
        <w:spacing w:before="420" w:after="200"/>
        <w:rPr/>
      </w:pPr>
      <w:r>
        <w:rPr>
          <w:b/>
          <w:bCs/>
          <w:color w:val="0D0F1C"/>
          <w:sz w:val="30"/>
          <w:szCs w:val="30"/>
        </w:rPr>
        <w:t>5. Challenges Found and Resolved</w:t>
      </w:r>
    </w:p>
    <w:p>
      <w:pPr>
        <w:pStyle w:val="Normal"/>
        <w:spacing w:before="280" w:after="140"/>
        <w:rPr/>
      </w:pPr>
      <w:r>
        <w:rPr>
          <w:b/>
          <w:bCs/>
          <w:color w:val="0D0F1C"/>
          <w:sz w:val="24"/>
          <w:szCs w:val="24"/>
        </w:rPr>
        <w:t>Issue 1 — Stale session state after a generation failure following placement</w:t>
      </w:r>
    </w:p>
    <w:p>
      <w:pPr>
        <w:pStyle w:val="Normal"/>
        <w:spacing w:lineRule="exact" w:line="300" w:before="0" w:after="160"/>
        <w:rPr/>
      </w:pPr>
      <w:r>
        <w:rPr>
          <w:b w:val="false"/>
          <w:bCs w:val="false"/>
          <w:i w:val="false"/>
          <w:iCs w:val="false"/>
          <w:color w:val="2B2B2B"/>
          <w:sz w:val="22"/>
          <w:szCs w:val="22"/>
        </w:rPr>
        <w:t>What happened: if the very first piece of practice content failed to generate immediately after the diagnostic placement completed, the session was left in an inconsistent state — the placement step itself had already finished internally, but the session's outward-facing status had not yet moved forward. Resubmitting the learner's last answer in this state incorrectly tried to re-run the already-finished placement step and returned a confusing error rather than simply retrying content generation.</w:t>
      </w:r>
    </w:p>
    <w:p>
      <w:pPr>
        <w:pStyle w:val="Normal"/>
        <w:spacing w:lineRule="exact" w:line="300" w:before="0" w:after="160"/>
        <w:rPr/>
      </w:pPr>
      <w:r>
        <w:rPr>
          <w:b w:val="false"/>
          <w:bCs w:val="false"/>
          <w:i w:val="false"/>
          <w:iCs w:val="false"/>
          <w:color w:val="2B2B2B"/>
          <w:sz w:val="22"/>
          <w:szCs w:val="22"/>
        </w:rPr>
        <w:t>Fix: the recovery mechanism was redesigned to separate ‘recording what the learner just did’ from ‘generating the next piece of content’ as two distinct steps. A dedicated retry step now re-attempts only the generation that failed, never re-processes the learner's answer. Verified with a targeted test recreating the exact failure, and confirmed the full automated test suite still passed afterward.</w:t>
      </w:r>
    </w:p>
    <w:p>
      <w:pPr>
        <w:pStyle w:val="Normal"/>
        <w:spacing w:before="280" w:after="140"/>
        <w:rPr/>
      </w:pPr>
      <w:r>
        <w:rPr>
          <w:b/>
          <w:bCs/>
          <w:color w:val="0D0F1C"/>
          <w:sz w:val="24"/>
          <w:szCs w:val="24"/>
        </w:rPr>
        <w:t>Issue 2 — Crash after a successful re-teaching recovery followed by a failed next-question generation</w:t>
      </w:r>
    </w:p>
    <w:p>
      <w:pPr>
        <w:pStyle w:val="Normal"/>
        <w:spacing w:lineRule="exact" w:line="300" w:before="0" w:after="160"/>
        <w:rPr/>
      </w:pPr>
      <w:r>
        <w:rPr>
          <w:b w:val="false"/>
          <w:bCs w:val="false"/>
          <w:i w:val="false"/>
          <w:iCs w:val="false"/>
          <w:color w:val="2B2B2B"/>
          <w:sz w:val="22"/>
          <w:szCs w:val="22"/>
        </w:rPr>
        <w:t>What happened: when a learner successfully recovered during re-teaching and the system then failed to generate the next practice question, a follow-up retry attempt crashed outright, because the re-teaching state had already been cleared as part of marking the recovery successful, before the failed generation step ran.</w:t>
      </w:r>
    </w:p>
    <w:p>
      <w:pPr>
        <w:pStyle w:val="Normal"/>
        <w:spacing w:lineRule="exact" w:line="300" w:before="0" w:after="160"/>
        <w:rPr/>
      </w:pPr>
      <w:r>
        <w:rPr>
          <w:b w:val="false"/>
          <w:bCs w:val="false"/>
          <w:i w:val="false"/>
          <w:iCs w:val="false"/>
          <w:color w:val="2B2B2B"/>
          <w:sz w:val="22"/>
          <w:szCs w:val="22"/>
        </w:rPr>
        <w:t>Fix: covered by the same retry redesign as Issue 1 — the successful recovery and the next-question generation are now handled as separate steps, so a failure in the second no longer leaves the session referencing state that has already been cleared. Verified with a second targeted test recreating this exact sequence, and re-confirmed against the full test suite.</w:t>
      </w:r>
    </w:p>
    <w:p>
      <w:pPr>
        <w:pStyle w:val="Normal"/>
        <w:spacing w:before="280" w:after="140"/>
        <w:rPr/>
      </w:pPr>
      <w:r>
        <w:rPr>
          <w:b/>
          <w:bCs/>
          <w:color w:val="0D0F1C"/>
          <w:sz w:val="24"/>
          <w:szCs w:val="24"/>
        </w:rPr>
        <w:t>Specification Gaps Identified During the Build</w:t>
      </w:r>
    </w:p>
    <w:p>
      <w:pPr>
        <w:pStyle w:val="Normal"/>
        <w:spacing w:lineRule="exact" w:line="300" w:before="0" w:after="160"/>
        <w:rPr/>
      </w:pPr>
      <w:r>
        <w:rPr>
          <w:b w:val="false"/>
          <w:bCs w:val="false"/>
          <w:i w:val="false"/>
          <w:iCs w:val="false"/>
          <w:color w:val="2B2B2B"/>
          <w:sz w:val="22"/>
          <w:szCs w:val="22"/>
        </w:rPr>
        <w:t>Two situations were not explicitly covered by the original specification. Both were identified during the build, a decision was confirmed internally, and the system was updated and tested accordingly rather than left to guesswork:</w:t>
      </w:r>
    </w:p>
    <w:p>
      <w:pPr>
        <w:pStyle w:val="ListParagraph"/>
        <w:numPr>
          <w:ilvl w:val="0"/>
          <w:numId w:val="1"/>
        </w:numPr>
        <w:spacing w:lineRule="exact" w:line="280" w:before="0" w:after="100"/>
        <w:rPr/>
      </w:pPr>
      <w:r>
        <w:rPr>
          <w:color w:val="2B2B2B"/>
          <w:sz w:val="22"/>
          <w:szCs w:val="22"/>
        </w:rPr>
        <w:t>What happens if the third re-teaching strategy fails at a level other than the lowest possible level — resolved by applying the same ‘guaranteed win’ behaviour regardless of level, not only at the lowest level.</w:t>
      </w:r>
    </w:p>
    <w:p>
      <w:pPr>
        <w:pStyle w:val="ListParagraph"/>
        <w:numPr>
          <w:ilvl w:val="0"/>
          <w:numId w:val="1"/>
        </w:numPr>
        <w:spacing w:lineRule="exact" w:line="280" w:before="0" w:after="100"/>
        <w:rPr/>
      </w:pPr>
      <w:r>
        <w:rPr>
          <w:color w:val="2B2B2B"/>
          <w:sz w:val="22"/>
          <w:szCs w:val="22"/>
        </w:rPr>
        <w:t>What happens if a learner doesn't respond to a re-teaching question itself — resolved by treating two unanswered attempts the same as an incorrect answer for that step, consistent with how the rest of the system handles non-response.</w:t>
      </w:r>
    </w:p>
    <w:p>
      <w:pPr>
        <w:pStyle w:val="Normal"/>
        <w:pBdr>
          <w:bottom w:val="single" w:sz="14" w:space="4" w:color="E8394A"/>
        </w:pBdr>
        <w:spacing w:before="420" w:after="200"/>
        <w:rPr/>
      </w:pPr>
      <w:r>
        <w:rPr>
          <w:b/>
          <w:bCs/>
          <w:color w:val="0D0F1C"/>
          <w:sz w:val="30"/>
          <w:szCs w:val="30"/>
        </w:rPr>
        <w:t>6. Tech Stack</w:t>
      </w:r>
    </w:p>
    <w:p>
      <w:pPr>
        <w:pStyle w:val="Normal"/>
        <w:spacing w:before="280" w:after="140"/>
        <w:rPr/>
      </w:pPr>
      <w:r>
        <w:rPr>
          <w:b/>
          <w:bCs/>
          <w:color w:val="0D0F1C"/>
          <w:sz w:val="24"/>
          <w:szCs w:val="24"/>
        </w:rPr>
        <w:t>Demo / Zero-Budget Build</w:t>
      </w:r>
    </w:p>
    <w:p>
      <w:pPr>
        <w:pStyle w:val="ListParagraph"/>
        <w:numPr>
          <w:ilvl w:val="0"/>
          <w:numId w:val="1"/>
        </w:numPr>
        <w:spacing w:lineRule="exact" w:line="280" w:before="0" w:after="100"/>
        <w:rPr/>
      </w:pPr>
      <w:r>
        <w:rPr>
          <w:color w:val="2B2B2B"/>
          <w:sz w:val="22"/>
          <w:szCs w:val="22"/>
        </w:rPr>
        <w:t>Backend: FastAPI (Python)</w:t>
      </w:r>
    </w:p>
    <w:p>
      <w:pPr>
        <w:pStyle w:val="ListParagraph"/>
        <w:numPr>
          <w:ilvl w:val="0"/>
          <w:numId w:val="1"/>
        </w:numPr>
        <w:spacing w:lineRule="exact" w:line="280" w:before="0" w:after="100"/>
        <w:rPr/>
      </w:pPr>
      <w:r>
        <w:rPr>
          <w:color w:val="2B2B2B"/>
          <w:sz w:val="22"/>
          <w:szCs w:val="22"/>
        </w:rPr>
        <w:t>AI generation &amp; verification: Google Gemini Flash, via the official google-genai SDK</w:t>
      </w:r>
    </w:p>
    <w:p>
      <w:pPr>
        <w:pStyle w:val="ListParagraph"/>
        <w:numPr>
          <w:ilvl w:val="0"/>
          <w:numId w:val="1"/>
        </w:numPr>
        <w:spacing w:lineRule="exact" w:line="280" w:before="0" w:after="100"/>
        <w:rPr/>
      </w:pPr>
      <w:r>
        <w:rPr>
          <w:color w:val="2B2B2B"/>
          <w:sz w:val="22"/>
          <w:szCs w:val="22"/>
        </w:rPr>
        <w:t>Frontend: plain HTML / CSS / JavaScript — no framework</w:t>
      </w:r>
    </w:p>
    <w:p>
      <w:pPr>
        <w:pStyle w:val="ListParagraph"/>
        <w:numPr>
          <w:ilvl w:val="0"/>
          <w:numId w:val="1"/>
        </w:numPr>
        <w:spacing w:lineRule="exact" w:line="280" w:before="0" w:after="100"/>
        <w:rPr/>
      </w:pPr>
      <w:r>
        <w:rPr>
          <w:color w:val="2B2B2B"/>
          <w:sz w:val="22"/>
          <w:szCs w:val="22"/>
        </w:rPr>
        <w:t>Fonts: Google Fonts — Sora (interface text), IBM Plex Mono (presenter/debug panel), Noto Nastaliq Urdu with Noto Sans Arabic fallback (Urdu/Urdlish text)</w:t>
      </w:r>
    </w:p>
    <w:p>
      <w:pPr>
        <w:pStyle w:val="ListParagraph"/>
        <w:numPr>
          <w:ilvl w:val="0"/>
          <w:numId w:val="1"/>
        </w:numPr>
        <w:spacing w:lineRule="exact" w:line="280" w:before="0" w:after="100"/>
        <w:rPr/>
      </w:pPr>
      <w:r>
        <w:rPr>
          <w:color w:val="2B2B2B"/>
          <w:sz w:val="22"/>
          <w:szCs w:val="22"/>
        </w:rPr>
        <w:t>Testing: pytest, with a simulated AI client used for the large majority of automated tests (109 tests, run at no API cost); a separate, smaller set of tests run against the real API</w:t>
      </w:r>
    </w:p>
    <w:p>
      <w:pPr>
        <w:pStyle w:val="ListParagraph"/>
        <w:numPr>
          <w:ilvl w:val="0"/>
          <w:numId w:val="1"/>
        </w:numPr>
        <w:spacing w:lineRule="exact" w:line="280" w:before="0" w:after="100"/>
        <w:rPr/>
      </w:pPr>
      <w:r>
        <w:rPr>
          <w:color w:val="2B2B2B"/>
          <w:sz w:val="22"/>
          <w:szCs w:val="22"/>
        </w:rPr>
        <w:t>Configuration: environment-variable based API key management, never hardcoded</w:t>
      </w:r>
    </w:p>
    <w:p>
      <w:pPr>
        <w:pStyle w:val="ListParagraph"/>
        <w:numPr>
          <w:ilvl w:val="0"/>
          <w:numId w:val="1"/>
        </w:numPr>
        <w:spacing w:lineRule="exact" w:line="280" w:before="0" w:after="100"/>
        <w:rPr/>
      </w:pPr>
      <w:r>
        <w:rPr>
          <w:color w:val="2B2B2B"/>
          <w:sz w:val="22"/>
          <w:szCs w:val="22"/>
        </w:rPr>
        <w:t>Storage: none — session state is held in memory only, for the duration of a single session (see Section 8)</w:t>
      </w:r>
    </w:p>
    <w:p>
      <w:pPr>
        <w:pStyle w:val="ListParagraph"/>
        <w:numPr>
          <w:ilvl w:val="0"/>
          <w:numId w:val="1"/>
        </w:numPr>
        <w:spacing w:lineRule="exact" w:line="280" w:before="0" w:after="100"/>
        <w:rPr/>
      </w:pPr>
      <w:r>
        <w:rPr>
          <w:color w:val="2B2B2B"/>
          <w:sz w:val="22"/>
          <w:szCs w:val="22"/>
        </w:rPr>
        <w:t>Branding: skillIT palette (coral-red, teal, navy) applied to the demo interface itself</w:t>
      </w:r>
    </w:p>
    <w:p>
      <w:pPr>
        <w:pStyle w:val="Normal"/>
        <w:spacing w:before="280" w:after="140"/>
        <w:rPr/>
      </w:pPr>
      <w:r>
        <w:rPr>
          <w:b/>
          <w:bCs/>
          <w:color w:val="0D0F1C"/>
          <w:sz w:val="24"/>
          <w:szCs w:val="24"/>
        </w:rPr>
        <w:t>Production Path</w:t>
      </w:r>
    </w:p>
    <w:p>
      <w:pPr>
        <w:pStyle w:val="Normal"/>
        <w:keepLines/>
        <w:pBdr>
          <w:top w:val="single" w:sz="2" w:space="4" w:color="FBE7E9"/>
          <w:left w:val="single" w:sz="28" w:space="8" w:color="E8394A"/>
          <w:bottom w:val="single" w:sz="2" w:space="4" w:color="FBE7E9"/>
          <w:right w:val="single" w:sz="2" w:space="4" w:color="FBE7E9"/>
        </w:pBdr>
        <w:shd w:val="clear" w:color="auto" w:fill="FBE7E9"/>
        <w:spacing w:lineRule="exact" w:line="280" w:before="200" w:after="200"/>
        <w:ind w:left="60" w:hanging="0"/>
        <w:rPr/>
      </w:pPr>
      <w:r>
        <w:rPr>
          <w:b/>
          <w:bCs/>
          <w:color w:val="E8394A"/>
          <w:sz w:val="20"/>
          <w:szCs w:val="20"/>
        </w:rPr>
        <w:t xml:space="preserve">Flagged for input:  </w:t>
      </w:r>
      <w:r>
        <w:rPr>
          <w:i/>
          <w:iCs/>
          <w:color w:val="0D0F1C"/>
          <w:sz w:val="20"/>
          <w:szCs w:val="20"/>
        </w:rPr>
        <w:t>A production-path stack — a persistence layer, a deployment target, multi-user/concurrency handling, and a cost or model-tier decision for generation at scale — was not part of this build phase and has not yet been scoped. Recommend a dedicated planning pass before any client-facing or multi-user deployment.</w:t>
      </w:r>
    </w:p>
    <w:p>
      <w:pPr>
        <w:pStyle w:val="Normal"/>
        <w:pBdr>
          <w:bottom w:val="single" w:sz="14" w:space="4" w:color="E8394A"/>
        </w:pBdr>
        <w:spacing w:before="420" w:after="200"/>
        <w:rPr/>
      </w:pPr>
      <w:r>
        <w:rPr>
          <w:b/>
          <w:bCs/>
          <w:color w:val="0D0F1C"/>
          <w:sz w:val="30"/>
          <w:szCs w:val="30"/>
        </w:rPr>
        <w:t>7. Results / Outcomes</w:t>
      </w:r>
    </w:p>
    <w:p>
      <w:pPr>
        <w:pStyle w:val="Normal"/>
        <w:spacing w:lineRule="exact" w:line="300" w:before="0" w:after="160"/>
        <w:rPr/>
      </w:pPr>
      <w:r>
        <w:rPr>
          <w:b w:val="false"/>
          <w:bCs w:val="false"/>
          <w:i w:val="false"/>
          <w:iCs w:val="false"/>
          <w:color w:val="2B2B2B"/>
          <w:sz w:val="22"/>
          <w:szCs w:val="22"/>
        </w:rPr>
        <w:t>Every planned module was specified, built, and tested individually before integration. The table below summarizes automated test coverage, all of which runs at zero ongoing API cost using a simulated AI client:</w:t>
      </w:r>
    </w:p>
    <w:tbl>
      <w:tblPr>
        <w:tblW w:w="9026" w:type="dxa"/>
        <w:jc w:val="left"/>
        <w:tblInd w:w="0" w:type="dxa"/>
        <w:tblLayout w:type="fixed"/>
        <w:tblCellMar>
          <w:top w:w="100" w:type="dxa"/>
          <w:left w:w="120" w:type="dxa"/>
          <w:bottom w:w="100" w:type="dxa"/>
          <w:right w:w="120" w:type="dxa"/>
        </w:tblCellMar>
      </w:tblPr>
      <w:tblGrid>
        <w:gridCol w:w="3068"/>
        <w:gridCol w:w="1445"/>
        <w:gridCol w:w="4513"/>
      </w:tblGrid>
      <w:tr>
        <w:trPr>
          <w:tblHeader w:val="true"/>
        </w:trPr>
        <w:tc>
          <w:tcPr>
            <w:tcW w:w="3068" w:type="dxa"/>
            <w:tcBorders>
              <w:top w:val="single" w:sz="4" w:space="0" w:color="000000"/>
              <w:left w:val="single" w:sz="4" w:space="0" w:color="000000"/>
              <w:bottom w:val="single" w:sz="4" w:space="0" w:color="000000"/>
              <w:right w:val="single" w:sz="4" w:space="0" w:color="000000"/>
            </w:tcBorders>
            <w:shd w:color="auto" w:fill="0D0F1C" w:val="clear"/>
          </w:tcPr>
          <w:p>
            <w:pPr>
              <w:pStyle w:val="Normal"/>
              <w:widowControl w:val="false"/>
              <w:rPr/>
            </w:pPr>
            <w:r>
              <w:rPr>
                <w:b/>
                <w:bCs/>
                <w:color w:val="FFFFFF"/>
                <w:sz w:val="20"/>
                <w:szCs w:val="20"/>
              </w:rPr>
              <w:t>Module</w:t>
            </w:r>
          </w:p>
        </w:tc>
        <w:tc>
          <w:tcPr>
            <w:tcW w:w="1445" w:type="dxa"/>
            <w:tcBorders>
              <w:top w:val="single" w:sz="4" w:space="0" w:color="000000"/>
              <w:left w:val="single" w:sz="4" w:space="0" w:color="000000"/>
              <w:bottom w:val="single" w:sz="4" w:space="0" w:color="000000"/>
              <w:right w:val="single" w:sz="4" w:space="0" w:color="000000"/>
            </w:tcBorders>
            <w:shd w:color="auto" w:fill="0D0F1C" w:val="clear"/>
          </w:tcPr>
          <w:p>
            <w:pPr>
              <w:pStyle w:val="Normal"/>
              <w:widowControl w:val="false"/>
              <w:rPr/>
            </w:pPr>
            <w:r>
              <w:rPr>
                <w:b/>
                <w:bCs/>
                <w:color w:val="FFFFFF"/>
                <w:sz w:val="20"/>
                <w:szCs w:val="20"/>
              </w:rPr>
              <w:t>Automated Tests</w:t>
            </w:r>
          </w:p>
        </w:tc>
        <w:tc>
          <w:tcPr>
            <w:tcW w:w="4513" w:type="dxa"/>
            <w:tcBorders>
              <w:top w:val="single" w:sz="4" w:space="0" w:color="000000"/>
              <w:left w:val="single" w:sz="4" w:space="0" w:color="000000"/>
              <w:bottom w:val="single" w:sz="4" w:space="0" w:color="000000"/>
              <w:right w:val="single" w:sz="4" w:space="0" w:color="000000"/>
            </w:tcBorders>
            <w:shd w:color="auto" w:fill="0D0F1C" w:val="clear"/>
          </w:tcPr>
          <w:p>
            <w:pPr>
              <w:pStyle w:val="Normal"/>
              <w:widowControl w:val="false"/>
              <w:rPr/>
            </w:pPr>
            <w:r>
              <w:rPr>
                <w:b/>
                <w:bCs/>
                <w:color w:val="FFFFFF"/>
                <w:sz w:val="20"/>
                <w:szCs w:val="20"/>
              </w:rPr>
              <w:t>Notes</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Level assessment (diagnostic)</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12</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Pure logic, no AI model involved</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Content generation</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20</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Includes generation, verification, and retry logic</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Re-teaching ladder</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19</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Includes the 3-tier strategy and the guaranteed-win fallback</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Timeout handling</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13</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Pure logic, no AI model involved</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Urdlish register / phrasing</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17</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Structural checks (e.g. correct form of address), not wording quality</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Difficulty progression tracking</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16</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Pure logic, no AI model involved</w:t>
            </w:r>
          </w:p>
        </w:tc>
      </w:tr>
      <w:tr>
        <w:trPr>
          <w:cantSplit w:val="true"/>
        </w:trPr>
        <w:tc>
          <w:tcPr>
            <w:tcW w:w="3068"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b/>
                <w:bCs/>
                <w:color w:val="2B2B2B"/>
                <w:sz w:val="20"/>
                <w:szCs w:val="20"/>
              </w:rPr>
              <w:t>Full-session orchestration</w:t>
            </w:r>
          </w:p>
        </w:tc>
        <w:tc>
          <w:tcPr>
            <w:tcW w:w="1445"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jc w:val="center"/>
              <w:rPr/>
            </w:pPr>
            <w:r>
              <w:rPr>
                <w:color w:val="2B2B2B"/>
                <w:sz w:val="20"/>
                <w:szCs w:val="20"/>
              </w:rPr>
              <w:t>12</w:t>
            </w:r>
          </w:p>
        </w:tc>
        <w:tc>
          <w:tcPr>
            <w:tcW w:w="4513" w:type="dxa"/>
            <w:tcBorders>
              <w:top w:val="single" w:sz="4" w:space="0" w:color="000000"/>
              <w:left w:val="single" w:sz="4" w:space="0" w:color="000000"/>
              <w:bottom w:val="single" w:sz="4" w:space="0" w:color="000000"/>
              <w:right w:val="single" w:sz="4" w:space="0" w:color="000000"/>
            </w:tcBorders>
            <w:tcMar>
              <w:top w:w="90" w:type="dxa"/>
              <w:bottom w:w="90" w:type="dxa"/>
            </w:tcMar>
          </w:tcPr>
          <w:p>
            <w:pPr>
              <w:pStyle w:val="Normal"/>
              <w:widowControl w:val="false"/>
              <w:rPr/>
            </w:pPr>
            <w:r>
              <w:rPr>
                <w:color w:val="2B2B2B"/>
                <w:sz w:val="20"/>
                <w:szCs w:val="20"/>
              </w:rPr>
              <w:t>End-to-end scenarios spanning every module above</w:t>
            </w:r>
          </w:p>
        </w:tc>
      </w:tr>
    </w:tbl>
    <w:p>
      <w:pPr>
        <w:pStyle w:val="Normal"/>
        <w:spacing w:before="0" w:after="100"/>
        <w:rPr/>
      </w:pPr>
      <w:r>
        <w:rPr/>
      </w:r>
    </w:p>
    <w:p>
      <w:pPr>
        <w:pStyle w:val="Normal"/>
        <w:spacing w:lineRule="exact" w:line="300" w:before="0" w:after="160"/>
        <w:rPr/>
      </w:pPr>
      <w:r>
        <w:rPr>
          <w:b w:val="false"/>
          <w:bCs w:val="false"/>
          <w:i w:val="false"/>
          <w:iCs w:val="false"/>
          <w:color w:val="2B2B2B"/>
          <w:sz w:val="22"/>
          <w:szCs w:val="22"/>
        </w:rPr>
        <w:t>A separate, smaller set of tests was also run directly against the real Gemini API early in the build to confirm the live model's behaviour matches what the automated tests assume. These passed cleanly with one transient error returned by Google's servers (not a defect in the system).</w:t>
      </w:r>
    </w:p>
    <w:p>
      <w:pPr>
        <w:pStyle w:val="Normal"/>
        <w:spacing w:lineRule="exact" w:line="300" w:before="0" w:after="160"/>
        <w:rPr/>
      </w:pPr>
      <w:r>
        <w:rPr>
          <w:b w:val="false"/>
          <w:bCs w:val="false"/>
          <w:i w:val="false"/>
          <w:iCs w:val="false"/>
          <w:color w:val="2B2B2B"/>
          <w:sz w:val="22"/>
          <w:szCs w:val="22"/>
        </w:rPr>
        <w:t>A working local demo application was built end-to-end using the real Gemini API (not a simulated one), covering the full learner-facing flow as well as a separate presenter/debug view for walking through a session live. Two integration issues were found and fixed prior to hand-off (Section 5), each individually re-verified and re-confirmed against the full test suite.</w:t>
      </w:r>
    </w:p>
    <w:p>
      <w:pPr>
        <w:pStyle w:val="Normal"/>
        <w:pBdr>
          <w:bottom w:val="single" w:sz="14" w:space="4" w:color="E8394A"/>
        </w:pBdr>
        <w:spacing w:before="420" w:after="200"/>
        <w:rPr/>
      </w:pPr>
      <w:r>
        <w:rPr>
          <w:b/>
          <w:bCs/>
          <w:color w:val="0D0F1C"/>
          <w:sz w:val="30"/>
          <w:szCs w:val="30"/>
        </w:rPr>
        <w:t>8. Known Risks / Open Points</w:t>
      </w:r>
    </w:p>
    <w:p>
      <w:pPr>
        <w:pStyle w:val="ListParagraph"/>
        <w:numPr>
          <w:ilvl w:val="0"/>
          <w:numId w:val="1"/>
        </w:numPr>
        <w:spacing w:lineRule="exact" w:line="280" w:before="0" w:after="100"/>
        <w:rPr/>
      </w:pPr>
      <w:r>
        <w:rPr>
          <w:color w:val="2B2B2B"/>
          <w:sz w:val="22"/>
          <w:szCs w:val="22"/>
        </w:rPr>
        <w:t>No persistence — session data is not saved anywhere and does not survive a server restart. This is a deliberate scope decision for this phase, not an oversight, but is flagged ahead of any real multi-session or multi-user use.</w:t>
      </w:r>
    </w:p>
    <w:p>
      <w:pPr>
        <w:pStyle w:val="ListParagraph"/>
        <w:numPr>
          <w:ilvl w:val="0"/>
          <w:numId w:val="1"/>
        </w:numPr>
        <w:spacing w:lineRule="exact" w:line="280" w:before="0" w:after="100"/>
        <w:rPr/>
      </w:pPr>
      <w:r>
        <w:rPr>
          <w:color w:val="2B2B2B"/>
          <w:sz w:val="22"/>
          <w:szCs w:val="22"/>
        </w:rPr>
        <w:t>Deferred live-API validation for the re-teaching module — see Section 7. Recommend confirming before the client demo.</w:t>
      </w:r>
    </w:p>
    <w:p>
      <w:pPr>
        <w:pStyle w:val="ListParagraph"/>
        <w:numPr>
          <w:ilvl w:val="0"/>
          <w:numId w:val="1"/>
        </w:numPr>
        <w:spacing w:lineRule="exact" w:line="280" w:before="0" w:after="100"/>
        <w:rPr/>
      </w:pPr>
      <w:r>
        <w:rPr>
          <w:color w:val="2B2B2B"/>
          <w:sz w:val="22"/>
          <w:szCs w:val="22"/>
        </w:rPr>
        <w:t>Production-path stack (persistence, deployment, concurrency, cost model) not yet scoped — see Section 6.</w:t>
      </w:r>
    </w:p>
    <w:p>
      <w:pPr>
        <w:pStyle w:val="ListParagraph"/>
        <w:numPr>
          <w:ilvl w:val="0"/>
          <w:numId w:val="1"/>
        </w:numPr>
        <w:spacing w:lineRule="exact" w:line="280" w:before="0" w:after="100"/>
        <w:rPr/>
      </w:pPr>
      <w:r>
        <w:rPr>
          <w:color w:val="2B2B2B"/>
          <w:sz w:val="22"/>
          <w:szCs w:val="22"/>
        </w:rPr>
        <w:t>One minor cosmetic item: the session's closing/farewell line is currently a fixed piece of text rather than part of the same managed phrase library as the rest of the tutor's spoken lines. Low priority, logged for future cleanup.</w:t>
      </w:r>
    </w:p>
    <w:p>
      <w:pPr>
        <w:pStyle w:val="ListParagraph"/>
        <w:numPr>
          <w:ilvl w:val="0"/>
          <w:numId w:val="1"/>
        </w:numPr>
        <w:spacing w:lineRule="exact" w:line="280" w:before="0" w:after="100"/>
        <w:rPr/>
      </w:pPr>
      <w:r>
        <w:rPr>
          <w:color w:val="2B2B2B"/>
          <w:sz w:val="22"/>
          <w:szCs w:val="22"/>
        </w:rPr>
        <w:t>The original locked specification's exact client-brief wording should be inserted into Section 1 before this report is shared externally.</w:t>
      </w:r>
    </w:p>
    <w:p>
      <w:pPr>
        <w:pStyle w:val="ListParagraph"/>
        <w:numPr>
          <w:ilvl w:val="0"/>
          <w:numId w:val="1"/>
        </w:numPr>
        <w:spacing w:lineRule="exact" w:line="280" w:before="0" w:after="100"/>
        <w:rPr/>
      </w:pPr>
      <w:r>
        <w:rPr>
          <w:color w:val="2B2B2B"/>
          <w:sz w:val="22"/>
          <w:szCs w:val="22"/>
        </w:rPr>
        <w:t>Confirm the official project number/track designation for the cover page, if one exists beyond ‘skillIT AI/ML Internship.’</w:t>
      </w:r>
    </w:p>
    <w:p>
      <w:pPr>
        <w:pStyle w:val="Normal"/>
        <w:pBdr>
          <w:bottom w:val="single" w:sz="14" w:space="4" w:color="E8394A"/>
        </w:pBdr>
        <w:spacing w:before="420" w:after="200"/>
        <w:rPr/>
      </w:pPr>
      <w:r>
        <w:rPr>
          <w:b/>
          <w:bCs/>
          <w:color w:val="0D0F1C"/>
          <w:sz w:val="30"/>
          <w:szCs w:val="30"/>
        </w:rPr>
        <w:t>9. Repo Structure</w:t>
      </w:r>
    </w:p>
    <w:p>
      <w:pPr>
        <w:pStyle w:val="Normal"/>
        <w:spacing w:lineRule="exact" w:line="300" w:before="0" w:after="160"/>
        <w:rPr/>
      </w:pPr>
      <w:r>
        <w:rPr>
          <w:b w:val="false"/>
          <w:bCs w:val="false"/>
          <w:i w:val="false"/>
          <w:iCs w:val="false"/>
          <w:color w:val="2B2B2B"/>
          <w:sz w:val="22"/>
          <w:szCs w:val="22"/>
        </w:rPr>
        <w:t>The build follows the structure below. Every file listed was implemented and tested during this phase.</w:t>
      </w:r>
    </w:p>
    <w:p>
      <w:pPr>
        <w:pStyle w:val="Normal"/>
        <w:spacing w:before="0" w:after="40"/>
        <w:rPr/>
      </w:pPr>
      <w:r>
        <w:rPr/>
      </w:r>
    </w:p>
    <w:tbl>
      <w:tblPr>
        <w:tblW w:w="9026" w:type="dxa"/>
        <w:jc w:val="left"/>
        <w:tblInd w:w="0" w:type="dxa"/>
        <w:tblLayout w:type="fixed"/>
        <w:tblCellMar>
          <w:top w:w="200" w:type="dxa"/>
          <w:left w:w="200" w:type="dxa"/>
          <w:bottom w:w="200" w:type="dxa"/>
          <w:right w:w="200" w:type="dxa"/>
        </w:tblCellMar>
      </w:tblPr>
      <w:tblGrid>
        <w:gridCol w:w="9026"/>
      </w:tblGrid>
      <w:tr>
        <w:trPr>
          <w:cantSplit w:val="true"/>
        </w:trPr>
        <w:tc>
          <w:tcPr>
            <w:tcW w:w="9026" w:type="dxa"/>
            <w:tcBorders>
              <w:top w:val="single" w:sz="4" w:space="0" w:color="000000"/>
              <w:left w:val="single" w:sz="4" w:space="0" w:color="000000"/>
              <w:bottom w:val="single" w:sz="4" w:space="0" w:color="000000"/>
              <w:right w:val="single" w:sz="4" w:space="0" w:color="000000"/>
            </w:tcBorders>
            <w:shd w:color="auto" w:fill="F4F4F4" w:val="clear"/>
          </w:tcPr>
          <w:p>
            <w:pPr>
              <w:pStyle w:val="Normal"/>
              <w:widowControl w:val="false"/>
              <w:spacing w:lineRule="exact" w:line="260" w:before="0" w:after="0"/>
              <w:rPr/>
            </w:pPr>
            <w:r>
              <w:rPr>
                <w:rFonts w:eastAsia="Consolas" w:cs="Consolas" w:ascii="Consolas" w:hAnsi="Consolas"/>
                <w:color w:val="0D0F1C"/>
                <w:sz w:val="18"/>
                <w:szCs w:val="18"/>
              </w:rPr>
              <w:t>adaptive-tutor/</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src/</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assessment.py        # Level-assessment / diagnostic staircase</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llm_client.py        # Gemini Flash client wrapper</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content_gen.py       # Content generation + independent verification</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reteach.py           # 3-tier re-teaching ladder</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timeout.py           # Timeout detection &amp; routing</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phrasebook.py        # Urdlish scaffolding lines</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progression.py       # Rolling difficulty window</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session.py           # Orchestrator</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question_bank/</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diagnostic.json      # Fixed diagnostic question bank</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engagement.json      # Fixed ‘guaranteed win’ task bank</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tests/                   # 109 automated tests (see Section 7)</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webapp/</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backend/             # FastAPI wrapper (main.py, serializers.py)</w:t>
            </w:r>
          </w:p>
          <w:p>
            <w:pPr>
              <w:pStyle w:val="Normal"/>
              <w:widowControl w:val="false"/>
              <w:spacing w:lineRule="exact" w:line="260" w:before="0" w:after="0"/>
              <w:rPr/>
            </w:pPr>
            <w:r>
              <w:rPr>
                <w:rFonts w:eastAsia="Consolas" w:cs="Consolas" w:ascii="Consolas" w:hAnsi="Consolas"/>
                <w:color w:val="0D0F1C"/>
                <w:sz w:val="18"/>
                <w:szCs w:val="18"/>
              </w:rPr>
              <w:t xml:space="preserve">│   └── </w:t>
            </w:r>
            <w:r>
              <w:rPr>
                <w:rFonts w:eastAsia="Consolas" w:cs="Consolas" w:ascii="Consolas" w:hAnsi="Consolas"/>
                <w:color w:val="0D0F1C"/>
                <w:sz w:val="18"/>
                <w:szCs w:val="18"/>
              </w:rPr>
              <w:t>frontend/            # index.html, style.css, app.js</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data/                    # gitignored — no persistence by design</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requirements.txt</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.env.example</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.gitignore</w:t>
            </w:r>
          </w:p>
          <w:p>
            <w:pPr>
              <w:pStyle w:val="Normal"/>
              <w:widowControl w:val="false"/>
              <w:spacing w:lineRule="exact" w:line="260" w:before="0" w:after="0"/>
              <w:rPr/>
            </w:pPr>
            <w:r>
              <w:rPr>
                <w:rFonts w:eastAsia="Consolas" w:cs="Consolas" w:ascii="Consolas" w:hAnsi="Consolas"/>
                <w:color w:val="0D0F1C"/>
                <w:sz w:val="18"/>
                <w:szCs w:val="18"/>
              </w:rPr>
              <w:t xml:space="preserve">└── </w:t>
            </w:r>
            <w:r>
              <w:rPr>
                <w:rFonts w:eastAsia="Consolas" w:cs="Consolas" w:ascii="Consolas" w:hAnsi="Consolas"/>
                <w:color w:val="0D0F1C"/>
                <w:sz w:val="18"/>
                <w:szCs w:val="18"/>
              </w:rPr>
              <w:t>README.md</w:t>
            </w:r>
          </w:p>
        </w:tc>
      </w:tr>
    </w:tbl>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skillIT — Adaptive Learning Tutor  |  Page </w:t>
    </w:r>
    <w:r>
      <w:rPr/>
      <w:fldChar w:fldCharType="begin"/>
    </w:r>
    <w:r>
      <w:rPr/>
      <w:instrText xml:space="preserve"> PAGE </w:instrText>
    </w:r>
    <w:r>
      <w:rPr/>
      <w:fldChar w:fldCharType="separate"/>
    </w:r>
    <w:r>
      <w:rPr/>
      <w:t>8</w:t>
    </w:r>
    <w:r>
      <w:rPr/>
      <w:fldChar w:fldCharType="end"/>
    </w:r>
    <w:r>
      <w:rPr>
        <w:color w:val="888888"/>
        <w:sz w:val="16"/>
        <w:szCs w:val="16"/>
      </w:rPr>
      <w:t xml:space="preserve"> of </w:t>
    </w:r>
    <w:r>
      <w:rPr/>
      <w:fldChar w:fldCharType="begin"/>
    </w:r>
    <w:r>
      <w:rPr/>
      <w:instrText xml:space="preserve"> NUMPAGES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2B2B"/>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B2B2B"/>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2B2B2B"/>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B2B2B"/>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8</Pages>
  <Words>2364</Words>
  <Characters>13231</Characters>
  <CharactersWithSpaces>15639</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2026-08-30T06:21:51Z</dcterms:created>
  <dc:creator>Un-named</dc:creator>
  <dc:description/>
  <dc:language>en-US</dc:language>
  <cp:lastModifiedBy/>
  <dcterms:modified xsi:type="dcterms:W3CDTF">2026-08-30T11:34:09Z</dcterms:modified>
  <cp:revision>2</cp:revision>
  <dc:subject/>
  <dc:title/>
</cp:coreProperties>
</file>