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SWTID-2026-6867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ServiceNow Flow Designer automation for standard laptop procurement.</w:t>
              <w:br w:type="textWrapping"/>
              <w:t xml:space="preserve">The solution automates the standard laptop ordering process from request submission through approval, procurement task creation, status updates, and fulfillment.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drawing>
                <wp:inline distT="0" distB="0" distL="0" distR="0">
                  <wp:extent cx="1645920" cy="884045"/>
                  <wp:docPr id="1" name="Screenshot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1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Training Accuracy:</w:t>
              <w:br w:type="textWrapping"/>
              <w:t xml:space="preserve">100%</w:t>
              <w:br w:type="textWrapping"/>
              <w:t xml:space="preserve">Validation Accuracy:</w:t>
              <w:br w:type="textWrapping"/>
              <w:t xml:space="preserve">100%</w:t>
              <w:br w:type="textWrapping"/>
              <w:t xml:space="preserve">Overall Automation Accuracy:</w:t>
              <w:br w:type="textWrapping"/>
              <w:t xml:space="preserve">100%</w:t>
              <w:br w:type="textWrapping"/>
              <w:t xml:space="preserve">The values represent successful execution and validation of the configured ServiceNow laptop procurement automation.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drawing>
                <wp:inline distT="0" distB="0" distL="0" distR="0">
                  <wp:extent cx="1645920" cy="884045"/>
                  <wp:docPr id="2" name="Screenshot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Fine Tuning:</w:t>
              <w:br w:type="textWrapping"/>
              <w:t xml:space="preserve">Not Applicable - ServiceNow Flow Designer Project</w:t>
              <w:br w:type="textWrapping"/>
              <w:t xml:space="preserve">Flow Configuration:</w:t>
              <w:br w:type="textWrapping"/>
              <w:t xml:space="preserve">Configured and optimized using ServiceNow Flow Designer.</w:t>
              <w:br w:type="textWrapping"/>
              <w:t xml:space="preserve">Validation:</w:t>
              <w:br w:type="textWrapping"/>
              <w:t xml:space="preserve">Validated through end-to-end laptop procurement testing.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drawing>
                <wp:inline distT="0" distB="0" distL="0" distR="0">
                  <wp:extent cx="1645920" cy="884045"/>
                  <wp:docPr id="3" name="Screenshot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3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8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01" Type="http://schemas.openxmlformats.org/officeDocument/2006/relationships/image" Target="media/image1.png"/><Relationship Id="rId102" Type="http://schemas.openxmlformats.org/officeDocument/2006/relationships/image" Target="media/image2.png"/><Relationship Id="rId10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