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Automation Execution: 100%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Request Processing: 100%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Approval Processing: 100%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Procurement Task Creation: 100%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Status Update: 100%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End-to-End Flow Completion: 100%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Overall Automation Accuracy: 100%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drawing>
                <wp:inline distT="0" distB="0" distL="0" distR="0">
                  <wp:extent cx="1691640" cy="908601"/>
                  <wp:docPr id="101" name="Metric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Metrics Screensho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08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Not Applicable - ServiceNow Flow Designer Project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b w:val="1"/>
                <w:rtl w:val="0"/>
              </w:rPr>
              <w:t xml:space="preserve">Flow Configuration: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Configured using ServiceNow Flow Designer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b w:val="1"/>
                <w:rtl w:val="0"/>
              </w:rPr>
              <w:t xml:space="preserve">Validation Method: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End-to-end functional testing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b w:val="1"/>
                <w:rtl w:val="0"/>
              </w:rPr>
              <w:t xml:space="preserve">Automation Validation: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Successful execution of the configured laptop procurement flow</w:t>
            </w:r>
          </w:p>
        </w:tc>
        <w:tc>
          <w:tcPr/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drawing>
                <wp:inline distT="0" distB="0" distL="0" distR="0">
                  <wp:extent cx="1691640" cy="908601"/>
                  <wp:docPr id="102" name="Flow Design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Flow Designer Screenshot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08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