
<file path=[Content_Types].xml><?xml version="1.0" encoding="utf-8"?>
<Types xmlns="http://schemas.openxmlformats.org/package/2006/content-types">
  <Default Extension="png" ContentType="image/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ServiceNow laptop procurement request records and standard laptop order information are rendered successfully.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Laptop procurement request data is validated and prepared before being processed through the ServiceNow Flow Designer automation.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Filters are used to view laptop procurement requests based on request status, approval status, fulfillment status, department, and requested date.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- ServiceNow Flow Designer Project.</w:t>
            </w:r>
          </w:p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The project does not use DAX queries because DAX is specific to Power BI data modelling and analytics.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T="0" distB="0" distL="0" distR="0">
                  <wp:extent cx="2103120" cy="1128952"/>
                  <wp:docPr id="101" name="Laptop Procurement Dashboard" descr="Laptop Procurement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aptop Procurement Dashboard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12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- 3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T="0" distB="0" distL="0" distR="0">
                  <wp:extent cx="2103120" cy="1128952"/>
                  <wp:docPr id="102" name="Laptop Procurement Story" descr="Laptop Procurement Sto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Laptop Procurement Story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12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- 3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