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SWTID-2026-6867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 Flow Designer automation setup for standard laptop procurement using Catalog Items, Requests, Approvals, Procurement Tasks and Status Updates.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Note 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When a standard laptop request is submitted, the configured Flow Designer automation processes the request through the required approval and procurement steps.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850000" cy="993659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000" cy="9936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Automation Execution Accuracy - 100%</w:t>
              <w:br w:type="textWrapping"/>
              <w:br w:type="textWrapping"/>
              <w:t xml:space="preserve">Request Processing Accuracy - 100%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850000" cy="993659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000" cy="9936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Applicable - ServiceNow Flow Designer Project</w:t>
              <w:br w:type="textWrapping"/>
              <w:br w:type="textWrapping"/>
              <w:t xml:space="preserve">Class Detected - Not Applicable</w:t>
              <w:br w:type="textWrapping"/>
              <w:br w:type="textWrapping"/>
              <w:t xml:space="preserve">Confidence Score - Not Applicable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850000" cy="993659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000" cy="9936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