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아키텍처 설계서</w:t>
      </w:r>
    </w:p>
    <w:p>
      <w:r>
        <w:t>웹 애플리케이션은 Django로 구성한다.</w:t>
      </w:r>
    </w:p>
    <w:p>
      <w:r>
        <w:t>AI Agent는 FastAPI로 구성한다.</w:t>
      </w:r>
    </w:p>
    <w:p>
      <w:r>
        <w:t>문서 파일과 산출물은 S3 호환 스토리지에 저장한다.</w:t>
      </w:r>
    </w:p>
    <w:p>
      <w:r>
        <w:t>Qdrant 벡터 저장소는 내부 검증 계층에 배치한다.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