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인공지능 학습 결과서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color w:val="ff0000"/>
          <w:rtl w:val="0"/>
        </w:rPr>
        <w:t xml:space="preserve">깃허브 주소 기재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상황 예시 및 답변 비교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맥락 판단 능력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답변의 변동파악 능력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추가질문 생성능력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평가 및 점수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맥락 판단 능력 (0/100)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인공지능 답변 : </w:t>
                </w: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673100"/>
                      <wp:effectExtent b="0" l="0" r="0" t="0"/>
                      <wp:docPr id="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673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실제 내용 : 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답변의 변동파악 능력 (90/100)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평가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774700"/>
                      <wp:effectExtent b="0" l="0" r="0" t="0"/>
                      <wp:docPr id="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774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863600"/>
                      <wp:effectExtent b="0" l="0" r="0" t="0"/>
                      <wp:docPr id="2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86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답변의 양식이 조금 씩 변동되긴 하지만 크게 바뀌는 부분은 없이 답변함</w:t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OsrFyMCOJ8/4/Wg+JD6e+UPMg==">CgMxLjAaHwoBMBIaChgICVIUChJ0YWJsZS41dnU1NmQzeXk5YW04AHIhMVJKdEZ6alpmY3NhVEF1ZWszWHJmcTlDUXFFVnZIdFI3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