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인공지능 학습 결과서</w:t>
      </w:r>
    </w:p>
    <w:p>
      <w:r>
        <w:t>프로젝트명: 통신사 고객 이탈 예측 모델 개발</w:t>
      </w:r>
    </w:p>
    <w:p>
      <w:pPr>
        <w:pStyle w:val="Heading1"/>
      </w:pPr>
      <w:r>
        <w:t>1. 모델 개발 개요</w:t>
      </w:r>
    </w:p>
    <w:p>
      <w:r>
        <w:t xml:space="preserve">• 목적: </w:t>
      </w:r>
      <w:r>
        <w:rPr/>
        <w:t>통신사 이탈 고위험성 고객 사전 식별, 높은 고객 유지율, 시장 경쟁력 극대화를 위한 고객 이탈 예측 모델 개발 및 시각화</w:t>
      </w:r>
    </w:p>
    <w:p>
      <w:r>
        <w:t>• 사용 데이터: 전처리된 고객 정보 데이터 (</w:t>
      </w:r>
      <w:r>
        <w:rPr/>
        <w:t>7</w:t>
      </w:r>
      <w:r>
        <w:rPr>
          <w:lang w:eastAsia="ko-KR"/>
          <w:rtl w:val="off"/>
        </w:rPr>
        <w:t>,</w:t>
      </w:r>
      <w:r>
        <w:rPr/>
        <w:t>032</w:t>
      </w:r>
      <w:r>
        <w:t>건)</w:t>
      </w:r>
    </w:p>
    <w:p>
      <w:r>
        <w:t>• 라벨 정보: churn (이탈 여부, 1: 이탈, 0: 유지)</w:t>
      </w:r>
    </w:p>
    <w:p>
      <w:pPr>
        <w:pStyle w:val="Heading1"/>
      </w:pPr>
      <w:r>
        <w:t>2. 모델링 절차</w:t>
      </w:r>
    </w:p>
    <w:p>
      <w:r>
        <w:t>1) 데이터 분할 (Train/Test: 80%/20%)</w:t>
      </w:r>
    </w:p>
    <w:p>
      <w:r>
        <w:t>2) 모델 후보 선정: Logistic Regression, Random Forest, LightGBM, GradientBoosting, Stacking, MoonyoungStacking</w:t>
      </w:r>
    </w:p>
    <w:p>
      <w:r>
        <w:t>3) 교차 검증 및 하이퍼파라미터 튜닝</w:t>
      </w:r>
    </w:p>
    <w:p>
      <w:r>
        <w:t>4) 성능 비교 및 최종 모델 선정</w:t>
      </w:r>
    </w:p>
    <w:p>
      <w:pPr>
        <w:pStyle w:val="Heading1"/>
      </w:pPr>
      <w:r>
        <w:t>3. 모델 성능 평가</w:t>
      </w:r>
    </w:p>
    <w:p>
      <w:r>
        <w:t>• 평가 지표: Accuracy, Precision, Recall, F1 Score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33"/>
        <w:gridCol w:w="1375"/>
        <w:gridCol w:w="1323"/>
        <w:gridCol w:w="1480"/>
        <w:gridCol w:w="1728"/>
      </w:tblGrid>
      <w:tr>
        <w:tc>
          <w:tcPr>
            <w:tcW w:w="2733" w:type="dxa"/>
          </w:tcPr>
          <w:p>
            <w:pPr>
              <w:jc w:val="center"/>
            </w:pPr>
            <w:r>
              <w:t>모델</w:t>
            </w:r>
          </w:p>
        </w:tc>
        <w:tc>
          <w:tcPr>
            <w:tcW w:w="1375" w:type="dxa"/>
          </w:tcPr>
          <w:p>
            <w:r>
              <w:t>Accuracy</w:t>
            </w:r>
          </w:p>
        </w:tc>
        <w:tc>
          <w:tcPr>
            <w:tcW w:w="1323" w:type="dxa"/>
          </w:tcPr>
          <w:p>
            <w:r>
              <w:t>Precision</w:t>
            </w:r>
          </w:p>
        </w:tc>
        <w:tc>
          <w:tcPr>
            <w:tcW w:w="1480" w:type="dxa"/>
          </w:tcPr>
          <w:p>
            <w:r>
              <w:t>Recall</w:t>
            </w:r>
          </w:p>
        </w:tc>
        <w:tc>
          <w:tcPr>
            <w:tcW w:w="1728" w:type="dxa"/>
          </w:tcPr>
          <w:p>
            <w:r>
              <w:t>F1 Score</w:t>
            </w:r>
          </w:p>
        </w:tc>
      </w:tr>
      <w:tr>
        <w:tc>
          <w:tcPr>
            <w:tcW w:w="2733" w:type="dxa"/>
          </w:tcPr>
          <w:p>
            <w:r>
              <w:t>RandomForest</w:t>
            </w:r>
          </w:p>
        </w:tc>
        <w:tc>
          <w:tcPr>
            <w:tcW w:w="1375" w:type="dxa"/>
          </w:tcPr>
          <w:p>
            <w:r>
              <w:t>0.804</w:t>
            </w:r>
          </w:p>
        </w:tc>
        <w:tc>
          <w:tcPr>
            <w:tcW w:w="1323" w:type="dxa"/>
          </w:tcPr>
          <w:p>
            <w:r>
              <w:t>0.656</w:t>
            </w:r>
          </w:p>
        </w:tc>
        <w:tc>
          <w:tcPr>
            <w:tcW w:w="1480" w:type="dxa"/>
          </w:tcPr>
          <w:p>
            <w:r>
              <w:t>0.527</w:t>
            </w:r>
          </w:p>
        </w:tc>
        <w:tc>
          <w:tcPr>
            <w:tcW w:w="1728" w:type="dxa"/>
          </w:tcPr>
          <w:p>
            <w:r>
              <w:t>0.588</w:t>
            </w:r>
          </w:p>
        </w:tc>
      </w:tr>
      <w:tr>
        <w:tc>
          <w:tcPr>
            <w:tcW w:w="2733" w:type="dxa"/>
          </w:tcPr>
          <w:p>
            <w:r>
              <w:t>LightGBM</w:t>
            </w:r>
          </w:p>
        </w:tc>
        <w:tc>
          <w:tcPr>
            <w:tcW w:w="1375" w:type="dxa"/>
          </w:tcPr>
          <w:p>
            <w:r>
              <w:t>0.785</w:t>
            </w:r>
          </w:p>
        </w:tc>
        <w:tc>
          <w:tcPr>
            <w:tcW w:w="1323" w:type="dxa"/>
          </w:tcPr>
          <w:p>
            <w:r>
              <w:t>0.612</w:t>
            </w:r>
          </w:p>
        </w:tc>
        <w:tc>
          <w:tcPr>
            <w:tcW w:w="1480" w:type="dxa"/>
          </w:tcPr>
          <w:p>
            <w:r>
              <w:t>0.519</w:t>
            </w:r>
          </w:p>
        </w:tc>
        <w:tc>
          <w:tcPr>
            <w:tcW w:w="1728" w:type="dxa"/>
          </w:tcPr>
          <w:p>
            <w:r>
              <w:t>0.552</w:t>
            </w:r>
          </w:p>
        </w:tc>
      </w:tr>
      <w:tr>
        <w:tc>
          <w:tcPr>
            <w:tcW w:w="2733" w:type="dxa"/>
          </w:tcPr>
          <w:p>
            <w:r>
              <w:t>LogisticRegression</w:t>
            </w:r>
          </w:p>
        </w:tc>
        <w:tc>
          <w:tcPr>
            <w:tcW w:w="1375" w:type="dxa"/>
          </w:tcPr>
          <w:p>
            <w:r>
              <w:t>0.806</w:t>
            </w:r>
          </w:p>
        </w:tc>
        <w:tc>
          <w:tcPr>
            <w:tcW w:w="1323" w:type="dxa"/>
          </w:tcPr>
          <w:p>
            <w:r>
              <w:t>0.657</w:t>
            </w:r>
          </w:p>
        </w:tc>
        <w:tc>
          <w:tcPr>
            <w:tcW w:w="1480" w:type="dxa"/>
          </w:tcPr>
          <w:p>
            <w:r>
              <w:t>0.559</w:t>
            </w:r>
          </w:p>
        </w:tc>
        <w:tc>
          <w:tcPr>
            <w:tcW w:w="1728" w:type="dxa"/>
          </w:tcPr>
          <w:p>
            <w:r>
              <w:t>0.604</w:t>
            </w:r>
          </w:p>
        </w:tc>
      </w:tr>
      <w:tr>
        <w:tc>
          <w:tcPr>
            <w:tcW w:w="2733" w:type="dxa"/>
          </w:tcPr>
          <w:p>
            <w:r>
              <w:t>Stacking</w:t>
            </w:r>
          </w:p>
        </w:tc>
        <w:tc>
          <w:tcPr>
            <w:tcW w:w="1375" w:type="dxa"/>
          </w:tcPr>
          <w:p>
            <w:r>
              <w:t>0.805</w:t>
            </w:r>
          </w:p>
        </w:tc>
        <w:tc>
          <w:tcPr>
            <w:tcW w:w="1323" w:type="dxa"/>
          </w:tcPr>
          <w:p>
            <w:r>
              <w:t>0.667</w:t>
            </w:r>
          </w:p>
        </w:tc>
        <w:tc>
          <w:tcPr>
            <w:tcW w:w="1480" w:type="dxa"/>
          </w:tcPr>
          <w:p>
            <w:r>
              <w:t>0.529</w:t>
            </w:r>
          </w:p>
        </w:tc>
        <w:tc>
          <w:tcPr>
            <w:tcW w:w="1728" w:type="dxa"/>
          </w:tcPr>
          <w:p>
            <w:r>
              <w:t>0.590</w:t>
            </w:r>
          </w:p>
        </w:tc>
      </w:tr>
      <w:tr>
        <w:tc>
          <w:tcPr>
            <w:tcW w:w="2733" w:type="dxa"/>
          </w:tcPr>
          <w:p>
            <w:r>
              <w:t>GradientBoosting</w:t>
            </w:r>
          </w:p>
        </w:tc>
        <w:tc>
          <w:tcPr>
            <w:tcW w:w="1375" w:type="dxa"/>
          </w:tcPr>
          <w:p>
            <w:r>
              <w:t>0.803</w:t>
            </w:r>
          </w:p>
        </w:tc>
        <w:tc>
          <w:tcPr>
            <w:tcW w:w="1323" w:type="dxa"/>
          </w:tcPr>
          <w:p>
            <w:r>
              <w:t>0.666</w:t>
            </w:r>
          </w:p>
        </w:tc>
        <w:tc>
          <w:tcPr>
            <w:tcW w:w="1480" w:type="dxa"/>
          </w:tcPr>
          <w:p>
            <w:r>
              <w:t>0.516</w:t>
            </w:r>
          </w:p>
        </w:tc>
        <w:tc>
          <w:tcPr>
            <w:tcW w:w="1728" w:type="dxa"/>
          </w:tcPr>
          <w:p>
            <w:r>
              <w:t>0.581</w:t>
            </w:r>
          </w:p>
        </w:tc>
      </w:tr>
      <w:tr>
        <w:tc>
          <w:tcPr>
            <w:tcW w:w="2733" w:type="dxa"/>
          </w:tcPr>
          <w:p>
            <w:r>
              <w:t>MoonyoungStacking</w:t>
            </w:r>
          </w:p>
        </w:tc>
        <w:tc>
          <w:tcPr>
            <w:tcW w:w="1375" w:type="dxa"/>
          </w:tcPr>
          <w:p>
            <w:r>
              <w:t>0.914</w:t>
            </w:r>
          </w:p>
        </w:tc>
        <w:tc>
          <w:tcPr>
            <w:tcW w:w="1323" w:type="dxa"/>
          </w:tcPr>
          <w:p>
            <w:r>
              <w:t>0.819</w:t>
            </w:r>
          </w:p>
        </w:tc>
        <w:tc>
          <w:tcPr>
            <w:tcW w:w="1480" w:type="dxa"/>
          </w:tcPr>
          <w:p>
            <w:r>
              <w:t>0.869</w:t>
            </w:r>
          </w:p>
        </w:tc>
        <w:tc>
          <w:tcPr>
            <w:tcW w:w="1728" w:type="dxa"/>
          </w:tcPr>
          <w:p>
            <w:r>
              <w:t>0.843</w:t>
            </w:r>
          </w:p>
        </w:tc>
      </w:tr>
    </w:tbl>
    <w:p>
      <w:pPr>
        <w:pStyle w:val="Heading1"/>
        <w:rPr>
          <w:lang w:eastAsia="ko-KR"/>
          <w:rFonts w:hint="eastAsia"/>
          <w:rtl w:val="off"/>
        </w:rPr>
      </w:pPr>
    </w:p>
    <w:p>
      <w:pPr>
        <w:pStyle w:val="Heading1"/>
      </w:pPr>
      <w:r>
        <w:t>4. 최종 모델 및 특징</w:t>
      </w:r>
    </w:p>
    <w:p>
      <w:r>
        <w:t>• 선정 모델: MoonyoungStacking</w:t>
      </w:r>
    </w:p>
    <w:p>
      <w:pPr>
        <w:rPr>
          <w:lang w:eastAsia="ko-KR"/>
          <w:rFonts w:hint="eastAsia"/>
          <w:rtl w:val="off"/>
        </w:rPr>
      </w:pPr>
      <w:r>
        <w:t>• 특징: 모든 평가 지표에서 가장 우수한 성능을 보여줌</w:t>
      </w:r>
    </w:p>
    <w:p>
      <w:r>
        <w:t xml:space="preserve"> (Accuracy: 0.914, Recall: 0.869, F1: 0.843)</w:t>
      </w:r>
    </w:p>
    <w:p>
      <w:pPr>
        <w:pStyle w:val="Heading1"/>
      </w:pPr>
      <w:r>
        <w:t>5. 결론 및 활용 방안</w:t>
      </w:r>
    </w:p>
    <w:p>
      <w:pPr/>
      <w:r>
        <w:t>• 결론: MoonyoungStacking 모델은 고객 이탈 예측에서 뛰어난 성능을 보여</w:t>
      </w:r>
      <w:r>
        <w:rPr>
          <w:lang w:eastAsia="ko-KR"/>
          <w:rtl w:val="off"/>
        </w:rPr>
        <w:t>줌.</w:t>
      </w:r>
    </w:p>
    <w:p>
      <w:pPr>
        <w:rPr/>
      </w:pPr>
      <w:r>
        <w:t xml:space="preserve">• </w:t>
      </w:r>
      <w:r>
        <w:rPr/>
        <w:t>활용방안</w:t>
      </w:r>
    </w:p>
    <w:p>
      <w:pPr>
        <w:rPr/>
      </w:pPr>
      <w:r>
        <w:rPr/>
        <w:t>1. 고객 등급별 리스크 모니터링 시스템 구축</w:t>
      </w:r>
    </w:p>
    <w:p>
      <w:pPr>
        <w:rPr/>
      </w:pPr>
      <w:r>
        <w:rPr/>
        <w:t>2. CRM 시스템과 연계한 자동 알림 및 대응 트리거 설정</w:t>
      </w:r>
    </w:p>
    <w:p>
      <w:pPr>
        <w:rPr/>
      </w:pPr>
      <w:r>
        <w:rPr/>
        <w:t>3. 부서별 전략 수립 자료로 활용</w:t>
      </w:r>
    </w:p>
    <w:p>
      <w:pPr>
        <w:rPr/>
      </w:pPr>
      <w:r>
        <w:rPr/>
        <w:t>4. 프로모션 우선순위 결정 기준으로 활용</w:t>
      </w:r>
    </w:p>
    <w:p>
      <w:r>
        <w:rPr>
          <w:lang w:eastAsia="ko-KR"/>
          <w:rtl w:val="off"/>
        </w:rPr>
        <w:t>-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charset w:val="00"/>
    <w:notTrueType w:val="false"/>
  </w:font>
  <w:font w:name="Symbol">
    <w:panose1 w:val="05050102010706020507"/>
    <w:family w:val="Symbol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7F7F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</w:rPr>
      <w:tblPr/>
      <w:tcPr>
        <w:shd w:val="clear" w:color="auto" w:fill="989898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bokji</cp:lastModifiedBy>
  <cp:revision>1</cp:revision>
  <dcterms:created xsi:type="dcterms:W3CDTF">2013-12-23T23:15:00Z</dcterms:created>
  <dcterms:modified xsi:type="dcterms:W3CDTF">2025-04-18T06:14:29Z</dcterms:modified>
  <cp:version>1200.0100.01</cp:version>
</cp:coreProperties>
</file>