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거래처 분석 보고서</w:t>
      </w:r>
    </w:p>
    <w:p>
      <w:pPr>
        <w:jc w:val="center"/>
      </w:pPr>
      <w:r>
        <w:t>거래처명: 미라클신경과의원</w:t>
      </w:r>
    </w:p>
    <w:p>
      <w:pPr>
        <w:jc w:val="center"/>
      </w:pPr>
      <w:r>
        <w:t>생성일: 2025년 08월 16일</w:t>
      </w:r>
    </w:p>
    <w:p>
      <w:r>
        <w:br w:type="page"/>
      </w:r>
    </w:p>
    <w:p>
      <w:pPr>
        <w:pStyle w:val="Heading1"/>
      </w:pPr>
      <w:r>
        <w:rPr>
          <w:rFonts w:ascii="맑은 고딕" w:hAnsi="맑은 고딕" w:eastAsia="맑은 고딕" w:cs="맑은 고딕"/>
          <w:b/>
          <w:i w:val="0"/>
          <w:sz w:val="32"/>
        </w:rPr>
        <w:t>목차</w:t>
      </w:r>
    </w:p>
    <w:p>
      <w:r>
        <w:rPr>
          <w:rFonts w:ascii="맑은 고딕" w:hAnsi="맑은 고딕" w:eastAsia="맑은 고딕" w:cs="맑은 고딕"/>
          <w:b w:val="0"/>
          <w:i w:val="0"/>
          <w:sz w:val="22"/>
        </w:rPr>
        <w:t>1. 등급 분석 결과</w:t>
      </w:r>
    </w:p>
    <w:p>
      <w:r>
        <w:rPr>
          <w:rFonts w:ascii="맑은 고딕" w:hAnsi="맑은 고딕" w:eastAsia="맑은 고딕" w:cs="맑은 고딕"/>
          <w:b w:val="0"/>
          <w:i w:val="0"/>
          <w:sz w:val="22"/>
        </w:rPr>
        <w:t>2. 동일 등급 비교 분석</w:t>
      </w:r>
    </w:p>
    <w:p>
      <w:r>
        <w:rPr>
          <w:rFonts w:ascii="맑은 고딕" w:hAnsi="맑은 고딕" w:eastAsia="맑은 고딕" w:cs="맑은 고딕"/>
          <w:b w:val="0"/>
          <w:i w:val="0"/>
          <w:sz w:val="22"/>
        </w:rPr>
        <w:t>3. 성장성 분석</w:t>
      </w:r>
    </w:p>
    <w:p>
      <w:r>
        <w:rPr>
          <w:rFonts w:ascii="맑은 고딕" w:hAnsi="맑은 고딕" w:eastAsia="맑은 고딕" w:cs="맑은 고딕"/>
          <w:b w:val="0"/>
          <w:i w:val="0"/>
          <w:sz w:val="22"/>
        </w:rPr>
        <w:t>4. 영업 전략 제안</w:t>
      </w:r>
    </w:p>
    <w:p>
      <w:r>
        <w:rPr>
          <w:rFonts w:ascii="맑은 고딕" w:hAnsi="맑은 고딕" w:eastAsia="맑은 고딕" w:cs="맑은 고딕"/>
          <w:b w:val="0"/>
          <w:i w:val="0"/>
          <w:sz w:val="22"/>
        </w:rPr>
        <w:t>5. 종합 분석</w:t>
      </w:r>
    </w:p>
    <w:p>
      <w:r>
        <w:br w:type="page"/>
      </w:r>
    </w:p>
    <w:p>
      <w:pPr>
        <w:pStyle w:val="Heading1"/>
      </w:pPr>
      <w:r>
        <w:rPr>
          <w:rFonts w:ascii="맑은 고딕" w:hAnsi="맑은 고딕" w:eastAsia="맑은 고딕" w:cs="맑은 고딕"/>
          <w:b/>
          <w:i w:val="0"/>
          <w:sz w:val="32"/>
        </w:rPr>
        <w:t>1. 등급 분석 결과</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맑은 고딕" w:hAnsi="맑은 고딕" w:eastAsia="맑은 고딕" w:cs="맑은 고딕"/>
                <w:b/>
                <w:i w:val="0"/>
                <w:sz w:val="22"/>
              </w:rPr>
              <w:t>구분</w:t>
            </w:r>
          </w:p>
        </w:tc>
        <w:tc>
          <w:tcPr>
            <w:tcW w:type="dxa" w:w="2880"/>
          </w:tcPr>
          <w:p>
            <w:r/>
            <w:r>
              <w:rPr>
                <w:rFonts w:ascii="맑은 고딕" w:hAnsi="맑은 고딕" w:eastAsia="맑은 고딕" w:cs="맑은 고딕"/>
                <w:b/>
                <w:i w:val="0"/>
                <w:sz w:val="22"/>
              </w:rPr>
              <w:t>등급</w:t>
            </w:r>
          </w:p>
        </w:tc>
        <w:tc>
          <w:tcPr>
            <w:tcW w:type="dxa" w:w="2880"/>
          </w:tcPr>
          <w:p>
            <w:r/>
            <w:r>
              <w:rPr>
                <w:rFonts w:ascii="맑은 고딕" w:hAnsi="맑은 고딕" w:eastAsia="맑은 고딕" w:cs="맑은 고딕"/>
                <w:b/>
                <w:i w:val="0"/>
                <w:sz w:val="22"/>
              </w:rPr>
              <w:t>점수</w:t>
            </w:r>
          </w:p>
        </w:tc>
      </w:tr>
      <w:tr>
        <w:tc>
          <w:tcPr>
            <w:tcW w:type="dxa" w:w="2880"/>
          </w:tcPr>
          <w:p>
            <w:r/>
            <w:r>
              <w:rPr>
                <w:rFonts w:ascii="맑은 고딕" w:hAnsi="맑은 고딕" w:eastAsia="맑은 고딕" w:cs="맑은 고딕"/>
                <w:b w:val="0"/>
                <w:i w:val="0"/>
                <w:sz w:val="22"/>
              </w:rPr>
              <w:t>구분</w:t>
            </w:r>
          </w:p>
        </w:tc>
        <w:tc>
          <w:tcPr>
            <w:tcW w:type="dxa" w:w="2880"/>
          </w:tcPr>
          <w:p>
            <w:r/>
            <w:r>
              <w:rPr>
                <w:rFonts w:ascii="맑은 고딕" w:hAnsi="맑은 고딕" w:eastAsia="맑은 고딕" w:cs="맑은 고딕"/>
                <w:b w:val="0"/>
                <w:i w:val="0"/>
                <w:sz w:val="22"/>
              </w:rPr>
              <w:t>등급</w:t>
            </w:r>
          </w:p>
        </w:tc>
        <w:tc>
          <w:tcPr>
            <w:tcW w:type="dxa" w:w="2880"/>
          </w:tcPr>
          <w:p>
            <w:r/>
            <w:r>
              <w:rPr>
                <w:rFonts w:ascii="맑은 고딕" w:hAnsi="맑은 고딕" w:eastAsia="맑은 고딕" w:cs="맑은 고딕"/>
                <w:b w:val="0"/>
                <w:i w:val="0"/>
                <w:sz w:val="22"/>
              </w:rPr>
              <w:t>점수</w:t>
            </w:r>
          </w:p>
        </w:tc>
      </w:tr>
      <w:tr>
        <w:tc>
          <w:tcPr>
            <w:tcW w:type="dxa" w:w="2880"/>
          </w:tcPr>
          <w:p>
            <w:r/>
            <w:r>
              <w:rPr>
                <w:rFonts w:ascii="맑은 고딕" w:hAnsi="맑은 고딕" w:eastAsia="맑은 고딕" w:cs="맑은 고딕"/>
                <w:b w:val="0"/>
                <w:i w:val="0"/>
                <w:sz w:val="22"/>
              </w:rPr>
              <w:t>매출 등급</w:t>
            </w:r>
          </w:p>
        </w:tc>
        <w:tc>
          <w:tcPr>
            <w:tcW w:type="dxa" w:w="2880"/>
          </w:tcPr>
          <w:p>
            <w:r/>
            <w:r>
              <w:rPr>
                <w:rFonts w:ascii="맑은 고딕" w:hAnsi="맑은 고딕" w:eastAsia="맑은 고딕" w:cs="맑은 고딕"/>
                <w:b w:val="0"/>
                <w:i w:val="0"/>
                <w:sz w:val="22"/>
              </w:rPr>
              <w:t>A</w:t>
            </w:r>
          </w:p>
        </w:tc>
        <w:tc>
          <w:tcPr>
            <w:tcW w:type="dxa" w:w="2880"/>
          </w:tcPr>
          <w:p>
            <w:r/>
            <w:r>
              <w:rPr>
                <w:rFonts w:ascii="맑은 고딕" w:hAnsi="맑은 고딕" w:eastAsia="맑은 고딕" w:cs="맑은 고딕"/>
                <w:b w:val="0"/>
                <w:i w:val="0"/>
                <w:sz w:val="22"/>
              </w:rPr>
              <w:t>5</w:t>
            </w:r>
          </w:p>
        </w:tc>
      </w:tr>
      <w:tr>
        <w:tc>
          <w:tcPr>
            <w:tcW w:type="dxa" w:w="2880"/>
          </w:tcPr>
          <w:p>
            <w:r/>
            <w:r>
              <w:rPr>
                <w:rFonts w:ascii="맑은 고딕" w:hAnsi="맑은 고딕" w:eastAsia="맑은 고딕" w:cs="맑은 고딕"/>
                <w:b w:val="0"/>
                <w:i w:val="0"/>
                <w:sz w:val="22"/>
              </w:rPr>
              <w:t>수익률 등급</w:t>
            </w:r>
          </w:p>
        </w:tc>
        <w:tc>
          <w:tcPr>
            <w:tcW w:type="dxa" w:w="2880"/>
          </w:tcPr>
          <w:p>
            <w:r/>
            <w:r>
              <w:rPr>
                <w:rFonts w:ascii="맑은 고딕" w:hAnsi="맑은 고딕" w:eastAsia="맑은 고딕" w:cs="맑은 고딕"/>
                <w:b w:val="0"/>
                <w:i w:val="0"/>
                <w:sz w:val="22"/>
              </w:rPr>
              <w:t>B</w:t>
            </w:r>
          </w:p>
        </w:tc>
        <w:tc>
          <w:tcPr>
            <w:tcW w:type="dxa" w:w="2880"/>
          </w:tcPr>
          <w:p>
            <w:r/>
            <w:r>
              <w:rPr>
                <w:rFonts w:ascii="맑은 고딕" w:hAnsi="맑은 고딕" w:eastAsia="맑은 고딕" w:cs="맑은 고딕"/>
                <w:b w:val="0"/>
                <w:i w:val="0"/>
                <w:sz w:val="22"/>
              </w:rPr>
              <w:t>4</w:t>
            </w:r>
          </w:p>
        </w:tc>
      </w:tr>
      <w:tr>
        <w:tc>
          <w:tcPr>
            <w:tcW w:type="dxa" w:w="2880"/>
          </w:tcPr>
          <w:p>
            <w:r/>
            <w:r>
              <w:rPr>
                <w:rFonts w:ascii="맑은 고딕" w:hAnsi="맑은 고딕" w:eastAsia="맑은 고딕" w:cs="맑은 고딕"/>
                <w:b w:val="0"/>
                <w:i w:val="0"/>
                <w:sz w:val="22"/>
              </w:rPr>
              <w:t>환자수 등급</w:t>
            </w:r>
          </w:p>
        </w:tc>
        <w:tc>
          <w:tcPr>
            <w:tcW w:type="dxa" w:w="2880"/>
          </w:tcPr>
          <w:p>
            <w:r/>
            <w:r>
              <w:rPr>
                <w:rFonts w:ascii="맑은 고딕" w:hAnsi="맑은 고딕" w:eastAsia="맑은 고딕" w:cs="맑은 고딕"/>
                <w:b w:val="0"/>
                <w:i w:val="0"/>
                <w:sz w:val="22"/>
              </w:rPr>
              <w:t>D</w:t>
            </w:r>
          </w:p>
        </w:tc>
        <w:tc>
          <w:tcPr>
            <w:tcW w:type="dxa" w:w="2880"/>
          </w:tcPr>
          <w:p>
            <w:r/>
            <w:r>
              <w:rPr>
                <w:rFonts w:ascii="맑은 고딕" w:hAnsi="맑은 고딕" w:eastAsia="맑은 고딕" w:cs="맑은 고딕"/>
                <w:b w:val="0"/>
                <w:i w:val="0"/>
                <w:sz w:val="22"/>
              </w:rPr>
              <w:t>2</w:t>
            </w:r>
          </w:p>
        </w:tc>
      </w:tr>
      <w:tr>
        <w:tc>
          <w:tcPr>
            <w:tcW w:type="dxa" w:w="2880"/>
          </w:tcPr>
          <w:p>
            <w:r/>
            <w:r>
              <w:rPr>
                <w:rFonts w:ascii="맑은 고딕" w:hAnsi="맑은 고딕" w:eastAsia="맑은 고딕" w:cs="맑은 고딕"/>
                <w:b w:val="0"/>
                <w:i w:val="0"/>
                <w:sz w:val="22"/>
              </w:rPr>
              <w:t>관계도 등급</w:t>
            </w:r>
          </w:p>
        </w:tc>
        <w:tc>
          <w:tcPr>
            <w:tcW w:type="dxa" w:w="2880"/>
          </w:tcPr>
          <w:p>
            <w:r/>
            <w:r>
              <w:rPr>
                <w:rFonts w:ascii="맑은 고딕" w:hAnsi="맑은 고딕" w:eastAsia="맑은 고딕" w:cs="맑은 고딕"/>
                <w:b w:val="0"/>
                <w:i w:val="0"/>
                <w:sz w:val="22"/>
              </w:rPr>
              <w:t>A</w:t>
            </w:r>
          </w:p>
        </w:tc>
        <w:tc>
          <w:tcPr>
            <w:tcW w:type="dxa" w:w="2880"/>
          </w:tcPr>
          <w:p>
            <w:r/>
            <w:r>
              <w:rPr>
                <w:rFonts w:ascii="맑은 고딕" w:hAnsi="맑은 고딕" w:eastAsia="맑은 고딕" w:cs="맑은 고딕"/>
                <w:b w:val="0"/>
                <w:i w:val="0"/>
                <w:sz w:val="22"/>
              </w:rPr>
              <w:t>5</w:t>
            </w:r>
          </w:p>
        </w:tc>
      </w:tr>
      <w:tr>
        <w:tc>
          <w:tcPr>
            <w:tcW w:type="dxa" w:w="2880"/>
          </w:tcPr>
          <w:p>
            <w:r/>
            <w:r>
              <w:rPr>
                <w:rFonts w:ascii="맑은 고딕" w:hAnsi="맑은 고딕" w:eastAsia="맑은 고딕" w:cs="맑은 고딕"/>
                <w:b w:val="0"/>
                <w:i w:val="0"/>
                <w:sz w:val="22"/>
              </w:rPr>
              <w:t>최종 등급</w:t>
            </w:r>
          </w:p>
        </w:tc>
        <w:tc>
          <w:tcPr>
            <w:tcW w:type="dxa" w:w="2880"/>
          </w:tcPr>
          <w:p>
            <w:r/>
            <w:r>
              <w:rPr>
                <w:rFonts w:ascii="맑은 고딕" w:hAnsi="맑은 고딕" w:eastAsia="맑은 고딕" w:cs="맑은 고딕"/>
                <w:b w:val="0"/>
                <w:i w:val="0"/>
                <w:sz w:val="22"/>
              </w:rPr>
              <w:t>B</w:t>
            </w:r>
          </w:p>
        </w:tc>
        <w:tc>
          <w:tcPr>
            <w:tcW w:type="dxa" w:w="2880"/>
          </w:tcPr>
          <w:p>
            <w:r/>
            <w:r>
              <w:rPr>
                <w:rFonts w:ascii="맑은 고딕" w:hAnsi="맑은 고딕" w:eastAsia="맑은 고딕" w:cs="맑은 고딕"/>
                <w:b w:val="0"/>
                <w:i w:val="0"/>
                <w:sz w:val="22"/>
              </w:rPr>
            </w:r>
          </w:p>
        </w:tc>
      </w:tr>
    </w:tbl>
    <w:p>
      <w:pPr>
        <w:pStyle w:val="Heading2"/>
      </w:pPr>
      <w:r>
        <w:rPr>
          <w:rFonts w:ascii="맑은 고딕" w:hAnsi="맑은 고딕" w:eastAsia="맑은 고딕" w:cs="맑은 고딕"/>
          <w:b/>
          <w:i w:val="0"/>
          <w:sz w:val="28"/>
        </w:rPr>
        <w:t>주요 지표</w:t>
      </w:r>
    </w:p>
    <w:tbl>
      <w:tblPr>
        <w:tblStyle w:val="TableGrid"/>
        <w:tblW w:type="auto" w:w="0"/>
        <w:tblLook w:firstColumn="1" w:firstRow="1" w:lastColumn="0" w:lastRow="0" w:noHBand="0" w:noVBand="1" w:val="04A0"/>
      </w:tblPr>
      <w:tblGrid>
        <w:gridCol w:w="4320"/>
        <w:gridCol w:w="4320"/>
      </w:tblGrid>
      <w:tr>
        <w:tc>
          <w:tcPr>
            <w:tcW w:type="dxa" w:w="4320"/>
          </w:tcPr>
          <w:p>
            <w:r/>
            <w:r>
              <w:rPr>
                <w:rFonts w:ascii="맑은 고딕" w:hAnsi="맑은 고딕" w:eastAsia="맑은 고딕" w:cs="맑은 고딕"/>
                <w:b/>
                <w:i w:val="0"/>
                <w:sz w:val="22"/>
              </w:rPr>
              <w:t>지표</w:t>
            </w:r>
          </w:p>
        </w:tc>
        <w:tc>
          <w:tcPr>
            <w:tcW w:type="dxa" w:w="4320"/>
          </w:tcPr>
          <w:p>
            <w:r/>
            <w:r>
              <w:rPr>
                <w:rFonts w:ascii="맑은 고딕" w:hAnsi="맑은 고딕" w:eastAsia="맑은 고딕" w:cs="맑은 고딕"/>
                <w:b/>
                <w:i w:val="0"/>
                <w:sz w:val="22"/>
              </w:rPr>
              <w:t>값</w:t>
            </w:r>
          </w:p>
        </w:tc>
      </w:tr>
      <w:tr>
        <w:tc>
          <w:tcPr>
            <w:tcW w:type="dxa" w:w="4320"/>
          </w:tcPr>
          <w:p>
            <w:r/>
            <w:r>
              <w:rPr>
                <w:rFonts w:ascii="맑은 고딕" w:hAnsi="맑은 고딕" w:eastAsia="맑은 고딕" w:cs="맑은 고딕"/>
                <w:b w:val="0"/>
                <w:i w:val="0"/>
                <w:sz w:val="22"/>
              </w:rPr>
              <w:t>지표</w:t>
            </w:r>
          </w:p>
        </w:tc>
        <w:tc>
          <w:tcPr>
            <w:tcW w:type="dxa" w:w="4320"/>
          </w:tcPr>
          <w:p>
            <w:r/>
            <w:r>
              <w:rPr>
                <w:rFonts w:ascii="맑은 고딕" w:hAnsi="맑은 고딕" w:eastAsia="맑은 고딕" w:cs="맑은 고딕"/>
                <w:b w:val="0"/>
                <w:i w:val="0"/>
                <w:sz w:val="22"/>
              </w:rPr>
              <w:t>값</w:t>
            </w:r>
          </w:p>
        </w:tc>
      </w:tr>
      <w:tr>
        <w:tc>
          <w:tcPr>
            <w:tcW w:type="dxa" w:w="4320"/>
          </w:tcPr>
          <w:p>
            <w:r/>
            <w:r>
              <w:rPr>
                <w:rFonts w:ascii="맑은 고딕" w:hAnsi="맑은 고딕" w:eastAsia="맑은 고딕" w:cs="맑은 고딕"/>
                <w:b w:val="0"/>
                <w:i w:val="0"/>
                <w:sz w:val="22"/>
              </w:rPr>
              <w:t>평균 매출</w:t>
            </w:r>
          </w:p>
        </w:tc>
        <w:tc>
          <w:tcPr>
            <w:tcW w:type="dxa" w:w="4320"/>
          </w:tcPr>
          <w:p>
            <w:r/>
            <w:r>
              <w:rPr>
                <w:rFonts w:ascii="맑은 고딕" w:hAnsi="맑은 고딕" w:eastAsia="맑은 고딕" w:cs="맑은 고딕"/>
                <w:b w:val="0"/>
                <w:i w:val="0"/>
                <w:sz w:val="22"/>
              </w:rPr>
              <w:t>12,852,101원</w:t>
            </w:r>
          </w:p>
        </w:tc>
      </w:tr>
      <w:tr>
        <w:tc>
          <w:tcPr>
            <w:tcW w:type="dxa" w:w="4320"/>
          </w:tcPr>
          <w:p>
            <w:r/>
            <w:r>
              <w:rPr>
                <w:rFonts w:ascii="맑은 고딕" w:hAnsi="맑은 고딕" w:eastAsia="맑은 고딕" w:cs="맑은 고딕"/>
                <w:b w:val="0"/>
                <w:i w:val="0"/>
                <w:sz w:val="22"/>
              </w:rPr>
              <w:t>총 매출</w:t>
            </w:r>
          </w:p>
        </w:tc>
        <w:tc>
          <w:tcPr>
            <w:tcW w:type="dxa" w:w="4320"/>
          </w:tcPr>
          <w:p>
            <w:r/>
            <w:r>
              <w:rPr>
                <w:rFonts w:ascii="맑은 고딕" w:hAnsi="맑은 고딕" w:eastAsia="맑은 고딕" w:cs="맑은 고딕"/>
                <w:b w:val="0"/>
                <w:i w:val="0"/>
                <w:sz w:val="22"/>
              </w:rPr>
              <w:t>38,556,304원</w:t>
            </w:r>
          </w:p>
        </w:tc>
      </w:tr>
      <w:tr>
        <w:tc>
          <w:tcPr>
            <w:tcW w:type="dxa" w:w="4320"/>
          </w:tcPr>
          <w:p>
            <w:r/>
            <w:r>
              <w:rPr>
                <w:rFonts w:ascii="맑은 고딕" w:hAnsi="맑은 고딕" w:eastAsia="맑은 고딕" w:cs="맑은 고딕"/>
                <w:b w:val="0"/>
                <w:i w:val="0"/>
                <w:sz w:val="22"/>
              </w:rPr>
              <w:t>총 예산</w:t>
            </w:r>
          </w:p>
        </w:tc>
        <w:tc>
          <w:tcPr>
            <w:tcW w:type="dxa" w:w="4320"/>
          </w:tcPr>
          <w:p>
            <w:r/>
            <w:r>
              <w:rPr>
                <w:rFonts w:ascii="맑은 고딕" w:hAnsi="맑은 고딕" w:eastAsia="맑은 고딕" w:cs="맑은 고딕"/>
                <w:b w:val="0"/>
                <w:i w:val="0"/>
                <w:sz w:val="22"/>
              </w:rPr>
              <w:t>5,326,358원</w:t>
            </w:r>
          </w:p>
        </w:tc>
      </w:tr>
      <w:tr>
        <w:tc>
          <w:tcPr>
            <w:tcW w:type="dxa" w:w="4320"/>
          </w:tcPr>
          <w:p>
            <w:r/>
            <w:r>
              <w:rPr>
                <w:rFonts w:ascii="맑은 고딕" w:hAnsi="맑은 고딕" w:eastAsia="맑은 고딕" w:cs="맑은 고딕"/>
                <w:b w:val="0"/>
                <w:i w:val="0"/>
                <w:sz w:val="22"/>
              </w:rPr>
              <w:t>수익률</w:t>
            </w:r>
          </w:p>
        </w:tc>
        <w:tc>
          <w:tcPr>
            <w:tcW w:type="dxa" w:w="4320"/>
          </w:tcPr>
          <w:p>
            <w:r/>
            <w:r>
              <w:rPr>
                <w:rFonts w:ascii="맑은 고딕" w:hAnsi="맑은 고딕" w:eastAsia="맑은 고딕" w:cs="맑은 고딕"/>
                <w:b w:val="0"/>
                <w:i w:val="0"/>
                <w:sz w:val="22"/>
              </w:rPr>
              <w:t>13.81%</w:t>
            </w:r>
          </w:p>
        </w:tc>
      </w:tr>
      <w:tr>
        <w:tc>
          <w:tcPr>
            <w:tcW w:type="dxa" w:w="4320"/>
          </w:tcPr>
          <w:p>
            <w:r/>
            <w:r>
              <w:rPr>
                <w:rFonts w:ascii="맑은 고딕" w:hAnsi="맑은 고딕" w:eastAsia="맑은 고딕" w:cs="맑은 고딕"/>
                <w:b w:val="0"/>
                <w:i w:val="0"/>
                <w:sz w:val="22"/>
              </w:rPr>
              <w:t>평균 환자수</w:t>
            </w:r>
          </w:p>
        </w:tc>
        <w:tc>
          <w:tcPr>
            <w:tcW w:type="dxa" w:w="4320"/>
          </w:tcPr>
          <w:p>
            <w:r/>
            <w:r>
              <w:rPr>
                <w:rFonts w:ascii="맑은 고딕" w:hAnsi="맑은 고딕" w:eastAsia="맑은 고딕" w:cs="맑은 고딕"/>
                <w:b w:val="0"/>
                <w:i w:val="0"/>
                <w:sz w:val="22"/>
              </w:rPr>
              <w:t>1,375명</w:t>
            </w:r>
          </w:p>
        </w:tc>
      </w:tr>
      <w:tr>
        <w:tc>
          <w:tcPr>
            <w:tcW w:type="dxa" w:w="4320"/>
          </w:tcPr>
          <w:p>
            <w:r/>
            <w:r>
              <w:rPr>
                <w:rFonts w:ascii="맑은 고딕" w:hAnsi="맑은 고딕" w:eastAsia="맑은 고딕" w:cs="맑은 고딕"/>
                <w:b w:val="0"/>
                <w:i w:val="0"/>
                <w:sz w:val="22"/>
              </w:rPr>
              <w:t>관계도</w:t>
            </w:r>
          </w:p>
        </w:tc>
        <w:tc>
          <w:tcPr>
            <w:tcW w:type="dxa" w:w="4320"/>
          </w:tcPr>
          <w:p>
            <w:r/>
            <w:r>
              <w:rPr>
                <w:rFonts w:ascii="맑은 고딕" w:hAnsi="맑은 고딕" w:eastAsia="맑은 고딕" w:cs="맑은 고딕"/>
                <w:b w:val="0"/>
                <w:i w:val="0"/>
                <w:sz w:val="22"/>
              </w:rPr>
              <w:t>320.96%</w:t>
            </w:r>
          </w:p>
        </w:tc>
      </w:tr>
    </w:tbl>
    <w:p>
      <w:pPr>
        <w:pStyle w:val="Heading2"/>
      </w:pPr>
      <w:r>
        <w:rPr>
          <w:rFonts w:ascii="맑은 고딕" w:hAnsi="맑은 고딕" w:eastAsia="맑은 고딕" w:cs="맑은 고딕"/>
          <w:b/>
          <w:i w:val="0"/>
          <w:sz w:val="28"/>
        </w:rPr>
        <w:t>등급 분석 상세</w:t>
      </w:r>
    </w:p>
    <w:p>
      <w:r>
        <w:rPr>
          <w:rFonts w:ascii="맑은 고딕" w:hAnsi="맑은 고딕" w:eastAsia="맑은 고딕" w:cs="맑은 고딕"/>
          <w:b w:val="0"/>
          <w:i w:val="0"/>
          <w:sz w:val="22"/>
        </w:rPr>
        <w:t>미라클신경과의원의 등급 분석 결과를 바탕으로 각 지표가 어느 임계값 구간에 해당하는지 분석하고, 최종 등급 산정 로직과 개선 포인트를 제시하겠습니다.</w:t>
        <w:br/>
        <w:br/>
        <w:t>### 1) 각 지표의 등급 분석</w:t>
        <w:br/>
        <w:br/>
        <w:t>- **매출 등급 (A)**</w:t>
        <w:br/>
        <w:t xml:space="preserve">  - 평균 매출: 12,852,101.33원</w:t>
        <w:br/>
        <w:t xml:space="preserve">  - 매출 임계값에 따르면, A 등급은 3,000,000원 이상입니다.</w:t>
        <w:br/>
        <w:t xml:space="preserve">  - 미라클신경과의원의 평균 매출은 12,852,101.33원으로 A 등급에 속합니다.</w:t>
        <w:br/>
        <w:br/>
        <w:t>- **수익률 등급 (B)**</w:t>
        <w:br/>
        <w:t xml:space="preserve">  - 수익률: 13.81%</w:t>
        <w:br/>
        <w:t xml:space="preserve">  - 수익률 임계값에 따르면, B 등급은 10% 이상 15% 미만입니다.</w:t>
        <w:br/>
        <w:t xml:space="preserve">  - 미라클신경과의원의 수익률은 13.81%로 B 등급에 속합니다.</w:t>
        <w:br/>
        <w:br/>
        <w:t>- **환자수 등급 (D)**</w:t>
        <w:br/>
        <w:t xml:space="preserve">  - 평균 환자수: 1,375명</w:t>
        <w:br/>
        <w:t xml:space="preserve">  - 환자수 임계값에 따르면, D 등급은 1,000명 이상 1,400명 미만입니다.</w:t>
        <w:br/>
        <w:t xml:space="preserve">  - 미라클신경과의원의 평균 환자수는 1,375명으로 D 등급에 속합니다.</w:t>
        <w:br/>
        <w:br/>
        <w:t>- **관계도 등급 (A)**</w:t>
        <w:br/>
        <w:t xml:space="preserve">  - 관계도: 320.96%</w:t>
        <w:br/>
        <w:t xml:space="preserve">  - 관계도 임계값에 따르면, A 등급은 60% 이상입니다.</w:t>
        <w:br/>
        <w:t xml:space="preserve">  - 미라클신경과의원의 관계도는 320.96%로 A 등급에 속합니다.</w:t>
        <w:br/>
        <w:br/>
        <w:t>### 2) 최종 등급 산정 로직</w:t>
        <w:br/>
        <w:br/>
        <w:t>최종 등급은 각 지표의 등급을 점수로 환산하여 평균을 구한 후 반올림하여 산출됩니다. 각 등급은 A=1, B=2, C=3, D=4, E=5로 점수화됩니다.</w:t>
        <w:br/>
        <w:br/>
        <w:t>- 매출 등급 (A): 1점</w:t>
        <w:br/>
        <w:t>- 수익률 등급 (B): 2점</w:t>
        <w:br/>
        <w:t>- 환자수 등급 (D): 4점</w:t>
        <w:br/>
        <w:t>- 관계도 등급 (A): 1점</w:t>
        <w:br/>
        <w:br/>
        <w:t>평균 점수 = (1 + 2 + 4 + 1) / 4 = 2.0</w:t>
        <w:br/>
        <w:br/>
        <w:t>평균 점수 2.0을 반올림하면 최종 등급은 B가 됩니다.</w:t>
        <w:br/>
        <w:br/>
        <w:t>### 3) 개선 포인트</w:t>
        <w:br/>
        <w:br/>
        <w:t>- **환자수 증대**: 환자수 등급이 D로 가장 낮기 때문에, 환자수를 늘리는 것이 중요합니다. 이를 위해 마케팅 캠페인이나 지역 사회와의 협력을 통해 신규 환자를 유치할 수 있는 전략을 고려할 수 있습니다.</w:t>
        <w:br/>
        <w:t>- **수익률 개선**: 수익률을 A 등급으로 향상시키기 위해 비용 절감 방안을 모색하거나, 고수익 제품의 판매를 늘리는 전략을 검토할 수 있습니다.</w:t>
        <w:br/>
        <w:br/>
        <w:t>이러한 개선 포인트를 통해 미라클신경과의원의 최종 등급을 A로 향상시킬 수 있을 것입니다.</w:t>
      </w:r>
    </w:p>
    <w:p>
      <w:r>
        <w:br w:type="page"/>
      </w:r>
    </w:p>
    <w:p>
      <w:pPr>
        <w:pStyle w:val="Heading1"/>
      </w:pPr>
      <w:r>
        <w:rPr>
          <w:rFonts w:ascii="맑은 고딕" w:hAnsi="맑은 고딕" w:eastAsia="맑은 고딕" w:cs="맑은 고딕"/>
          <w:b/>
          <w:i w:val="0"/>
          <w:sz w:val="32"/>
        </w:rPr>
        <w:t>2. 동일 등급 비교 분석</w:t>
      </w:r>
    </w:p>
    <w:p>
      <w:r>
        <w:rPr>
          <w:rFonts w:ascii="맑은 고딕" w:hAnsi="맑은 고딕" w:eastAsia="맑은 고딕" w:cs="맑은 고딕"/>
          <w:b w:val="0"/>
          <w:i w:val="0"/>
          <w:sz w:val="22"/>
        </w:rPr>
        <w:t>### 보고서: 미라클신경과의원의 매출 및 예산 사용 분석</w:t>
        <w:br/>
        <w:br/>
        <w:t>#### 1. 개요</w:t>
        <w:br/>
        <w:t>본 보고서는 미라클신경과의원의 2024년 1분기(202401 ~ 202403) 동안의 평균 매출과 사용 예산을 같은 진료과 및 다른 진료과 병원들과 비교하여 분석한 결과를 제시합니다. 이를 통해 병원의 경쟁력을 평가하고 개선 방안을 제안합니다.</w:t>
        <w:br/>
        <w:br/>
        <w:t>#### 2. 매출 비교 분석</w:t>
        <w:br/>
        <w:br/>
        <w:t>- **대상 병원 평균 매출**: 12,852,101원</w:t>
        <w:br/>
        <w:t>- **같은 진료과 &amp; 동일 등급 병원 평균 매출**: 1,331,796원</w:t>
        <w:br/>
        <w:br/>
        <w:t>미라클신경과의원의 평균 매출은 같은 진료과의 동일 등급 병원 평균 매출보다 약 9.65배 높습니다. 이는 미라클신경과의원이 해당 진료과 내에서 매우 우수한 매출 성과를 보이고 있음을 나타냅니다.</w:t>
        <w:br/>
        <w:br/>
        <w:t xml:space="preserve">**우위 지표**: </w:t>
        <w:br/>
        <w:t>- 미라클신경과의원은 같은 진료과 내에서 매우 높은 매출을 기록하고 있어, 시장 내에서의 경쟁 우위를 점하고 있습니다.</w:t>
        <w:br/>
        <w:br/>
        <w:t>**개선 포인트**:</w:t>
        <w:br/>
        <w:t>- 현재의 매출 성과를 유지하기 위해 지속적인 환자 만족도 관리와 서비스 품질 개선이 필요합니다.</w:t>
        <w:br/>
        <w:t>- 추가적인 마케팅 전략을 통해 신규 환자 유입을 지속적으로 확대할 수 있습니다.</w:t>
        <w:br/>
        <w:br/>
        <w:t>#### 3. 예산 사용 비교 분석</w:t>
        <w:br/>
        <w:br/>
        <w:t>- **대상 병원 평균 사용 예산**: 1,775,453원</w:t>
        <w:br/>
        <w:t>- **다른 진료과 &amp; 동일 등급 병원 평균 사용 예산**: 0원</w:t>
        <w:br/>
        <w:br/>
        <w:t>미라클신경과의원의 평균 사용 예산은 다른 진료과의 동일 등급 병원과 비교했을 때 상대적으로 높은 편입니다. 다른 진료과 병원들은 예산을 사용하지 않거나 매우 적게 사용하고 있음을 알 수 있습니다.</w:t>
        <w:br/>
        <w:br/>
        <w:t>**열위 지표**:</w:t>
        <w:br/>
        <w:t>- 미라클신경과의원은 다른 진료과 병원들과 비교했을 때 상대적으로 높은 예산을 사용하고 있어, 비용 효율성 측면에서 개선이 필요합니다.</w:t>
        <w:br/>
        <w:br/>
        <w:t>**개선 포인트**:</w:t>
        <w:br/>
        <w:t>- 예산 사용의 효율성을 높이기 위해 현재 예산 사용 항목을 분석하고, 불필요한 지출을 줄일 수 있는 방안을 모색해야 합니다.</w:t>
        <w:br/>
        <w:t>- 예산 사용의 효과를 극대화하기 위해 ROI(Return on Investment)를 고려한 전략적 예산 배분이 필요합니다.</w:t>
        <w:br/>
        <w:br/>
        <w:t>#### 4. 결론</w:t>
        <w:br/>
        <w:t>미라클신경과의원은 같은 진료과 내에서 매우 높은 매출을 기록하며 경쟁력을 보이고 있으나, 예산 사용 측면에서는 개선의 여지가 있습니다. 지속적인 매출 성장을 위해 서비스 품질을 유지하면서, 예산 사용의 효율성을 높이는 전략이 필요합니다. 이를 통해 장기적인 경쟁 우위를 확보할 수 있을 것입니다.</w:t>
      </w:r>
    </w:p>
    <w:p>
      <w:r>
        <w:br w:type="page"/>
      </w:r>
    </w:p>
    <w:p>
      <w:pPr>
        <w:pStyle w:val="Heading1"/>
      </w:pPr>
      <w:r>
        <w:rPr>
          <w:rFonts w:ascii="맑은 고딕" w:hAnsi="맑은 고딕" w:eastAsia="맑은 고딕" w:cs="맑은 고딕"/>
          <w:b/>
          <w:i w:val="0"/>
          <w:sz w:val="32"/>
        </w:rPr>
        <w:t>3. 성장성 분석</w:t>
      </w:r>
    </w:p>
    <w:p>
      <w:r>
        <w:rPr>
          <w:rFonts w:ascii="맑은 고딕" w:hAnsi="맑은 고딕" w:eastAsia="맑은 고딕" w:cs="맑은 고딕"/>
          <w:b w:val="0"/>
          <w:i w:val="0"/>
          <w:sz w:val="22"/>
        </w:rPr>
        <w:t>### 협력 관계의 성장성 분석</w:t>
        <w:br/>
        <w:br/>
        <w:t>1. **월별 매출 및 예산 추이 분석**</w:t>
        <w:br/>
        <w:br/>
        <w:t xml:space="preserve">   - **매출 추이**: 202401월부터 202403월까지의 매출은 각각 12,987,000원, 12,624,500원, 12,944,800원입니다. 전반적으로 매출은 큰 변동 없이 안정적인 수준을 유지하고 있습니다. 다만, 202402월에 약간의 감소가 있었으나 202403월에 다시 증가하는 모습을 보입니다.</w:t>
        <w:br/>
        <w:br/>
        <w:t xml:space="preserve">   - **예산 추이**: 같은 기간 동안 사용 예산은 각각 2,139,100원, 1,783,440원, 1,403,810원으로 지속적으로 감소하고 있습니다. 이는 매출과는 달리 예산이 지속적으로 줄어들고 있음을 보여줍니다.</w:t>
        <w:br/>
        <w:br/>
        <w:t xml:space="preserve">   - **균형적 성장 여부**: 매출은 비교적 안정적이지만, 예산이 감소하고 있는 점에서 협력 관계가 균형적으로 성장하고 있다고 보기는 어렵습니다. 예산 감소에도 불구하고 매출이 유지되고 있는 것은 긍정적이지만, 장기적으로 예산 감소가 매출에 부정적인 영향을 미칠 가능성이 있습니다.</w:t>
        <w:br/>
        <w:br/>
        <w:t>2. **관계 불균형 가능성**</w:t>
        <w:br/>
        <w:br/>
        <w:t xml:space="preserve">   - 매출은 안정적이나 예산이 감소하는 상황은 관계 불균형의 가능성을 시사합니다. 예산 감소는 병원과의 협력 관계 유지에 필요한 자원이 줄어들고 있음을 의미하며, 이는 장기적으로 병원의 수요를 충족시키지 못할 위험을 내포하고 있습니다.</w:t>
        <w:br/>
        <w:br/>
        <w:t>3. **수요와 공급 관점에서의 상호작용 분석**</w:t>
        <w:br/>
        <w:br/>
        <w:t xml:space="preserve">   - **수요(병원 측)**: 병원 측에서는 매출이 안정적으로 유지되고 있어 현재의 공급 수준에 만족하고 있을 가능성이 있습니다. 그러나 예산 감소는 병원 측의 요구가 충분히 반영되지 않고 있을 수 있음을 의미합니다.</w:t>
        <w:br/>
        <w:br/>
        <w:t xml:space="preserve">   - **공급(우리 회사)**: 우리 회사는 예산을 줄이면서도 매출을 유지하고 있어, 현재의 공급 방식이 효율적이라고 판단할 수 있습니다. 하지만, 장기적으로 병원 측의 수요 변화에 대응하지 못할 경우 협력 관계에 부정적인 영향을 미칠 수 있습니다.</w:t>
        <w:br/>
        <w:br/>
        <w:t>4. **방문 횟수 추이를 통한 영업 활동 강도 평가**</w:t>
        <w:br/>
        <w:br/>
        <w:t xml:space="preserve">   - **방문 횟수 추이**: 시작 월인 202401월에는 5회 방문하였으나, 202403월에는 3회로 감소하였습니다. 기간 평균 방문 횟수는 4.33회로, 전반적으로 방문 횟수가 감소하는 추세입니다.</w:t>
        <w:br/>
        <w:br/>
        <w:t xml:space="preserve">   - **영업 활동 강도 변화**: 방문 횟수의 감소는 영업 활동 강도가 줄어들고 있음을 나타냅니다. 이는 예산 감소와도 연관이 있을 수 있으며, 병원과의 관계를 유지하는 데 있어 부정적인 영향을 미칠 수 있습니다. 영업 활동 강도를 유지하거나 증가시키는 전략이 필요할 수 있습니다.</w:t>
        <w:br/>
        <w:br/>
        <w:t>### 결론</w:t>
        <w:br/>
        <w:br/>
        <w:t>현재의 협력 관계는 매출이 안정적이나, 예산 감소와 방문 횟수 감소로 인해 장기적으로 불균형이 발생할 가능성이 있습니다. 병원 측의 수요를 지속적으로 충족시키기 위해 예산과 영업 활동 강도를 조정하는 전략이 필요합니다.</w:t>
      </w:r>
    </w:p>
    <w:p>
      <w:r>
        <w:br w:type="page"/>
      </w:r>
    </w:p>
    <w:p>
      <w:pPr>
        <w:pStyle w:val="Heading1"/>
      </w:pPr>
      <w:r>
        <w:rPr>
          <w:rFonts w:ascii="맑은 고딕" w:hAnsi="맑은 고딕" w:eastAsia="맑은 고딕" w:cs="맑은 고딕"/>
          <w:b/>
          <w:i w:val="0"/>
          <w:sz w:val="32"/>
        </w:rPr>
        <w:t>4. 영업 전략 제안</w:t>
      </w:r>
    </w:p>
    <w:p>
      <w:r>
        <w:rPr>
          <w:rFonts w:ascii="맑은 고딕" w:hAnsi="맑은 고딕" w:eastAsia="맑은 고딕" w:cs="맑은 고딕"/>
          <w:b w:val="0"/>
          <w:i w:val="0"/>
          <w:sz w:val="22"/>
        </w:rPr>
        <w:t>## 미라클신경과의원 영업전략 분석 보고서</w:t>
        <w:br/>
        <w:br/>
        <w:t>### 1. 핵심 분석 포인트 및 해석</w:t>
        <w:br/>
        <w:br/>
        <w:t>미라클신경과의원은 전체 거래처 평균과 비교했을 때, 다음과 같은 특징을 보입니다:</w:t>
        <w:br/>
        <w:br/>
        <w:t xml:space="preserve">- **환자수 평균: 1375.0**  </w:t>
        <w:br/>
        <w:t xml:space="preserve">  전체 거래처 평균인 1824.6보다 낮습니다. 이는 해당 의원의 환자 수가 상대적으로 적다는 것을 의미합니다. </w:t>
        <w:br/>
        <w:br/>
        <w:t xml:space="preserve">- **방문 횟수 평균: 4.2**  </w:t>
        <w:br/>
        <w:t xml:space="preserve">  전체 거래처 평균인 3.1보다 높습니다. 이는 환자들이 해당 의원을 반복적으로 방문하고 있음을 나타내며, 환자 충성도가 높다는 긍정적인 신호로 해석할 수 있습니다.</w:t>
        <w:br/>
        <w:br/>
        <w:t xml:space="preserve">- **매출 평균: 13419304.6**  </w:t>
        <w:br/>
        <w:t xml:space="preserve">  전체 거래처 평균인 1138809.7보다 훨씬 높습니다. 이는 환자당 매출이 매우 높거나, 고가의 치료 및 서비스가 제공되고 있음을 시사합니다.</w:t>
        <w:br/>
        <w:br/>
        <w:t>### 2. 문제점 및 기회 요인 분석</w:t>
        <w:br/>
        <w:br/>
        <w:t>- **환자수의 상대적 부족**: 환자 수가 평균보다 낮은 것은 시장 점유율 확대의 기회가 있음을 나타냅니다. 이는 지역 내 경쟁 병원과의 차별화 전략이 필요함을 시사합니다.</w:t>
        <w:br/>
        <w:br/>
        <w:t>- **높은 방문 횟수**: 환자들이 자주 방문하는 것은 긍정적이지만, 이로 인해 환자당 매출이 높아질 가능성이 있습니다. 이는 고품질의 서비스 제공과 관련된 것으로 보이며, 이를 유지하거나 더욱 강화할 필요가 있습니다.</w:t>
        <w:br/>
        <w:br/>
        <w:t>- **높은 매출**: 매출이 높다는 것은 프리미엄 서비스나 고가의 치료가 이루어지고 있음을 나타냅니다. 이는 해당 의원의 브랜드 가치가 높거나, 특정 치료 분야에서의 전문성이 인정받고 있음을 의미합니다.</w:t>
        <w:br/>
        <w:br/>
        <w:t>### 3. 실행 가능한 영업 전략 제안</w:t>
        <w:br/>
        <w:br/>
        <w:t>- **방문 전략 강화**: 현재 높은 방문 횟수를 유지하면서 신규 환자 유치를 위한 전략이 필요합니다. 지역 내 커뮤니티와의 협력을 통해 신규 환자를 유치하거나, 온라인 마케팅을 활용하여 의원의 인지도를 높이는 것이 효과적일 수 있습니다.</w:t>
        <w:br/>
        <w:br/>
        <w:t>- **제품 포트폴리오 확장**: 고가의 치료 및 서비스 외에도 다양한 가격대의 서비스를 제공하여 환자층을 확대할 수 있습니다. 특히, 초기 진단 및 예방 치료와 같은 서비스를 강화하여 신규 환자 유입을 유도할 수 있습니다.</w:t>
        <w:br/>
        <w:br/>
        <w:t>- **예산 배분 최적화**: 마케팅 예산을 신규 환자 유치와 기존 환자 유지에 균형 있게 배분하여, 지속적인 성장 기반을 마련해야 합니다.</w:t>
        <w:br/>
        <w:br/>
        <w:t>- **프로모션 전략**: 환자 충성도를 높이기 위한 멤버십 프로그램이나 할인 혜택을 제공하여, 환자들이 지속적으로 의원을 방문할 수 있도록 유도합니다.</w:t>
        <w:br/>
        <w:br/>
        <w:t>### 4. 결론</w:t>
        <w:br/>
        <w:br/>
        <w:t>미라클신경과의원은 현재 안정적인 상태를 유지하고 있으며, 높은 매출과 방문 횟수를 기반으로 추가적인 성장 가능성이 큽니다. 환자 수를 늘리기 위한 전략적 접근과 다양한 서비스 제공을 통해 시장 점유율을 확대할 수 있습니다. 이를 통해 장기적인 성장을 도모할 수 있을 것입니다.</w:t>
      </w:r>
    </w:p>
    <w:p>
      <w:r>
        <w:br w:type="page"/>
      </w:r>
    </w:p>
    <w:p>
      <w:pPr>
        <w:pStyle w:val="Heading1"/>
      </w:pPr>
      <w:r>
        <w:rPr>
          <w:rFonts w:ascii="맑은 고딕" w:hAnsi="맑은 고딕" w:eastAsia="맑은 고딕" w:cs="맑은 고딕"/>
          <w:b/>
          <w:i w:val="0"/>
          <w:sz w:val="32"/>
        </w:rPr>
        <w:t>5. 종합 분석</w:t>
      </w:r>
    </w:p>
    <w:p>
      <w:r>
        <w:rPr>
          <w:rFonts w:ascii="맑은 고딕" w:hAnsi="맑은 고딕" w:eastAsia="맑은 고딕" w:cs="맑은 고딕"/>
          <w:b w:val="0"/>
          <w:i w:val="0"/>
          <w:sz w:val="22"/>
        </w:rPr>
        <w:t>## 통합 보고서: 미라클신경과의원 영업 데이터 분석 및 전략 제안</w:t>
        <w:br/>
        <w:br/>
        <w:t>### 1. 개요</w:t>
        <w:br/>
        <w:t>본 보고서는 미라클신경과의원의 영업 성과를 다각도로 분석하여 경쟁력을 평가하고, 향후 개선 및 성장 전략을 제안합니다. 분석은 등급 분석, 동일 등급 비교, 성장성 분석, 영업 전략 제안의 네 가지 주요 영역으로 구성됩니다.</w:t>
        <w:br/>
        <w:br/>
        <w:t>### 2. 등급 분석</w:t>
        <w:br/>
        <w:t>미라클신경과의원은 매출 등급 A, 수익률 등급 B, 환자수 등급 D, 관계도 등급 A로 평가되며, 최종 등급은 B입니다. 매출과 관계도에서 높은 성과를 보이고 있으나, 환자수에서 개선이 필요합니다. 수익률 또한 상위 등급으로의 향상을 위해 추가적인 노력이 요구됩니다.</w:t>
        <w:br/>
        <w:br/>
        <w:t>### 3. 동일 등급 비교 분석</w:t>
        <w:br/>
        <w:t>미라클신경과의원의 평균 매출은 같은 진료과의 동일 등급 병원보다 약 9.65배 높아, 진료과 내에서 우수한 성과를 보이고 있습니다. 그러나 예산 사용이 다른 진료과 병원에 비해 높아 비용 효율성 개선이 필요합니다.</w:t>
        <w:br/>
        <w:br/>
        <w:t>### 4. 성장성 분석</w:t>
        <w:br/>
        <w:t>매출은 안정적이나, 예산과 방문 횟수의 감소는 장기적인 관계 불균형 가능성을 시사합니다. 예산 감소에도 매출이 유지되고 있으나, 장기적으로는 예산과 영업 활동 강도의 조정이 필요합니다.</w:t>
        <w:br/>
        <w:br/>
        <w:t>### 5. 영업 전략 제안</w:t>
        <w:br/>
        <w:t>- **환자수 증대**: 신규 환자 유치를 위한 마케팅 캠페인과 지역 사회와의 협력을 강화합니다.</w:t>
        <w:br/>
        <w:t>- **수익률 개선**: 비용 절감 및 고수익 제품 판매 확대를 통해 수익률을 향상시킵니다.</w:t>
        <w:br/>
        <w:t>- **방문 전략 강화**: 높은 방문 횟수를 유지하면서 신규 환자 유치를 위한 전략을 강화합니다.</w:t>
        <w:br/>
        <w:t>- **제품 포트폴리오 확장**: 다양한 가격대의 서비스를 제공하여 환자층을 확대합니다.</w:t>
        <w:br/>
        <w:t>- **예산 배분 최적화**: 마케팅 예산을 신규 환자 유치와 기존 환자 유지에 균형 있게 배분합니다.</w:t>
        <w:br/>
        <w:t>- **프로모션 전략**: 환자 충성도를 높이기 위한 멤버십 프로그램이나 할인 혜택을 제공합니다.</w:t>
        <w:br/>
        <w:br/>
        <w:t>### 6. 결론</w:t>
        <w:br/>
        <w:t>미라클신경과의원은 현재 높은 매출과 방문 횟수를 기반으로 추가적인 성장 가능성이 큽니다. 환자 수를 늘리기 위한 전략적 접근과 다양한 서비스 제공을 통해 시장 점유율을 확대할 수 있습니다. 이를 통해 장기적인 성장을 도모할 수 있을 것입니다.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cs="맑은 고딕"/>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