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거래처 분석 보고서</w:t>
      </w:r>
    </w:p>
    <w:p>
      <w:pPr>
        <w:jc w:val="center"/>
      </w:pPr>
      <w:r>
        <w:t>거래처명: 미라클신경과의원</w:t>
      </w:r>
    </w:p>
    <w:p>
      <w:pPr>
        <w:jc w:val="center"/>
      </w:pPr>
      <w:r>
        <w:t>생성일: 2025년 08월 18일</w:t>
      </w:r>
    </w:p>
    <w:p>
      <w:r>
        <w:br w:type="page"/>
      </w:r>
    </w:p>
    <w:p>
      <w:pPr>
        <w:pStyle w:val="Heading1"/>
      </w:pPr>
      <w:r>
        <w:rPr>
          <w:rFonts w:ascii="맑은 고딕" w:hAnsi="맑은 고딕" w:eastAsia="맑은 고딕" w:cs="맑은 고딕"/>
          <w:b/>
          <w:i w:val="0"/>
          <w:sz w:val="32"/>
        </w:rPr>
        <w:t>목차</w:t>
      </w:r>
    </w:p>
    <w:p>
      <w:r>
        <w:rPr>
          <w:rFonts w:ascii="맑은 고딕" w:hAnsi="맑은 고딕" w:eastAsia="맑은 고딕" w:cs="맑은 고딕"/>
          <w:b w:val="0"/>
          <w:i w:val="0"/>
          <w:sz w:val="22"/>
        </w:rPr>
        <w:t>1. 등급 분석 결과</w:t>
      </w:r>
    </w:p>
    <w:p>
      <w:r>
        <w:rPr>
          <w:rFonts w:ascii="맑은 고딕" w:hAnsi="맑은 고딕" w:eastAsia="맑은 고딕" w:cs="맑은 고딕"/>
          <w:b w:val="0"/>
          <w:i w:val="0"/>
          <w:sz w:val="22"/>
        </w:rPr>
        <w:t>2. 동일 등급 비교 분석</w:t>
      </w:r>
    </w:p>
    <w:p>
      <w:r>
        <w:rPr>
          <w:rFonts w:ascii="맑은 고딕" w:hAnsi="맑은 고딕" w:eastAsia="맑은 고딕" w:cs="맑은 고딕"/>
          <w:b w:val="0"/>
          <w:i w:val="0"/>
          <w:sz w:val="22"/>
        </w:rPr>
        <w:t>3. 성장성 분석</w:t>
      </w:r>
    </w:p>
    <w:p>
      <w:r>
        <w:rPr>
          <w:rFonts w:ascii="맑은 고딕" w:hAnsi="맑은 고딕" w:eastAsia="맑은 고딕" w:cs="맑은 고딕"/>
          <w:b w:val="0"/>
          <w:i w:val="0"/>
          <w:sz w:val="22"/>
        </w:rPr>
        <w:t>4. 영업 전략 제안</w:t>
      </w:r>
    </w:p>
    <w:p>
      <w:r>
        <w:rPr>
          <w:rFonts w:ascii="맑은 고딕" w:hAnsi="맑은 고딕" w:eastAsia="맑은 고딕" w:cs="맑은 고딕"/>
          <w:b w:val="0"/>
          <w:i w:val="0"/>
          <w:sz w:val="22"/>
        </w:rPr>
        <w:t>5. 종합 분석</w:t>
      </w:r>
    </w:p>
    <w:p>
      <w:r>
        <w:br w:type="page"/>
      </w:r>
    </w:p>
    <w:p>
      <w:pPr>
        <w:pStyle w:val="Heading1"/>
      </w:pPr>
      <w:r>
        <w:rPr>
          <w:rFonts w:ascii="맑은 고딕" w:hAnsi="맑은 고딕" w:eastAsia="맑은 고딕" w:cs="맑은 고딕"/>
          <w:b/>
          <w:i w:val="0"/>
          <w:sz w:val="32"/>
        </w:rPr>
        <w:t>1. 등급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cs="맑은 고딕"/>
                <w:b/>
                <w:i w:val="0"/>
                <w:sz w:val="22"/>
              </w:rPr>
              <w:t>구분</w:t>
            </w:r>
          </w:p>
        </w:tc>
        <w:tc>
          <w:tcPr>
            <w:tcW w:type="dxa" w:w="2880"/>
          </w:tcPr>
          <w:p>
            <w:r/>
            <w:r>
              <w:rPr>
                <w:rFonts w:ascii="맑은 고딕" w:hAnsi="맑은 고딕" w:eastAsia="맑은 고딕" w:cs="맑은 고딕"/>
                <w:b/>
                <w:i w:val="0"/>
                <w:sz w:val="22"/>
              </w:rPr>
              <w:t>등급</w:t>
            </w:r>
          </w:p>
        </w:tc>
        <w:tc>
          <w:tcPr>
            <w:tcW w:type="dxa" w:w="2880"/>
          </w:tcPr>
          <w:p>
            <w:r/>
            <w:r>
              <w:rPr>
                <w:rFonts w:ascii="맑은 고딕" w:hAnsi="맑은 고딕" w:eastAsia="맑은 고딕" w:cs="맑은 고딕"/>
                <w:b/>
                <w:i w:val="0"/>
                <w:sz w:val="22"/>
              </w:rPr>
              <w:t>점수</w:t>
            </w:r>
          </w:p>
        </w:tc>
      </w:tr>
      <w:tr>
        <w:tc>
          <w:tcPr>
            <w:tcW w:type="dxa" w:w="2880"/>
          </w:tcPr>
          <w:p>
            <w:r/>
            <w:r>
              <w:rPr>
                <w:rFonts w:ascii="맑은 고딕" w:hAnsi="맑은 고딕" w:eastAsia="맑은 고딕" w:cs="맑은 고딕"/>
                <w:b w:val="0"/>
                <w:i w:val="0"/>
                <w:sz w:val="22"/>
              </w:rPr>
              <w:t>구분</w:t>
            </w:r>
          </w:p>
        </w:tc>
        <w:tc>
          <w:tcPr>
            <w:tcW w:type="dxa" w:w="2880"/>
          </w:tcPr>
          <w:p>
            <w:r/>
            <w:r>
              <w:rPr>
                <w:rFonts w:ascii="맑은 고딕" w:hAnsi="맑은 고딕" w:eastAsia="맑은 고딕" w:cs="맑은 고딕"/>
                <w:b w:val="0"/>
                <w:i w:val="0"/>
                <w:sz w:val="22"/>
              </w:rPr>
              <w:t>등급</w:t>
            </w:r>
          </w:p>
        </w:tc>
        <w:tc>
          <w:tcPr>
            <w:tcW w:type="dxa" w:w="2880"/>
          </w:tcPr>
          <w:p>
            <w:r/>
            <w:r>
              <w:rPr>
                <w:rFonts w:ascii="맑은 고딕" w:hAnsi="맑은 고딕" w:eastAsia="맑은 고딕" w:cs="맑은 고딕"/>
                <w:b w:val="0"/>
                <w:i w:val="0"/>
                <w:sz w:val="22"/>
              </w:rPr>
              <w:t>점수</w:t>
            </w:r>
          </w:p>
        </w:tc>
      </w:tr>
      <w:tr>
        <w:tc>
          <w:tcPr>
            <w:tcW w:type="dxa" w:w="2880"/>
          </w:tcPr>
          <w:p>
            <w:r/>
            <w:r>
              <w:rPr>
                <w:rFonts w:ascii="맑은 고딕" w:hAnsi="맑은 고딕" w:eastAsia="맑은 고딕" w:cs="맑은 고딕"/>
                <w:b w:val="0"/>
                <w:i w:val="0"/>
                <w:sz w:val="22"/>
              </w:rPr>
              <w:t>매출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수익률 등급</w:t>
            </w:r>
          </w:p>
        </w:tc>
        <w:tc>
          <w:tcPr>
            <w:tcW w:type="dxa" w:w="2880"/>
          </w:tcPr>
          <w:p>
            <w:r/>
            <w:r>
              <w:rPr>
                <w:rFonts w:ascii="맑은 고딕" w:hAnsi="맑은 고딕" w:eastAsia="맑은 고딕" w:cs="맑은 고딕"/>
                <w:b w:val="0"/>
                <w:i w:val="0"/>
                <w:sz w:val="22"/>
              </w:rPr>
              <w:t>C</w:t>
            </w:r>
          </w:p>
        </w:tc>
        <w:tc>
          <w:tcPr>
            <w:tcW w:type="dxa" w:w="2880"/>
          </w:tcPr>
          <w:p>
            <w:r/>
            <w:r>
              <w:rPr>
                <w:rFonts w:ascii="맑은 고딕" w:hAnsi="맑은 고딕" w:eastAsia="맑은 고딕" w:cs="맑은 고딕"/>
                <w:b w:val="0"/>
                <w:i w:val="0"/>
                <w:sz w:val="22"/>
              </w:rPr>
              <w:t>3</w:t>
            </w:r>
          </w:p>
        </w:tc>
      </w:tr>
      <w:tr>
        <w:tc>
          <w:tcPr>
            <w:tcW w:type="dxa" w:w="2880"/>
          </w:tcPr>
          <w:p>
            <w:r/>
            <w:r>
              <w:rPr>
                <w:rFonts w:ascii="맑은 고딕" w:hAnsi="맑은 고딕" w:eastAsia="맑은 고딕" w:cs="맑은 고딕"/>
                <w:b w:val="0"/>
                <w:i w:val="0"/>
                <w:sz w:val="22"/>
              </w:rPr>
              <w:t>환자수 등급</w:t>
            </w:r>
          </w:p>
        </w:tc>
        <w:tc>
          <w:tcPr>
            <w:tcW w:type="dxa" w:w="2880"/>
          </w:tcPr>
          <w:p>
            <w:r/>
            <w:r>
              <w:rPr>
                <w:rFonts w:ascii="맑은 고딕" w:hAnsi="맑은 고딕" w:eastAsia="맑은 고딕" w:cs="맑은 고딕"/>
                <w:b w:val="0"/>
                <w:i w:val="0"/>
                <w:sz w:val="22"/>
              </w:rPr>
              <w:t>D</w:t>
            </w:r>
          </w:p>
        </w:tc>
        <w:tc>
          <w:tcPr>
            <w:tcW w:type="dxa" w:w="2880"/>
          </w:tcPr>
          <w:p>
            <w:r/>
            <w:r>
              <w:rPr>
                <w:rFonts w:ascii="맑은 고딕" w:hAnsi="맑은 고딕" w:eastAsia="맑은 고딕" w:cs="맑은 고딕"/>
                <w:b w:val="0"/>
                <w:i w:val="0"/>
                <w:sz w:val="22"/>
              </w:rPr>
              <w:t>2</w:t>
            </w:r>
          </w:p>
        </w:tc>
      </w:tr>
      <w:tr>
        <w:tc>
          <w:tcPr>
            <w:tcW w:type="dxa" w:w="2880"/>
          </w:tcPr>
          <w:p>
            <w:r/>
            <w:r>
              <w:rPr>
                <w:rFonts w:ascii="맑은 고딕" w:hAnsi="맑은 고딕" w:eastAsia="맑은 고딕" w:cs="맑은 고딕"/>
                <w:b w:val="0"/>
                <w:i w:val="0"/>
                <w:sz w:val="22"/>
              </w:rPr>
              <w:t>관계도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최종 등급</w:t>
            </w:r>
          </w:p>
        </w:tc>
        <w:tc>
          <w:tcPr>
            <w:tcW w:type="dxa" w:w="2880"/>
          </w:tcPr>
          <w:p>
            <w:r/>
            <w:r>
              <w:rPr>
                <w:rFonts w:ascii="맑은 고딕" w:hAnsi="맑은 고딕" w:eastAsia="맑은 고딕" w:cs="맑은 고딕"/>
                <w:b w:val="0"/>
                <w:i w:val="0"/>
                <w:sz w:val="22"/>
              </w:rPr>
              <w:t>B</w:t>
            </w:r>
          </w:p>
        </w:tc>
        <w:tc>
          <w:tcPr>
            <w:tcW w:type="dxa" w:w="2880"/>
          </w:tcPr>
          <w:p>
            <w:r/>
            <w:r>
              <w:rPr>
                <w:rFonts w:ascii="맑은 고딕" w:hAnsi="맑은 고딕" w:eastAsia="맑은 고딕" w:cs="맑은 고딕"/>
                <w:b w:val="0"/>
                <w:i w:val="0"/>
                <w:sz w:val="22"/>
              </w:rPr>
            </w:r>
          </w:p>
        </w:tc>
      </w:tr>
    </w:tbl>
    <w:p>
      <w:pPr>
        <w:pStyle w:val="Heading2"/>
      </w:pPr>
      <w:r>
        <w:rPr>
          <w:rFonts w:ascii="맑은 고딕" w:hAnsi="맑은 고딕" w:eastAsia="맑은 고딕" w:cs="맑은 고딕"/>
          <w:b/>
          <w:i w:val="0"/>
          <w:sz w:val="28"/>
        </w:rPr>
        <w:t>주요 지표</w:t>
      </w:r>
    </w:p>
    <w:tbl>
      <w:tblPr>
        <w:tblStyle w:val="TableGrid"/>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cs="맑은 고딕"/>
                <w:b/>
                <w:i w:val="0"/>
                <w:sz w:val="22"/>
              </w:rPr>
              <w:t>지표</w:t>
            </w:r>
          </w:p>
        </w:tc>
        <w:tc>
          <w:tcPr>
            <w:tcW w:type="dxa" w:w="4320"/>
          </w:tcPr>
          <w:p>
            <w:r/>
            <w:r>
              <w:rPr>
                <w:rFonts w:ascii="맑은 고딕" w:hAnsi="맑은 고딕" w:eastAsia="맑은 고딕" w:cs="맑은 고딕"/>
                <w:b/>
                <w:i w:val="0"/>
                <w:sz w:val="22"/>
              </w:rPr>
              <w:t>값</w:t>
            </w:r>
          </w:p>
        </w:tc>
      </w:tr>
      <w:tr>
        <w:tc>
          <w:tcPr>
            <w:tcW w:type="dxa" w:w="4320"/>
          </w:tcPr>
          <w:p>
            <w:r/>
            <w:r>
              <w:rPr>
                <w:rFonts w:ascii="맑은 고딕" w:hAnsi="맑은 고딕" w:eastAsia="맑은 고딕" w:cs="맑은 고딕"/>
                <w:b w:val="0"/>
                <w:i w:val="0"/>
                <w:sz w:val="22"/>
              </w:rPr>
              <w:t>지표</w:t>
            </w:r>
          </w:p>
        </w:tc>
        <w:tc>
          <w:tcPr>
            <w:tcW w:type="dxa" w:w="4320"/>
          </w:tcPr>
          <w:p>
            <w:r/>
            <w:r>
              <w:rPr>
                <w:rFonts w:ascii="맑은 고딕" w:hAnsi="맑은 고딕" w:eastAsia="맑은 고딕" w:cs="맑은 고딕"/>
                <w:b w:val="0"/>
                <w:i w:val="0"/>
                <w:sz w:val="22"/>
              </w:rPr>
              <w:t>값</w:t>
            </w:r>
          </w:p>
        </w:tc>
      </w:tr>
      <w:tr>
        <w:tc>
          <w:tcPr>
            <w:tcW w:type="dxa" w:w="4320"/>
          </w:tcPr>
          <w:p>
            <w:r/>
            <w:r>
              <w:rPr>
                <w:rFonts w:ascii="맑은 고딕" w:hAnsi="맑은 고딕" w:eastAsia="맑은 고딕" w:cs="맑은 고딕"/>
                <w:b w:val="0"/>
                <w:i w:val="0"/>
                <w:sz w:val="22"/>
              </w:rPr>
              <w:t>평균 매출</w:t>
            </w:r>
          </w:p>
        </w:tc>
        <w:tc>
          <w:tcPr>
            <w:tcW w:type="dxa" w:w="4320"/>
          </w:tcPr>
          <w:p>
            <w:r/>
            <w:r>
              <w:rPr>
                <w:rFonts w:ascii="맑은 고딕" w:hAnsi="맑은 고딕" w:eastAsia="맑은 고딕" w:cs="맑은 고딕"/>
                <w:b w:val="0"/>
                <w:i w:val="0"/>
                <w:sz w:val="22"/>
              </w:rPr>
              <w:t>13,079,630원</w:t>
            </w:r>
          </w:p>
        </w:tc>
      </w:tr>
      <w:tr>
        <w:tc>
          <w:tcPr>
            <w:tcW w:type="dxa" w:w="4320"/>
          </w:tcPr>
          <w:p>
            <w:r/>
            <w:r>
              <w:rPr>
                <w:rFonts w:ascii="맑은 고딕" w:hAnsi="맑은 고딕" w:eastAsia="맑은 고딕" w:cs="맑은 고딕"/>
                <w:b w:val="0"/>
                <w:i w:val="0"/>
                <w:sz w:val="22"/>
              </w:rPr>
              <w:t>총 매출</w:t>
            </w:r>
          </w:p>
        </w:tc>
        <w:tc>
          <w:tcPr>
            <w:tcW w:type="dxa" w:w="4320"/>
          </w:tcPr>
          <w:p>
            <w:r/>
            <w:r>
              <w:rPr>
                <w:rFonts w:ascii="맑은 고딕" w:hAnsi="맑은 고딕" w:eastAsia="맑은 고딕" w:cs="맑은 고딕"/>
                <w:b w:val="0"/>
                <w:i w:val="0"/>
                <w:sz w:val="22"/>
              </w:rPr>
              <w:t>78,477,783원</w:t>
            </w:r>
          </w:p>
        </w:tc>
      </w:tr>
      <w:tr>
        <w:tc>
          <w:tcPr>
            <w:tcW w:type="dxa" w:w="4320"/>
          </w:tcPr>
          <w:p>
            <w:r/>
            <w:r>
              <w:rPr>
                <w:rFonts w:ascii="맑은 고딕" w:hAnsi="맑은 고딕" w:eastAsia="맑은 고딕" w:cs="맑은 고딕"/>
                <w:b w:val="0"/>
                <w:i w:val="0"/>
                <w:sz w:val="22"/>
              </w:rPr>
              <w:t>총 예산</w:t>
            </w:r>
          </w:p>
        </w:tc>
        <w:tc>
          <w:tcPr>
            <w:tcW w:type="dxa" w:w="4320"/>
          </w:tcPr>
          <w:p>
            <w:r/>
            <w:r>
              <w:rPr>
                <w:rFonts w:ascii="맑은 고딕" w:hAnsi="맑은 고딕" w:eastAsia="맑은 고딕" w:cs="맑은 고딕"/>
                <w:b w:val="0"/>
                <w:i w:val="0"/>
                <w:sz w:val="22"/>
              </w:rPr>
              <w:t>12,237,629원</w:t>
            </w:r>
          </w:p>
        </w:tc>
      </w:tr>
      <w:tr>
        <w:tc>
          <w:tcPr>
            <w:tcW w:type="dxa" w:w="4320"/>
          </w:tcPr>
          <w:p>
            <w:r/>
            <w:r>
              <w:rPr>
                <w:rFonts w:ascii="맑은 고딕" w:hAnsi="맑은 고딕" w:eastAsia="맑은 고딕" w:cs="맑은 고딕"/>
                <w:b w:val="0"/>
                <w:i w:val="0"/>
                <w:sz w:val="22"/>
              </w:rPr>
              <w:t>수익률</w:t>
            </w:r>
          </w:p>
        </w:tc>
        <w:tc>
          <w:tcPr>
            <w:tcW w:type="dxa" w:w="4320"/>
          </w:tcPr>
          <w:p>
            <w:r/>
            <w:r>
              <w:rPr>
                <w:rFonts w:ascii="맑은 고딕" w:hAnsi="맑은 고딕" w:eastAsia="맑은 고딕" w:cs="맑은 고딕"/>
                <w:b w:val="0"/>
                <w:i w:val="0"/>
                <w:sz w:val="22"/>
              </w:rPr>
              <w:t>15.59%</w:t>
            </w:r>
          </w:p>
        </w:tc>
      </w:tr>
      <w:tr>
        <w:tc>
          <w:tcPr>
            <w:tcW w:type="dxa" w:w="4320"/>
          </w:tcPr>
          <w:p>
            <w:r/>
            <w:r>
              <w:rPr>
                <w:rFonts w:ascii="맑은 고딕" w:hAnsi="맑은 고딕" w:eastAsia="맑은 고딕" w:cs="맑은 고딕"/>
                <w:b w:val="0"/>
                <w:i w:val="0"/>
                <w:sz w:val="22"/>
              </w:rPr>
              <w:t>평균 환자수</w:t>
            </w:r>
          </w:p>
        </w:tc>
        <w:tc>
          <w:tcPr>
            <w:tcW w:type="dxa" w:w="4320"/>
          </w:tcPr>
          <w:p>
            <w:r/>
            <w:r>
              <w:rPr>
                <w:rFonts w:ascii="맑은 고딕" w:hAnsi="맑은 고딕" w:eastAsia="맑은 고딕" w:cs="맑은 고딕"/>
                <w:b w:val="0"/>
                <w:i w:val="0"/>
                <w:sz w:val="22"/>
              </w:rPr>
              <w:t>1,375명</w:t>
            </w:r>
          </w:p>
        </w:tc>
      </w:tr>
      <w:tr>
        <w:tc>
          <w:tcPr>
            <w:tcW w:type="dxa" w:w="4320"/>
          </w:tcPr>
          <w:p>
            <w:r/>
            <w:r>
              <w:rPr>
                <w:rFonts w:ascii="맑은 고딕" w:hAnsi="맑은 고딕" w:eastAsia="맑은 고딕" w:cs="맑은 고딕"/>
                <w:b w:val="0"/>
                <w:i w:val="0"/>
                <w:sz w:val="22"/>
              </w:rPr>
              <w:t>관계도</w:t>
            </w:r>
          </w:p>
        </w:tc>
        <w:tc>
          <w:tcPr>
            <w:tcW w:type="dxa" w:w="4320"/>
          </w:tcPr>
          <w:p>
            <w:r/>
            <w:r>
              <w:rPr>
                <w:rFonts w:ascii="맑은 고딕" w:hAnsi="맑은 고딕" w:eastAsia="맑은 고딕" w:cs="맑은 고딕"/>
                <w:b w:val="0"/>
                <w:i w:val="0"/>
                <w:sz w:val="22"/>
              </w:rPr>
              <w:t>315.38%</w:t>
            </w:r>
          </w:p>
        </w:tc>
      </w:tr>
    </w:tbl>
    <w:p>
      <w:pPr>
        <w:pStyle w:val="Heading2"/>
      </w:pPr>
      <w:r>
        <w:rPr>
          <w:rFonts w:ascii="맑은 고딕" w:hAnsi="맑은 고딕" w:eastAsia="맑은 고딕" w:cs="맑은 고딕"/>
          <w:b/>
          <w:i w:val="0"/>
          <w:sz w:val="28"/>
        </w:rPr>
        <w:t>등급 분석 상세</w:t>
      </w:r>
    </w:p>
    <w:p>
      <w:r>
        <w:rPr>
          <w:rFonts w:ascii="맑은 고딕" w:hAnsi="맑은 고딕" w:eastAsia="맑은 고딕" w:cs="맑은 고딕"/>
          <w:b w:val="0"/>
          <w:i w:val="0"/>
          <w:sz w:val="22"/>
        </w:rPr>
        <w:t>미라클신경과의원의 등급 분석 결과를 바탕으로 각 지표가 왜 해당 등급을 받았는지 분석하겠습니다.</w:t>
        <w:br/>
        <w:br/>
        <w:t>### 1) 각 지표의 등급 분석</w:t>
        <w:br/>
        <w:br/>
        <w:t>#### 매출</w:t>
        <w:br/>
        <w:t>- **평균매출**: 13,079,630.5원</w:t>
        <w:br/>
        <w:t>- **총매출**: 78,477,783원</w:t>
        <w:br/>
        <w:t>- **매출 등급 임계값**에 따르면, A 등급은 3,000,000원 이상입니다.</w:t>
        <w:br/>
        <w:t>- 미라클신경과의원의 평균매출은 13,079,630.5원으로 A 등급 기준을 충족합니다.</w:t>
        <w:br/>
        <w:br/>
        <w:t>#### 수익률</w:t>
        <w:br/>
        <w:t>- **수익률(%)**: 15.59%</w:t>
        <w:br/>
        <w:t>- **수익률 등급 임계값**에 따르면, C 등급은 15% 이상 20% 미만입니다.</w:t>
        <w:br/>
        <w:t>- 미라클신경과의원의 수익률은 15.59%로 C 등급에 해당합니다.</w:t>
        <w:br/>
        <w:br/>
        <w:t>#### 환자수</w:t>
        <w:br/>
        <w:t>- **평균환자수**: 1375명</w:t>
        <w:br/>
        <w:t>- **환자수 등급 임계값**에 따르면, D 등급은 1000명 이상 1400명 미만입니다.</w:t>
        <w:br/>
        <w:t>- 미라클신경과의원의 평균환자수는 1375명으로 D 등급에 해당합니다.</w:t>
        <w:br/>
        <w:br/>
        <w:t>#### 관계도</w:t>
        <w:br/>
        <w:t>- **관계도(%)**: 315.38%</w:t>
        <w:br/>
        <w:t>- **관계도 등급 임계값**에 따르면, A 등급은 60% 이상입니다.</w:t>
        <w:br/>
        <w:t>- 미라클신경과의원의 관계도는 315.38%로 A 등급 기준을 훨씬 초과합니다.</w:t>
        <w:br/>
        <w:br/>
        <w:t>### 2) 최종등급 산정 로직</w:t>
        <w:br/>
        <w:br/>
        <w:t>최종등급은 각 지표의 등급 점수를 평균 내어 반올림하여 산정됩니다. 각 등급에 점수를 부여하면 다음과 같습니다:</w:t>
        <w:br/>
        <w:t>- 매출 등급 A: 5점</w:t>
        <w:br/>
        <w:t>- 수익률 등급 C: 3점</w:t>
        <w:br/>
        <w:t>- 환자수 등급 D: 2점</w:t>
        <w:br/>
        <w:t>- 관계도 등급 A: 5점</w:t>
        <w:br/>
        <w:br/>
        <w:t>평균 점수 = (5 + 3 + 2 + 5) / 4 = 3.75</w:t>
        <w:br/>
        <w:br/>
        <w:t>평균 점수를 반올림하면 4가 되며, 이는 B 등급에 해당합니다.</w:t>
        <w:br/>
        <w:br/>
        <w:t>### 3) 간단한 개선포인트</w:t>
        <w:br/>
        <w:br/>
        <w:t>- **수익률 개선**: 수익률이 C 등급으로, 비용 절감이나 매출 증가를 통해 수익률을 B 등급 이상으로 개선할 필요가 있습니다. 예산을 효율적으로 배분하거나 고수익 제품의 판매를 늘리는 전략이 필요합니다.</w:t>
        <w:br/>
        <w:t xml:space="preserve">  </w:t>
        <w:br/>
        <w:t>- **환자수 증가**: 환자수가 D 등급으로, 환자수를 늘리기 위한 마케팅 전략이나 서비스 개선이 필요합니다. 신규 환자를 유치하거나 기존 환자의 재방문을 유도하는 프로그램을 고려해볼 수 있습니다.</w:t>
        <w:br/>
        <w:br/>
        <w:t>이러한 개선을 통해 미라클신경과의원의 전반적인 등급을 향상시킬 수 있을 것입니다.</w:t>
      </w:r>
    </w:p>
    <w:p>
      <w:r>
        <w:br w:type="page"/>
      </w:r>
    </w:p>
    <w:p>
      <w:pPr>
        <w:pStyle w:val="Heading1"/>
      </w:pPr>
      <w:r>
        <w:rPr>
          <w:rFonts w:ascii="맑은 고딕" w:hAnsi="맑은 고딕" w:eastAsia="맑은 고딕" w:cs="맑은 고딕"/>
          <w:b/>
          <w:i w:val="0"/>
          <w:sz w:val="32"/>
        </w:rPr>
        <w:t>2. 동일 등급 비교 분석</w:t>
      </w:r>
    </w:p>
    <w:p>
      <w:r>
        <w:rPr>
          <w:rFonts w:ascii="맑은 고딕" w:hAnsi="맑은 고딕" w:eastAsia="맑은 고딕" w:cs="맑은 고딕"/>
          <w:b w:val="0"/>
          <w:i w:val="0"/>
          <w:sz w:val="22"/>
        </w:rPr>
        <w:t># 미라클신경과의원 매출 및 예산 사용 분석 보고서</w:t>
        <w:br/>
        <w:br/>
        <w:t>## 1. 서론</w:t>
        <w:br/>
        <w:t>본 보고서는 2024년 1월부터 6월까지의 미라클신경과의원의 매출 및 예산 사용 데이터를 기반으로, 같은 진료과 및 다른 진료과 병원들과의 비교 분석을 통해 우위 및 열위 지표를 파악하고 개선 포인트를 제안하고자 합니다.</w:t>
        <w:br/>
        <w:br/>
        <w:t>## 2. 매출 비교 분석</w:t>
        <w:br/>
        <w:br/>
        <w:t>### 2.1 대상 병원 매출</w:t>
        <w:br/>
        <w:t>- **미라클신경과의원 평균 매출**: 13,079,630원</w:t>
        <w:br/>
        <w:br/>
        <w:t>### 2.2 같은 진료과 병원 매출</w:t>
        <w:br/>
        <w:t>- **같은 진료과 &amp; 동일 등급 병원 평균 매출**: 1,305,892원</w:t>
        <w:br/>
        <w:br/>
        <w:t>### 2.3 매출 비교</w:t>
        <w:br/>
        <w:t>- 미라클신경과의원의 평균 매출은 같은 진료과 병원 평균 매출보다 **약 10배** 높습니다. 이는 미라클신경과의원이 같은 진료과 병원들에 비해 상당히 높은 매출을 기록하고 있음을 나타냅니다.</w:t>
        <w:br/>
        <w:br/>
        <w:t>### 2.4 개선 포인트</w:t>
        <w:br/>
        <w:t>- 높은 매출을 유지하기 위해 지속적인 고객 관리와 만족도 향상 프로그램을 운영해야 합니다.</w:t>
        <w:br/>
        <w:t>- 매출 증가 요인을 분석하여 다른 병원들과의 차별화된 강점을 강화하는 전략을 수립할 필요가 있습니다.</w:t>
        <w:br/>
        <w:br/>
        <w:t>## 3. 예산 사용 비교 분석</w:t>
        <w:br/>
        <w:br/>
        <w:t>### 3.1 대상 병원 예산 사용</w:t>
        <w:br/>
        <w:t>- **미라클신경과의원 평균 사용 예산**: 2,039,605원</w:t>
        <w:br/>
        <w:br/>
        <w:t>### 3.2 다른 진료과 병원 예산 사용</w:t>
        <w:br/>
        <w:t>- **다른 진료과 &amp; 동일 등급 병원 평균 사용 예산**: 0원</w:t>
        <w:br/>
        <w:br/>
        <w:t>### 3.3 예산 사용 비교</w:t>
        <w:br/>
        <w:t>- 미라클신경과의원은 다른 진료과 병원에 비해 예산을 사용하고 있습니다. 다른 진료과 병원들은 예산 사용이 없으므로, 미라클신경과의원의 예산 사용이 상대적으로 높다고 볼 수 있습니다.</w:t>
        <w:br/>
        <w:br/>
        <w:t>### 3.4 개선 포인트</w:t>
        <w:br/>
        <w:t>- 예산 사용의 효율성을 높이기 위해 예산 사용 항목을 세분화하고, 비용 대비 효과를 분석하여 불필요한 지출을 줄일 수 있는 방안을 모색해야 합니다.</w:t>
        <w:br/>
        <w:t>- 예산 사용이 매출 증가에 어떻게 기여하고 있는지를 파악하고, 필요 시 예산 재분배를 고려해야 합니다.</w:t>
        <w:br/>
        <w:br/>
        <w:t>## 4. 결론</w:t>
        <w:br/>
        <w:t>미라클신경과의원은 같은 진료과 병원들에 비해 높은 매출을 기록하고 있으며, 이는 긍정적인 지표로 평가됩니다. 그러나 예산 사용 측면에서는 다른 진료과 병원들과 비교하여 개선의 여지가 있습니다. 지속적인 매출 성장을 위해 고객 관리와 서비스 품질을 강화하고, 예산 사용의 효율성을 높이는 전략이 필요합니다.</w:t>
      </w:r>
    </w:p>
    <w:p>
      <w:r>
        <w:br w:type="page"/>
      </w:r>
    </w:p>
    <w:p>
      <w:pPr>
        <w:pStyle w:val="Heading1"/>
      </w:pPr>
      <w:r>
        <w:rPr>
          <w:rFonts w:ascii="맑은 고딕" w:hAnsi="맑은 고딕" w:eastAsia="맑은 고딕" w:cs="맑은 고딕"/>
          <w:b/>
          <w:i w:val="0"/>
          <w:sz w:val="32"/>
        </w:rPr>
        <w:t>3. 성장성 분석</w:t>
      </w:r>
    </w:p>
    <w:p>
      <w:r>
        <w:rPr>
          <w:rFonts w:ascii="맑은 고딕" w:hAnsi="맑은 고딕" w:eastAsia="맑은 고딕" w:cs="맑은 고딕"/>
          <w:b w:val="0"/>
          <w:i w:val="0"/>
          <w:sz w:val="22"/>
        </w:rPr>
        <w:t>### 협력 관계 성장성 분석</w:t>
        <w:br/>
        <w:br/>
        <w:t>#### 1. 월별 매출 및 예산 추이 분석</w:t>
        <w:br/>
        <w:br/>
        <w:t>- **매출 추이**: 분석 기간 동안 매출은 202401에 1.2987억 원에서 시작하여 202406에 1.25134억 원으로 감소했습니다. 전체적으로 매출 성장률은 -3.65%로, 매출이 감소하는 경향을 보였습니다.</w:t>
        <w:br/>
        <w:t xml:space="preserve">  </w:t>
        <w:br/>
        <w:t>- **예산 추이**: 예산은 202401에 2.1391백만 원에서 시작하여 202406에 2.47242백만 원으로 증가했습니다. 예산 성장률은 15.58%로, 예산이 증가하는 경향을 보였습니다.</w:t>
        <w:br/>
        <w:br/>
        <w:t>이러한 매출과 예산의 상반된 추이는 협력 관계가 균형적으로 성장하지 않고 있음을 시사합니다. 예산이 증가함에도 불구하고 매출이 감소하는 것은 자원의 효율적 사용에 문제가 있을 수 있음을 나타냅니다.</w:t>
        <w:br/>
        <w:br/>
        <w:t>#### 2. 관계 불균형 가능성</w:t>
        <w:br/>
        <w:br/>
        <w:t>매출이 감소하는 반면 예산이 증가하는 상황은 관계 불균형의 가능성을 제기합니다. 이는 예산이 효과적으로 사용되지 않거나, 시장 상황이나 병원의 수요 변화에 적절히 대응하지 못하고 있음을 의미할 수 있습니다. 이러한 불균형은 장기적으로 협력 관계에 부정적인 영향을 미칠 수 있습니다.</w:t>
        <w:br/>
        <w:br/>
        <w:t>#### 3. 수요와 공급 관점에서의 상호작용 분석</w:t>
        <w:br/>
        <w:br/>
        <w:t>- **수요(병원 측)**: 병원의 수요가 감소했을 가능성이 있습니다. 이는 병원의 내부 사정, 환자 수 감소, 또는 경쟁 병원의 증가 등 외부 요인에 의해 영향을 받았을 수 있습니다.</w:t>
        <w:br/>
        <w:br/>
        <w:t>- **공급(우리 회사)**: 예산이 증가했음에도 불구하고 매출이 감소한 것은 우리 회사의 공급 전략이 병원의 수요 변화에 적절히 대응하지 못했음을 나타냅니다. 이는 제품의 경쟁력 부족, 마케팅 전략의 비효율성, 또는 병원과의 커뮤니케이션 부족 등 다양한 요인에 기인할 수 있습니다.</w:t>
        <w:br/>
        <w:br/>
        <w:t>#### 4. 방문 횟수 추이를 통한 영업 활동 강도 평가</w:t>
        <w:br/>
        <w:br/>
        <w:t>- **방문 횟수 추이**: 시작 월(202401)에는 5회 방문하였으나, 종료 월(202406)에는 4회로 감소했습니다. 기간 평균 방문 횟수는 4.5회로, 전반적으로 방문 횟수가 감소하는 경향을 보입니다.</w:t>
        <w:br/>
        <w:br/>
        <w:t>- **영업 활동 강도 변화**: 방문 횟수의 감소는 영업 활동 강도가 약화되었음을 나타냅니다. 이는 병원과의 관계 유지 및 강화에 부정적인 영향을 미칠 수 있으며, 매출 감소의 원인 중 하나일 수 있습니다.</w:t>
        <w:br/>
        <w:br/>
        <w:t>### 결론</w:t>
        <w:br/>
        <w:br/>
        <w:t>분석 결과, 매출 감소와 예산 증가의 불균형은 협력 관계의 비효율성을 나타내며, 방문 횟수 감소는 영업 활동 강도의 약화를 시사합니다. 이러한 문제를 해결하기 위해서는 병원의 수요 변화에 대한 정확한 분석과 이에 맞춘 공급 전략의 조정이 필요합니다. 또한, 병원과의 긴밀한 커뮤니케이션을 통해 관계를 강화하고, 영업 활동의 강도를 적절히 조절할 필요가 있습니다.</w:t>
      </w:r>
    </w:p>
    <w:p>
      <w:r>
        <w:br w:type="page"/>
      </w:r>
    </w:p>
    <w:p>
      <w:pPr>
        <w:pStyle w:val="Heading1"/>
      </w:pPr>
      <w:r>
        <w:rPr>
          <w:rFonts w:ascii="맑은 고딕" w:hAnsi="맑은 고딕" w:eastAsia="맑은 고딕" w:cs="맑은 고딕"/>
          <w:b/>
          <w:i w:val="0"/>
          <w:sz w:val="32"/>
        </w:rPr>
        <w:t>4. 영업 전략 제안</w:t>
      </w:r>
    </w:p>
    <w:p>
      <w:r>
        <w:rPr>
          <w:rFonts w:ascii="맑은 고딕" w:hAnsi="맑은 고딕" w:eastAsia="맑은 고딕" w:cs="맑은 고딕"/>
          <w:b w:val="0"/>
          <w:i w:val="0"/>
          <w:sz w:val="22"/>
        </w:rPr>
        <w:t>### 미라클신경과의원 영업전략 분석 보고서</w:t>
        <w:br/>
        <w:br/>
        <w:t>#### 1. 핵심 분석 포인트 및 해석</w:t>
        <w:br/>
        <w:br/>
        <w:t>미라클신경과의원의 주요 지표는 다음과 같습니다:</w:t>
        <w:br/>
        <w:t>- **환자수 평균**: 1375.0</w:t>
        <w:br/>
        <w:t>- **방문 횟수 평균**: 4.2</w:t>
        <w:br/>
        <w:t>- **매출 평균**: 13419304.6</w:t>
        <w:br/>
        <w:br/>
        <w:t>이 수치는 전체 거래처 평균과 비교했을 때 다음과 같은 특징을 보입니다:</w:t>
        <w:br/>
        <w:t>- 환자수는 전체 평균(1824.6)보다 낮습니다.</w:t>
        <w:br/>
        <w:t>- 방문 횟수는 전체 평균(3.1)보다 높습니다.</w:t>
        <w:br/>
        <w:t>- 매출은 전체 평균(1138809.7)보다 현저히 높습니다.</w:t>
        <w:br/>
        <w:br/>
        <w:t>이러한 지표는 미라클신경과의원이 상대적으로 적은 환자수를 보유하고 있지만, 환자당 방문 횟수가 많고, 높은 매출을 기록하고 있음을 나타냅니다. 이는 고가의 치료나 서비스가 제공되고 있거나, 충성도 높은 환자층이 형성되어 있음을 시사합니다.</w:t>
        <w:br/>
        <w:br/>
        <w:t>#### 2. 문제점 및 기회 요인 분석</w:t>
        <w:br/>
        <w:br/>
        <w:t>- **환자수**: 전체 평균보다 낮은 환자수는 신규 환자 유입이 부족할 가능성을 제기합니다. 이는 지역 내 경쟁, 마케팅 부족, 또는 특정 진료 분야에 대한 인식 부족 등이 원인일 수 있습니다.</w:t>
        <w:br/>
        <w:t xml:space="preserve">  </w:t>
        <w:br/>
        <w:t>- **방문 횟수**: 높은 방문 횟수는 환자 충성도가 높거나, 지속적인 관리가 필요한 치료를 제공하고 있음을 의미합니다. 이는 긍정적인 요소로, 환자와의 관계를 강화할 수 있는 기회가 됩니다.</w:t>
        <w:br/>
        <w:t xml:space="preserve">  </w:t>
        <w:br/>
        <w:t>- **매출**: 높은 매출은 고가의 서비스나 치료를 제공하고 있음을 나타냅니다. 이는 프리미엄 서비스에 대한 수요가 있음을 시사하며, 이러한 수요를 더욱 확대할 수 있는 기회가 존재합니다.</w:t>
        <w:br/>
        <w:br/>
        <w:t>#### 3. 실행 가능한 영업 전략 제안</w:t>
        <w:br/>
        <w:br/>
        <w:t>1. **방문 전략**: 기존 환자와의 관계를 강화하기 위해 정기적인 방문 및 피드백 수집을 통해 맞춤형 서비스를 제공할 수 있습니다. 또한, 신규 환자 유입을 위해 지역 사회와의 연계를 강화하고, 온라인 마케팅을 통해 인지도를 높이는 전략이 필요합니다.</w:t>
        <w:br/>
        <w:br/>
        <w:t>2. **제품 포트폴리오**: 고가의 치료나 서비스가 주요 매출원인 만큼, 관련 제품이나 서비스를 더욱 다양화하여 환자 선택의 폭을 넓히는 것이 중요합니다. 예를 들어, 패키지 상품이나 추가적인 프리미엄 서비스를 개발할 수 있습니다.</w:t>
        <w:br/>
        <w:br/>
        <w:t>3. **예산 배분**: 마케팅 및 홍보에 대한 예산을 증대하여 신규 환자 유입을 촉진할 필요가 있습니다. 특히, 디지털 마케팅과 지역 광고에 집중하여 인지도를 높이는 것이 효과적일 것입니다.</w:t>
        <w:br/>
        <w:br/>
        <w:t>4. **프로모션**: 신규 환자 유치를 위한 첫 방문 할인이나 추천인 프로그램을 도입하여 환자 기반을 확대할 수 있습니다. 또한, 기존 환자를 대상으로 한 로열티 프로그램을 통해 방문 횟수를 유지하고 매출을 증대시킬 수 있습니다.</w:t>
        <w:br/>
        <w:br/>
        <w:t>#### 4. 결론</w:t>
        <w:br/>
        <w:br/>
        <w:t>미라클신경과의원은 현재 안정적인 고객 기반을 유지하고 있으며, 높은 매출을 기록하고 있습니다. 그러나 환자수 증가를 위한 전략적 접근이 필요합니다. 이를 위해 신규 환자 유입을 촉진하고, 기존 환자와의 관계를 강화하는 방향으로 영업 전략을 수립해야 합니다. 이를 통해 미라클신경과의원의 지속적인 성장을 도모할 수 있을 것입니다.</w:t>
      </w:r>
    </w:p>
    <w:p>
      <w:r>
        <w:br w:type="page"/>
      </w:r>
    </w:p>
    <w:p>
      <w:pPr>
        <w:pStyle w:val="Heading1"/>
      </w:pPr>
      <w:r>
        <w:rPr>
          <w:rFonts w:ascii="맑은 고딕" w:hAnsi="맑은 고딕" w:eastAsia="맑은 고딕" w:cs="맑은 고딕"/>
          <w:b/>
          <w:i w:val="0"/>
          <w:sz w:val="32"/>
        </w:rPr>
        <w:t>5. 종합 분석</w:t>
      </w:r>
    </w:p>
    <w:p>
      <w:r>
        <w:rPr>
          <w:rFonts w:ascii="맑은 고딕" w:hAnsi="맑은 고딕" w:eastAsia="맑은 고딕" w:cs="맑은 고딕"/>
          <w:b w:val="0"/>
          <w:i w:val="0"/>
          <w:sz w:val="22"/>
        </w:rPr>
        <w:t>## 미라클신경과의원 통합 보고서</w:t>
        <w:br/>
        <w:br/>
        <w:t>### 1. 서론</w:t>
        <w:br/>
        <w:t>본 보고서는 미라클신경과의원의 영업 데이터를 기반으로 한 등급 분석, 동일 등급 비교 분석, 성장성 분석, 그리고 영업 전략 제안을 종합하여 작성되었습니다. 이를 통해 미라클신경과의원의 현재 상황을 진단하고, 향후 개선 방향을 제시하고자 합니다.</w:t>
        <w:br/>
        <w:br/>
        <w:t>### 2. 등급 분석 요약</w:t>
        <w:br/>
        <w:t>미라클신경과의원은 매출 등급 A, 수익률 등급 C, 환자수 등급 D, 관계도 등급 A로 평가되었습니다. 최종등급은 B로 산정되었습니다. 매출과 관계도에서 우수한 성과를 보였으나, 수익률과 환자수에서 개선의 여지가 있습니다.</w:t>
        <w:br/>
        <w:br/>
        <w:t>### 3. 동일 등급 비교 분석</w:t>
        <w:br/>
        <w:t>미라클신경과의원의 평균 매출은 같은 진료과 병원 평균 매출보다 약 10배 높아, 높은 매출을 기록하고 있습니다. 그러나 예산 사용이 다른 진료과 병원에 비해 상대적으로 높아, 예산 사용의 효율성을 높일 필요가 있습니다.</w:t>
        <w:br/>
        <w:br/>
        <w:t>### 4. 성장성 분석</w:t>
        <w:br/>
        <w:t>매출은 감소 추세를 보이는 반면, 예산은 증가 추세를 보였습니다. 이는 자원의 효율적 사용에 문제가 있을 수 있음을 나타내며, 방문 횟수의 감소는 영업 활동 강도의 약화를 시사합니다. 따라서 병원의 수요 변화에 대한 정확한 분석과 공급 전략의 조정이 필요합니다.</w:t>
        <w:br/>
        <w:br/>
        <w:t>### 5. 영업 전략 제안</w:t>
        <w:br/>
        <w:t>1. **방문 전략 강화**: 기존 환자와의 관계를 강화하고, 신규 환자 유입을 위해 지역 사회와의 연계를 강화해야 합니다.</w:t>
        <w:br/>
        <w:t>2. **제품 포트폴리오 다양화**: 고가의 치료나 서비스를 다양화하여 환자 선택의 폭을 넓히는 것이 중요합니다.</w:t>
        <w:br/>
        <w:t>3. **예산 배분 최적화**: 마케팅 및 홍보에 대한 예산을 증대하여 신규 환자 유입을 촉진해야 합니다.</w:t>
        <w:br/>
        <w:t>4. **프로모션 전략**: 신규 환자 유치를 위한 할인 프로그램과 기존 환자를 위한 로열티 프로그램을 도입하여 환자 기반을 확대할 수 있습니다.</w:t>
        <w:br/>
        <w:br/>
        <w:t>### 6. 결론</w:t>
        <w:br/>
        <w:t>미라클신경과의원은 높은 매출을 기록하고 있으나, 수익률과 환자수에서 개선이 필요합니다. 이를 위해 영업 전략을 조정하고, 자원의 효율적 사용을 통해 지속적인 성장을 도모해야 합니다. 고객 관리와 서비스 품질을 강화하고, 예산 사용의 효율성을 높이는 전략이 필요합니다. 이를 통해 미라클신경과의원의 전반적인 성과를 향상시킬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