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데이터 수집 및 저장</w:t>
      </w:r>
      <w:r w:rsidDel="00000000" w:rsidR="00000000" w:rsidRPr="00000000">
        <w:rPr>
          <w:b w:val="1"/>
          <w:sz w:val="36"/>
          <w:szCs w:val="36"/>
          <w:rtl w:val="0"/>
        </w:rPr>
        <w:t xml:space="preserve"> 데이터 조회 프로그램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before="0" w:line="360" w:lineRule="auto"/>
        <w:ind w:left="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rHeight w:val="450.8203125" w:hRule="atLeast"/>
          <w:tblHeader w:val="0"/>
        </w:trPr>
        <w:tc>
          <w:tcPr>
            <w:shd w:fill="c9d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 데이터 수집 및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조회 프로그램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2025. 07.11.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깃허브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16"/>
                  <w:szCs w:val="16"/>
                  <w:u w:val="single"/>
                  <w:rtl w:val="0"/>
                </w:rPr>
                <w:t xml:space="preserve">https://github.com/SKNETWORKS-FAMILY-AICAMP/SKN12-FINAL-1TEAM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손현성</w:t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360" w:lineRule="auto"/>
        <w:rPr>
          <w:rFonts w:ascii="Gulim" w:cs="Gulim" w:eastAsia="Gulim" w:hAnsi="Gulim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원본 데이터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(텍스트)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8"/>
                <w:szCs w:val="18"/>
                <w:rtl w:val="0"/>
              </w:rPr>
              <w:t xml:space="preserve">[사내 내부규정 docx 문서]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종은제약 행동강령.docx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좋은제약 자율준수 관리규정.docx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좋은제약 공시정보 관리규정.docx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좋은제약 윤리강령.docx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좋은제약 복리후생 규정.docx</w:t>
            </w:r>
          </w:p>
        </w:tc>
      </w:tr>
      <w:tr>
        <w:trPr>
          <w:cantSplit w:val="0"/>
          <w:trHeight w:val="1524.9999999999998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데이터 전처리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과정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좋은제약 사내규정 문서는 법률처럼 제n항, 제n조 형태로 구성되어 있음.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left"/>
              <w:rPr>
                <w:rFonts w:ascii="Gulim" w:cs="Gulim" w:eastAsia="Gulim" w:hAnsi="Gulim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8"/>
                <w:szCs w:val="18"/>
                <w:rtl w:val="0"/>
              </w:rPr>
              <w:t xml:space="preserve">[사내 내부규정 docx 문서]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Chat GPT 4o 모델을 사용하여 ‘항’과 ‘조’를 기준으로 chunking하였음.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(문서명,장,조,문서내용)을 .jsonl 형식으로 변환함.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DB 사용 용도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8"/>
                <w:szCs w:val="18"/>
                <w:rtl w:val="0"/>
              </w:rPr>
              <w:t xml:space="preserve">[Vector DB]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사내 규정 위반사항을 확인할 시, 사내 규정을 확인하기 위해  RAG를 사용함.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sz w:val="18"/>
                <w:szCs w:val="18"/>
              </w:rPr>
            </w:pPr>
            <w:r w:rsidDel="00000000" w:rsidR="00000000" w:rsidRPr="00000000">
              <w:rPr>
                <w:rFonts w:ascii="Gulim" w:cs="Gulim" w:eastAsia="Gulim" w:hAnsi="Gulim"/>
                <w:sz w:val="18"/>
                <w:szCs w:val="18"/>
                <w:rtl w:val="0"/>
              </w:rPr>
              <w:t xml:space="preserve">이를 위해 전처리가 끝난 jsonl파일을 opensearch에 색인함.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22"/>
                <w:szCs w:val="22"/>
                <w:rtl w:val="0"/>
              </w:rPr>
              <w:t xml:space="preserve">VectorDB 구조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ulim" w:cs="Gulim" w:eastAsia="Gulim" w:hAnsi="Gulim"/>
                <w:sz w:val="22"/>
                <w:szCs w:val="22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</w:rPr>
              <w:drawing>
                <wp:inline distB="114300" distT="114300" distL="114300" distR="114300">
                  <wp:extent cx="4448175" cy="2349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175" cy="234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sz w:val="16"/>
                <w:szCs w:val="16"/>
                <w:rtl w:val="0"/>
              </w:rPr>
              <w:t xml:space="preserve">&lt;사내 내부규정 Opensearch Vector DB&gt;</w:t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="360" w:lineRule="auto"/>
        <w:rPr>
          <w:rFonts w:ascii="Gulim" w:cs="Gulim" w:eastAsia="Gulim" w:hAnsi="Gulim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720" w:hanging="360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1440" w:hanging="360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ithub.com/SKNETWORKS-FAMILY-AICAMP/SKN12-FINAL-1TEA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