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기술 실사(Technical Due Diligence) 보고서</w:t>
      </w:r>
    </w:p>
    <w:p>
      <w:pPr>
        <w:jc w:val="right"/>
      </w:pPr>
      <w:r>
        <w:t>대상: 주식회사 데이터브릿지 | 의뢰: 넥스트이노베이션 전략투자팀 | 극비</w:t>
      </w:r>
    </w:p>
    <w:p>
      <w:pPr>
        <w:jc w:val="right"/>
      </w:pPr>
      <w:r>
        <w:t>실사 기간: 2025년 2월 3일 ~ 2월 21일 (3주)</w:t>
      </w:r>
    </w:p>
    <w:p>
      <w:pPr>
        <w:pStyle w:val="Heading2"/>
      </w:pPr>
      <w:r>
        <w:rPr>
          <w:color w:val="1A1A2E"/>
        </w:rPr>
        <w:t>1. Executive Summary</w:t>
      </w:r>
    </w:p>
    <w:p>
      <w:r>
        <w:t>데이터브릿지(이하 '대상회사')는 2021년 설립된 AI 기반 문서 보안 및 전자서명 스타트업으로, 현재 시리즈 B 단계(누적 투자 120억 원)이다. 당사의 AutoFlow 제품군과의 전략적 시너지가 높으며, 인수 시 문서 보안·전자서명 기능을 자체 제품에 통합하여 엔터프라이즈 시장 경쟁력을 크게 강화할 수 있다. 다만, 기술 부채와 인력 의존도에 대한 리스크 요인이 존재하므로 단계적 통합 전략이 필요하다.</w:t>
      </w:r>
    </w:p>
    <w:p>
      <w:r>
        <w:t>종합 평가: 기술력 B+ / 제품 완성도 B / 확장성 A- / 팀 역량 A / 기술 부채 C+</w:t>
      </w:r>
    </w:p>
    <w:p>
      <w:pPr>
        <w:pStyle w:val="Heading2"/>
      </w:pPr>
      <w:r>
        <w:rPr>
          <w:color w:val="1A1A2E"/>
        </w:rPr>
        <w:t>2. 회사 개요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설립일</w:t>
            </w:r>
          </w:p>
        </w:tc>
        <w:tc>
          <w:tcPr>
            <w:tcW w:type="dxa" w:w="4320"/>
          </w:tcPr>
          <w:p>
            <w:r>
              <w:t>2021년 6월 15일</w:t>
            </w:r>
          </w:p>
        </w:tc>
      </w:tr>
      <w:tr>
        <w:tc>
          <w:tcPr>
            <w:tcW w:type="dxa" w:w="4320"/>
          </w:tcPr>
          <w:p>
            <w:r>
              <w:t>대표이사</w:t>
            </w:r>
          </w:p>
        </w:tc>
        <w:tc>
          <w:tcPr>
            <w:tcW w:type="dxa" w:w="4320"/>
          </w:tcPr>
          <w:p>
            <w:r>
              <w:t>장현우 (前 네이버 클로바 시니어 엔지니어)</w:t>
            </w:r>
          </w:p>
        </w:tc>
      </w:tr>
      <w:tr>
        <w:tc>
          <w:tcPr>
            <w:tcW w:type="dxa" w:w="4320"/>
          </w:tcPr>
          <w:p>
            <w:r>
              <w:t>직원 수</w:t>
            </w:r>
          </w:p>
        </w:tc>
        <w:tc>
          <w:tcPr>
            <w:tcW w:type="dxa" w:w="4320"/>
          </w:tcPr>
          <w:p>
            <w:r>
              <w:t>47명 (개발 28명, 기획 8명, 영업 6명, 경영지원 5명)</w:t>
            </w:r>
          </w:p>
        </w:tc>
      </w:tr>
      <w:tr>
        <w:tc>
          <w:tcPr>
            <w:tcW w:type="dxa" w:w="4320"/>
          </w:tcPr>
          <w:p>
            <w:r>
              <w:t>주요 투자자</w:t>
            </w:r>
          </w:p>
        </w:tc>
        <w:tc>
          <w:tcPr>
            <w:tcW w:type="dxa" w:w="4320"/>
          </w:tcPr>
          <w:p>
            <w:r>
              <w:t>알토스벤처스, 소프트뱅크벤처스아시아, 카카오벤처스</w:t>
            </w:r>
          </w:p>
        </w:tc>
      </w:tr>
      <w:tr>
        <w:tc>
          <w:tcPr>
            <w:tcW w:type="dxa" w:w="4320"/>
          </w:tcPr>
          <w:p>
            <w:r>
              <w:t>2024년 매출</w:t>
            </w:r>
          </w:p>
        </w:tc>
        <w:tc>
          <w:tcPr>
            <w:tcW w:type="dxa" w:w="4320"/>
          </w:tcPr>
          <w:p>
            <w:r>
              <w:t>38억 원 (전년 대비 +142%)</w:t>
            </w:r>
          </w:p>
        </w:tc>
      </w:tr>
      <w:tr>
        <w:tc>
          <w:tcPr>
            <w:tcW w:type="dxa" w:w="4320"/>
          </w:tcPr>
          <w:p>
            <w:r>
              <w:t>주요 고객</w:t>
            </w:r>
          </w:p>
        </w:tc>
        <w:tc>
          <w:tcPr>
            <w:tcW w:type="dxa" w:w="4320"/>
          </w:tcPr>
          <w:p>
            <w:r>
              <w:t>법무법인 김앤장, 현대자동차, 삼성전자, 국민은행 등 52개사</w:t>
            </w:r>
          </w:p>
        </w:tc>
      </w:tr>
      <w:tr>
        <w:tc>
          <w:tcPr>
            <w:tcW w:type="dxa" w:w="4320"/>
          </w:tcPr>
          <w:p>
            <w:r>
              <w:t>핵심 제품</w:t>
            </w:r>
          </w:p>
        </w:tc>
        <w:tc>
          <w:tcPr>
            <w:tcW w:type="dxa" w:w="4320"/>
          </w:tcPr>
          <w:p>
            <w:r>
              <w:t>DocShield(문서 보안), SignFlow(전자서명), DataVault(암호화 저장)</w:t>
            </w:r>
          </w:p>
        </w:tc>
      </w:tr>
    </w:tbl>
    <w:p/>
    <w:p>
      <w:pPr>
        <w:pStyle w:val="Heading2"/>
      </w:pPr>
      <w:r>
        <w:rPr>
          <w:color w:val="1A1A2E"/>
        </w:rPr>
        <w:t>3. 기술 아키텍처 분석</w:t>
      </w:r>
    </w:p>
    <w:p>
      <w:pPr>
        <w:pStyle w:val="Heading3"/>
      </w:pPr>
      <w:r>
        <w:rPr>
          <w:color w:val="1A1A2E"/>
        </w:rPr>
        <w:t>3.1 시스템 구성</w:t>
      </w:r>
    </w:p>
    <w:p>
      <w:r>
        <w:t>대상회사의 시스템은 마이크로서비스 아키텍처(MSA)로 구성되어 있으며, Kubernetes(AWS EKS) 기반으로 운영된다. 총 14개의 마이크로서비스가 존재하며, 서비스 간 통신은 gRPC(내부) + REST API(외부)를 사용한다.</w:t>
        <w:br/>
        <w:br/>
        <w:t>주요 기술 스택:</w:t>
        <w:br/>
        <w:t xml:space="preserve">  - Backend: Go (12개 서비스), Python (2개 서비스, ML 관련)</w:t>
        <w:br/>
        <w:t xml:space="preserve">  - Frontend: React + TypeScript, Next.js 14 (App Router)</w:t>
        <w:br/>
        <w:t xml:space="preserve">  - Database: PostgreSQL 15 (Primary), Redis 7 (Cache/Session), MongoDB (로그)</w:t>
        <w:br/>
        <w:t xml:space="preserve">  - Message Queue: Apache Kafka (이벤트 스트리밍)</w:t>
        <w:br/>
        <w:t xml:space="preserve">  - ML/AI: PyTorch, ONNX Runtime (문서 위변조 탐지 모델)</w:t>
        <w:br/>
        <w:t xml:space="preserve">  - Infra: AWS EKS, Terraform, ArgoCD, Prometheus/Grafana</w:t>
      </w:r>
    </w:p>
    <w:p>
      <w:pPr>
        <w:pStyle w:val="Heading3"/>
      </w:pPr>
      <w:r>
        <w:rPr>
          <w:color w:val="1A1A2E"/>
        </w:rPr>
        <w:t>3.2 코드 품질 분석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지표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현재 수치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업계 기준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평가</w:t>
            </w:r>
          </w:p>
        </w:tc>
      </w:tr>
      <w:tr>
        <w:tc>
          <w:tcPr>
            <w:tcW w:type="dxa" w:w="2160"/>
          </w:tcPr>
          <w:p>
            <w:r>
              <w:t>테스트 커버리지 (Go)</w:t>
            </w:r>
          </w:p>
        </w:tc>
        <w:tc>
          <w:tcPr>
            <w:tcW w:type="dxa" w:w="2160"/>
          </w:tcPr>
          <w:p>
            <w:r>
              <w:t>73.2%</w:t>
            </w:r>
          </w:p>
        </w:tc>
        <w:tc>
          <w:tcPr>
            <w:tcW w:type="dxa" w:w="2160"/>
          </w:tcPr>
          <w:p>
            <w:r>
              <w:t>80%+</w:t>
            </w:r>
          </w:p>
        </w:tc>
        <w:tc>
          <w:tcPr>
            <w:tcW w:type="dxa" w:w="2160"/>
          </w:tcPr>
          <w:p>
            <w:r>
              <w:t>미흡 — 핵심 비즈니스 로직 커버리지 부족</w:t>
            </w:r>
          </w:p>
        </w:tc>
      </w:tr>
      <w:tr>
        <w:tc>
          <w:tcPr>
            <w:tcW w:type="dxa" w:w="2160"/>
          </w:tcPr>
          <w:p>
            <w:r>
              <w:t>테스트 커버리지 (Python)</w:t>
            </w:r>
          </w:p>
        </w:tc>
        <w:tc>
          <w:tcPr>
            <w:tcW w:type="dxa" w:w="2160"/>
          </w:tcPr>
          <w:p>
            <w:r>
              <w:t>61.8%</w:t>
            </w:r>
          </w:p>
        </w:tc>
        <w:tc>
          <w:tcPr>
            <w:tcW w:type="dxa" w:w="2160"/>
          </w:tcPr>
          <w:p>
            <w:r>
              <w:t>75%+</w:t>
            </w:r>
          </w:p>
        </w:tc>
        <w:tc>
          <w:tcPr>
            <w:tcW w:type="dxa" w:w="2160"/>
          </w:tcPr>
          <w:p>
            <w:r>
              <w:t>미흡 — ML 파이프라인 테스트 거의 없음</w:t>
            </w:r>
          </w:p>
        </w:tc>
      </w:tr>
      <w:tr>
        <w:tc>
          <w:tcPr>
            <w:tcW w:type="dxa" w:w="2160"/>
          </w:tcPr>
          <w:p>
            <w:r>
              <w:t>코드 중복률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5% 이하</w:t>
            </w:r>
          </w:p>
        </w:tc>
        <w:tc>
          <w:tcPr>
            <w:tcW w:type="dxa" w:w="2160"/>
          </w:tcPr>
          <w:p>
            <w:r>
              <w:t>주의 — 인증/권한 로직 중복</w:t>
            </w:r>
          </w:p>
        </w:tc>
      </w:tr>
      <w:tr>
        <w:tc>
          <w:tcPr>
            <w:tcW w:type="dxa" w:w="2160"/>
          </w:tcPr>
          <w:p>
            <w:r>
              <w:t>순환 복잡도 (평균)</w:t>
            </w:r>
          </w:p>
        </w:tc>
        <w:tc>
          <w:tcPr>
            <w:tcW w:type="dxa" w:w="2160"/>
          </w:tcPr>
          <w:p>
            <w:r>
              <w:t>12.3</w:t>
            </w:r>
          </w:p>
        </w:tc>
        <w:tc>
          <w:tcPr>
            <w:tcW w:type="dxa" w:w="2160"/>
          </w:tcPr>
          <w:p>
            <w:r>
              <w:t>10 이하</w:t>
            </w:r>
          </w:p>
        </w:tc>
        <w:tc>
          <w:tcPr>
            <w:tcW w:type="dxa" w:w="2160"/>
          </w:tcPr>
          <w:p>
            <w:r>
              <w:t>주의 — 일부 핵심 함수 복잡도 30 초과</w:t>
            </w:r>
          </w:p>
        </w:tc>
      </w:tr>
      <w:tr>
        <w:tc>
          <w:tcPr>
            <w:tcW w:type="dxa" w:w="2160"/>
          </w:tcPr>
          <w:p>
            <w:r>
              <w:t>기술 부채 (SonarQube)</w:t>
            </w:r>
          </w:p>
        </w:tc>
        <w:tc>
          <w:tcPr>
            <w:tcW w:type="dxa" w:w="2160"/>
          </w:tcPr>
          <w:p>
            <w:r>
              <w:t>142일</w:t>
            </w:r>
          </w:p>
        </w:tc>
        <w:tc>
          <w:tcPr>
            <w:tcW w:type="dxa" w:w="2160"/>
          </w:tcPr>
          <w:p>
            <w:r>
              <w:t>30일 이하</w:t>
            </w:r>
          </w:p>
        </w:tc>
        <w:tc>
          <w:tcPr>
            <w:tcW w:type="dxa" w:w="2160"/>
          </w:tcPr>
          <w:p>
            <w:r>
              <w:t>심각 — 리팩토링 필요</w:t>
            </w:r>
          </w:p>
        </w:tc>
      </w:tr>
      <w:tr>
        <w:tc>
          <w:tcPr>
            <w:tcW w:type="dxa" w:w="2160"/>
          </w:tcPr>
          <w:p>
            <w:r>
              <w:t>의존성 취약점</w:t>
            </w:r>
          </w:p>
        </w:tc>
        <w:tc>
          <w:tcPr>
            <w:tcW w:type="dxa" w:w="2160"/>
          </w:tcPr>
          <w:p>
            <w:r>
              <w:t>High 3건, Medium 12건</w:t>
            </w:r>
          </w:p>
        </w:tc>
        <w:tc>
          <w:tcPr>
            <w:tcW w:type="dxa" w:w="2160"/>
          </w:tcPr>
          <w:p>
            <w:r>
              <w:t>High 0건</w:t>
            </w:r>
          </w:p>
        </w:tc>
        <w:tc>
          <w:tcPr>
            <w:tcW w:type="dxa" w:w="2160"/>
          </w:tcPr>
          <w:p>
            <w:r>
              <w:t>주의 — 즉시 패치 필요</w:t>
            </w:r>
          </w:p>
        </w:tc>
      </w:tr>
      <w:tr>
        <w:tc>
          <w:tcPr>
            <w:tcW w:type="dxa" w:w="2160"/>
          </w:tcPr>
          <w:p>
            <w:r>
              <w:t>문서화율</w:t>
            </w:r>
          </w:p>
        </w:tc>
        <w:tc>
          <w:tcPr>
            <w:tcW w:type="dxa" w:w="2160"/>
          </w:tcPr>
          <w:p>
            <w:r>
              <w:t>34%</w:t>
            </w:r>
          </w:p>
        </w:tc>
        <w:tc>
          <w:tcPr>
            <w:tcW w:type="dxa" w:w="2160"/>
          </w:tcPr>
          <w:p>
            <w:r>
              <w:t>60%+</w:t>
            </w:r>
          </w:p>
        </w:tc>
        <w:tc>
          <w:tcPr>
            <w:tcW w:type="dxa" w:w="2160"/>
          </w:tcPr>
          <w:p>
            <w:r>
              <w:t>미흡 — API 문서만 부분 존재</w:t>
            </w:r>
          </w:p>
        </w:tc>
      </w:tr>
    </w:tbl>
    <w:p/>
    <w:p>
      <w:pPr>
        <w:pStyle w:val="Heading3"/>
      </w:pPr>
      <w:r>
        <w:rPr>
          <w:color w:val="1A1A2E"/>
        </w:rPr>
        <w:t>3.3 AI/ML 역량 분석</w:t>
      </w:r>
    </w:p>
    <w:p>
      <w:r>
        <w:t>대상회사의 핵심 AI 기술은 문서 위변조 탐지 모델(DocForensicNet)이다. 자체 수집한 50만 건의 위변조 문서 데이터셋으로 학습되었으며, 탐지 정확도 98.1%(위변조 문서), F1 Score 0.967을 달성하였다.</w:t>
        <w:br/>
        <w:br/>
        <w:t>모델 상세:</w:t>
        <w:br/>
        <w:t xml:space="preserve">  - 아키텍처: Vision Transformer(ViT-B/16) + 커스텀 문서 특화 레이어</w:t>
        <w:br/>
        <w:t xml:space="preserve">  - 학습 데이터: 50만 건 (자체 수집 30만 + 합성 데이터 20만)</w:t>
        <w:br/>
        <w:t xml:space="preserve">  - 추론 속도: 페이지당 45ms (ONNX Runtime, GPU), 180ms (CPU)</w:t>
        <w:br/>
        <w:t xml:space="preserve">  - 모델 크기: 340MB (양자화 후 85MB)</w:t>
        <w:br/>
        <w:br/>
        <w:t>강점: 한국어 문서(주민등록증, 인감증명서, 사업자등록증 등)에 특화된 데이터셋 보유가 경쟁 우위 요인이다. 특히 도장/서명 위변조 탐지 정확도가 업계 최고 수준이다.</w:t>
        <w:br/>
        <w:br/>
        <w:t>약점: 모델 학습 파이프라인이 Jupyter Notebook 기반으로 재현성이 낮으며, ML Ops(실험 추적, 모델 버전 관리, A/B 테스트)가 체계화되지 않았다. 핵심 연구원 2명에게 지식이 집중되어 있어 인력 이탈 리스크가 존재한다.</w:t>
      </w:r>
    </w:p>
    <w:p>
      <w:pPr>
        <w:pStyle w:val="Heading3"/>
      </w:pPr>
      <w:r>
        <w:rPr>
          <w:color w:val="1A1A2E"/>
        </w:rPr>
        <w:t>3.4 보안 분석</w:t>
      </w:r>
    </w:p>
    <w:p>
      <w:r>
        <w:t>전자서명 제품 특성상 보안 수준이 매우 중요하며, 다음과 같이 평가되었다.</w:t>
        <w:br/>
        <w:br/>
        <w:t>긍정적 사항:</w:t>
        <w:br/>
        <w:t xml:space="preserve">  - PKI 기반 전자서명: KISA 인증 HSM(Hardware Security Module) 사용</w:t>
        <w:br/>
        <w:t xml:space="preserve">  - 문서 암호화: AES-256-GCM, RSA-4096 (키 관리: AWS KMS)</w:t>
        <w:br/>
        <w:t xml:space="preserve">  - 감사 로그: 불변(Immutable) 로그 체계, 블록체인 기반 무결성 검증</w:t>
        <w:br/>
        <w:t xml:space="preserve">  - SOC 2 Type II 인증 보유 (2024년 9월 취득)</w:t>
        <w:br/>
        <w:br/>
        <w:t>개선 필요 사항:</w:t>
        <w:br/>
        <w:t xml:space="preserve">  - 펜테스트 결과 XSS 취약점 2건 발견 (Medium, 패치 예정)</w:t>
        <w:br/>
        <w:t xml:space="preserve">  - 내부 개발자 계정 관리 미흡 (퇴사자 계정 3건 미삭제)</w:t>
        <w:br/>
        <w:t xml:space="preserve">  - 컨테이너 이미지 취약점 스캔 미적용 (Trivy 도입 계획 중)</w:t>
        <w:br/>
        <w:t xml:space="preserve">  - DDoS 방어 체계 부재 (CloudFront + WAF 미적용)</w:t>
      </w:r>
    </w:p>
    <w:p>
      <w:pPr>
        <w:pStyle w:val="Heading2"/>
      </w:pPr>
      <w:r>
        <w:rPr>
          <w:color w:val="1A1A2E"/>
        </w:rPr>
        <w:t>4. 인수 시 기술 통합 전략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기간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주요 활동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리스크</w:t>
            </w:r>
          </w:p>
        </w:tc>
      </w:tr>
      <w:tr>
        <w:tc>
          <w:tcPr>
            <w:tcW w:type="dxa" w:w="2160"/>
          </w:tcPr>
          <w:p>
            <w:r>
              <w:t>Phase 1</w:t>
              <w:br/>
              <w:t>안정화</w:t>
            </w:r>
          </w:p>
        </w:tc>
        <w:tc>
          <w:tcPr>
            <w:tcW w:type="dxa" w:w="2160"/>
          </w:tcPr>
          <w:p>
            <w:r>
              <w:t>M+1~M+3</w:t>
            </w:r>
          </w:p>
        </w:tc>
        <w:tc>
          <w:tcPr>
            <w:tcW w:type="dxa" w:w="2160"/>
          </w:tcPr>
          <w:p>
            <w:r>
              <w:t>코드 리뷰, 보안 취약점 패치</w:t>
              <w:br/>
              <w:t>기술 부채 해소 (상위 30%)</w:t>
              <w:br/>
              <w:t>CI/CD 파이프라인 통합</w:t>
            </w:r>
          </w:p>
        </w:tc>
        <w:tc>
          <w:tcPr>
            <w:tcW w:type="dxa" w:w="2160"/>
          </w:tcPr>
          <w:p>
            <w:r>
              <w:t>핵심 인력 이탈</w:t>
              <w:br/>
              <w:t>(리텐션 보너스 필요)</w:t>
            </w:r>
          </w:p>
        </w:tc>
      </w:tr>
      <w:tr>
        <w:tc>
          <w:tcPr>
            <w:tcW w:type="dxa" w:w="2160"/>
          </w:tcPr>
          <w:p>
            <w:r>
              <w:t>Phase 2</w:t>
              <w:br/>
              <w:t>통합</w:t>
            </w:r>
          </w:p>
        </w:tc>
        <w:tc>
          <w:tcPr>
            <w:tcW w:type="dxa" w:w="2160"/>
          </w:tcPr>
          <w:p>
            <w:r>
              <w:t>M+4~M+6</w:t>
            </w:r>
          </w:p>
        </w:tc>
        <w:tc>
          <w:tcPr>
            <w:tcW w:type="dxa" w:w="2160"/>
          </w:tcPr>
          <w:p>
            <w:r>
              <w:t>DocShield → AutoFlow 통합</w:t>
              <w:br/>
              <w:t>SignFlow API 연동</w:t>
              <w:br/>
              <w:t>통합 인증(SSO) 구축</w:t>
            </w:r>
          </w:p>
        </w:tc>
        <w:tc>
          <w:tcPr>
            <w:tcW w:type="dxa" w:w="2160"/>
          </w:tcPr>
          <w:p>
            <w:r>
              <w:t>API 호환성</w:t>
              <w:br/>
              <w:t>데이터 마이그레이션</w:t>
            </w:r>
          </w:p>
        </w:tc>
      </w:tr>
      <w:tr>
        <w:tc>
          <w:tcPr>
            <w:tcW w:type="dxa" w:w="2160"/>
          </w:tcPr>
          <w:p>
            <w:r>
              <w:t>Phase 3</w:t>
              <w:br/>
              <w:t>최적화</w:t>
            </w:r>
          </w:p>
        </w:tc>
        <w:tc>
          <w:tcPr>
            <w:tcW w:type="dxa" w:w="2160"/>
          </w:tcPr>
          <w:p>
            <w:r>
              <w:t>M+7~M+12</w:t>
            </w:r>
          </w:p>
        </w:tc>
        <w:tc>
          <w:tcPr>
            <w:tcW w:type="dxa" w:w="2160"/>
          </w:tcPr>
          <w:p>
            <w:r>
              <w:t>ML 모델 고도화 (NextLM 연동)</w:t>
              <w:br/>
              <w:t>통합 대시보드 개발</w:t>
              <w:br/>
              <w:t>고객 마이그레이션 완료</w:t>
            </w:r>
          </w:p>
        </w:tc>
        <w:tc>
          <w:tcPr>
            <w:tcW w:type="dxa" w:w="2160"/>
          </w:tcPr>
          <w:p>
            <w:r>
              <w:t>고객 이탈</w:t>
              <w:br/>
              <w:t>기술 스택 충돌</w:t>
            </w:r>
          </w:p>
        </w:tc>
      </w:tr>
    </w:tbl>
    <w:p/>
    <w:p>
      <w:pPr>
        <w:pStyle w:val="Heading2"/>
      </w:pPr>
      <w:r>
        <w:rPr>
          <w:color w:val="1A1A2E"/>
        </w:rPr>
        <w:t>5. 밸류에이션 시사점</w:t>
      </w:r>
    </w:p>
    <w:p>
      <w:r>
        <w:t>기술 실사 결과를 반영한 밸류에이션 조정 요인은 다음과 같다.</w:t>
        <w:br/>
        <w:br/>
        <w:t>상향 요인 (+):</w:t>
        <w:br/>
        <w:t xml:space="preserve">  - 문서 위변조 탐지 AI 기술 (독자 데이터셋 + 높은 정확도): +15~20% 프리미엄</w:t>
        <w:br/>
        <w:t xml:space="preserve">  - 전자서명 PKI 인프라 + SOC 2 인증: 규제 준수 비용 절감</w:t>
        <w:br/>
        <w:t xml:space="preserve">  - 52개 고객사 기반의 cross-selling 기회</w:t>
        <w:br/>
        <w:br/>
        <w:t>하향 요인 (-):</w:t>
        <w:br/>
        <w:t xml:space="preserve">  - 기술 부채 142일: 통합 비용 약 8억 원 추가 예상</w:t>
        <w:br/>
        <w:t xml:space="preserve">  - 핵심 인력 의존도: 리텐션 패키지 비용 약 15억 원</w:t>
        <w:br/>
        <w:t xml:space="preserve">  - ML Ops 미성숙: 체계 구축에 6개월, 약 5억 원 추가</w:t>
        <w:br/>
        <w:br/>
        <w:t>권고 인수가: 280~320억 원 (Pre-money 기준, 기존 투자금 120억 원 대비 2.3~2.7배)</w:t>
      </w:r>
    </w:p>
    <w:p>
      <w:pPr>
        <w:pStyle w:val="Heading2"/>
      </w:pPr>
      <w:r>
        <w:rPr>
          <w:color w:val="1A1A2E"/>
        </w:rPr>
        <w:t>6. 결론 및 권고</w:t>
      </w:r>
    </w:p>
    <w:p>
      <w:r>
        <w:t>대상회사는 당사의 제품 포트폴리오 확장에 전략적으로 높은 가치를 지니며, 특히 문서 보안·전자서명 영역의 기술력과 고객 기반은 단기간 내 자체 구축이 어려운 수준이다. 다만, 기술 부채 해소와 핵심 인력 리텐션에 대한 충분한 투자가 인수 성공의 핵심 요건이다.</w:t>
        <w:br/>
        <w:br/>
        <w:t>최종 권고: 조건부 인수 추진 (기술 부채 해소 로드맵 합의 + 핵심 인력 3년 Lock-up 조건)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