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2024년 연간 사업실적 보고서</w:t>
      </w:r>
    </w:p>
    <w:p>
      <w:pPr>
        <w:jc w:val="right"/>
      </w:pPr>
      <w:r>
        <w:t>주식회사 넥스트이노베이션 | 전략기획실</w:t>
      </w:r>
    </w:p>
    <w:p>
      <w:pPr>
        <w:jc w:val="right"/>
      </w:pPr>
      <w:r>
        <w:t>보고일: 2025년 2월 15일 | 대외비</w:t>
      </w:r>
    </w:p>
    <w:p>
      <w:pPr>
        <w:pStyle w:val="Heading2"/>
      </w:pPr>
      <w:r>
        <w:rPr>
          <w:color w:val="1A1A2E"/>
        </w:rPr>
        <w:t>I. 경영 실적 요약 (Executive Summary)</w:t>
      </w:r>
    </w:p>
    <w:p>
      <w:r>
        <w:t>2024년 당사는 매출액 3,128억 원(전년비 +27.3%), 영업이익 439억 원(영업이익률 14.0%), 당기순이익 312억 원을 달성하였다. SaaS 구독 모델 전환이 가속화되면서 반복 매출(ARR) 비중이 58%로 확대되었으며, 고객 이탈률(Churn Rate)은 3.2%로 업계 평균(8~12%) 대비 현저히 낮은 수준을 유지하였다. 해외 매출은 563억 원으로 전체의 18%를 차지하며 전년 대비 41% 성장하였다.</w:t>
      </w:r>
    </w:p>
    <w:p>
      <w:pPr>
        <w:pStyle w:val="Heading2"/>
      </w:pPr>
      <w:r>
        <w:rPr>
          <w:color w:val="1A1A2E"/>
        </w:rPr>
        <w:t>II. 부문별 실적</w:t>
      </w:r>
    </w:p>
    <w:p>
      <w:pPr>
        <w:pStyle w:val="Heading3"/>
      </w:pPr>
      <w:r>
        <w:rPr>
          <w:color w:val="1A1A2E"/>
        </w:rPr>
        <w:t>1. SaaS 사업부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지표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2023년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2024년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증감률</w:t>
            </w:r>
          </w:p>
        </w:tc>
      </w:tr>
      <w:tr>
        <w:tc>
          <w:tcPr>
            <w:tcW w:type="dxa" w:w="2160"/>
          </w:tcPr>
          <w:p>
            <w:r>
              <w:t>ARR (연간반복매출)</w:t>
            </w:r>
          </w:p>
        </w:tc>
        <w:tc>
          <w:tcPr>
            <w:tcW w:type="dxa" w:w="2160"/>
          </w:tcPr>
          <w:p>
            <w:r>
              <w:t>1,240억</w:t>
            </w:r>
          </w:p>
        </w:tc>
        <w:tc>
          <w:tcPr>
            <w:tcW w:type="dxa" w:w="2160"/>
          </w:tcPr>
          <w:p>
            <w:r>
              <w:t>1,814억</w:t>
            </w:r>
          </w:p>
        </w:tc>
        <w:tc>
          <w:tcPr>
            <w:tcW w:type="dxa" w:w="2160"/>
          </w:tcPr>
          <w:p>
            <w:r>
              <w:t>+46.3%</w:t>
            </w:r>
          </w:p>
        </w:tc>
      </w:tr>
      <w:tr>
        <w:tc>
          <w:tcPr>
            <w:tcW w:type="dxa" w:w="2160"/>
          </w:tcPr>
          <w:p>
            <w:r>
              <w:t>월간 활성 사용자(MAU)</w:t>
            </w:r>
          </w:p>
        </w:tc>
        <w:tc>
          <w:tcPr>
            <w:tcW w:type="dxa" w:w="2160"/>
          </w:tcPr>
          <w:p>
            <w:r>
              <w:t>28만 명</w:t>
            </w:r>
          </w:p>
        </w:tc>
        <w:tc>
          <w:tcPr>
            <w:tcW w:type="dxa" w:w="2160"/>
          </w:tcPr>
          <w:p>
            <w:r>
              <w:t>45만 명</w:t>
            </w:r>
          </w:p>
        </w:tc>
        <w:tc>
          <w:tcPr>
            <w:tcW w:type="dxa" w:w="2160"/>
          </w:tcPr>
          <w:p>
            <w:r>
              <w:t>+60.7%</w:t>
            </w:r>
          </w:p>
        </w:tc>
      </w:tr>
      <w:tr>
        <w:tc>
          <w:tcPr>
            <w:tcW w:type="dxa" w:w="2160"/>
          </w:tcPr>
          <w:p>
            <w:r>
              <w:t>엔터프라이즈 고객 수</w:t>
            </w:r>
          </w:p>
        </w:tc>
        <w:tc>
          <w:tcPr>
            <w:tcW w:type="dxa" w:w="2160"/>
          </w:tcPr>
          <w:p>
            <w:r>
              <w:t>312사</w:t>
            </w:r>
          </w:p>
        </w:tc>
        <w:tc>
          <w:tcPr>
            <w:tcW w:type="dxa" w:w="2160"/>
          </w:tcPr>
          <w:p>
            <w:r>
              <w:t>487사</w:t>
            </w:r>
          </w:p>
        </w:tc>
        <w:tc>
          <w:tcPr>
            <w:tcW w:type="dxa" w:w="2160"/>
          </w:tcPr>
          <w:p>
            <w:r>
              <w:t>+56.1%</w:t>
            </w:r>
          </w:p>
        </w:tc>
      </w:tr>
      <w:tr>
        <w:tc>
          <w:tcPr>
            <w:tcW w:type="dxa" w:w="2160"/>
          </w:tcPr>
          <w:p>
            <w:r>
              <w:t>평균 계약 단가(ACV)</w:t>
            </w:r>
          </w:p>
        </w:tc>
        <w:tc>
          <w:tcPr>
            <w:tcW w:type="dxa" w:w="2160"/>
          </w:tcPr>
          <w:p>
            <w:r>
              <w:t>3,200만 원</w:t>
            </w:r>
          </w:p>
        </w:tc>
        <w:tc>
          <w:tcPr>
            <w:tcW w:type="dxa" w:w="2160"/>
          </w:tcPr>
          <w:p>
            <w:r>
              <w:t>3,720만 원</w:t>
            </w:r>
          </w:p>
        </w:tc>
        <w:tc>
          <w:tcPr>
            <w:tcW w:type="dxa" w:w="2160"/>
          </w:tcPr>
          <w:p>
            <w:r>
              <w:t>+16.3%</w:t>
            </w:r>
          </w:p>
        </w:tc>
      </w:tr>
      <w:tr>
        <w:tc>
          <w:tcPr>
            <w:tcW w:type="dxa" w:w="2160"/>
          </w:tcPr>
          <w:p>
            <w:r>
              <w:t>고객 이탈률(Churn)</w:t>
            </w:r>
          </w:p>
        </w:tc>
        <w:tc>
          <w:tcPr>
            <w:tcW w:type="dxa" w:w="2160"/>
          </w:tcPr>
          <w:p>
            <w:r>
              <w:t>3.8%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  <w:tc>
          <w:tcPr>
            <w:tcW w:type="dxa" w:w="2160"/>
          </w:tcPr>
          <w:p>
            <w:r>
              <w:t>-0.6%p</w:t>
            </w:r>
          </w:p>
        </w:tc>
      </w:tr>
      <w:tr>
        <w:tc>
          <w:tcPr>
            <w:tcW w:type="dxa" w:w="2160"/>
          </w:tcPr>
          <w:p>
            <w:r>
              <w:t>NPS (순추천지수)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+9</w:t>
            </w:r>
          </w:p>
        </w:tc>
      </w:tr>
    </w:tbl>
    <w:p/>
    <w:p>
      <w:r>
        <w:t>주요 성과: AI 문서 자동 분류 기능 출시(6월) 이후 엔터프라이즈 신규 계약이 전년 동기 대비 83% 증가하였다. 금융권 고객사(KB금융, 신한, 하나) 확보가 ACV 상승의 핵심 요인이었으며, 대기업 전사 도입 사례(삼성SDS, LG CNS) 2건이 레퍼런스로 확보되었다.</w:t>
      </w:r>
    </w:p>
    <w:p>
      <w:pPr>
        <w:pStyle w:val="Heading3"/>
      </w:pPr>
      <w:r>
        <w:rPr>
          <w:color w:val="1A1A2E"/>
        </w:rPr>
        <w:t>2. 해외 사업부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시장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매출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전년비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주요 고객</w:t>
            </w:r>
          </w:p>
        </w:tc>
      </w:tr>
      <w:tr>
        <w:tc>
          <w:tcPr>
            <w:tcW w:type="dxa" w:w="2160"/>
          </w:tcPr>
          <w:p>
            <w:r>
              <w:t>일본</w:t>
            </w:r>
          </w:p>
        </w:tc>
        <w:tc>
          <w:tcPr>
            <w:tcW w:type="dxa" w:w="2160"/>
          </w:tcPr>
          <w:p>
            <w:r>
              <w:t>312억</w:t>
            </w:r>
          </w:p>
        </w:tc>
        <w:tc>
          <w:tcPr>
            <w:tcW w:type="dxa" w:w="2160"/>
          </w:tcPr>
          <w:p>
            <w:r>
              <w:t>+52%</w:t>
            </w:r>
          </w:p>
        </w:tc>
        <w:tc>
          <w:tcPr>
            <w:tcW w:type="dxa" w:w="2160"/>
          </w:tcPr>
          <w:p>
            <w:r>
              <w:t>소프트뱅크, NTT데이터, 라쿠텐</w:t>
            </w:r>
          </w:p>
        </w:tc>
      </w:tr>
      <w:tr>
        <w:tc>
          <w:tcPr>
            <w:tcW w:type="dxa" w:w="2160"/>
          </w:tcPr>
          <w:p>
            <w:r>
              <w:t>동남아</w:t>
            </w:r>
          </w:p>
        </w:tc>
        <w:tc>
          <w:tcPr>
            <w:tcW w:type="dxa" w:w="2160"/>
          </w:tcPr>
          <w:p>
            <w:r>
              <w:t>142억</w:t>
            </w:r>
          </w:p>
        </w:tc>
        <w:tc>
          <w:tcPr>
            <w:tcW w:type="dxa" w:w="2160"/>
          </w:tcPr>
          <w:p>
            <w:r>
              <w:t>+38%</w:t>
            </w:r>
          </w:p>
        </w:tc>
        <w:tc>
          <w:tcPr>
            <w:tcW w:type="dxa" w:w="2160"/>
          </w:tcPr>
          <w:p>
            <w:r>
              <w:t>DBS은행, Grab, Sea Group</w:t>
            </w:r>
          </w:p>
        </w:tc>
      </w:tr>
      <w:tr>
        <w:tc>
          <w:tcPr>
            <w:tcW w:type="dxa" w:w="2160"/>
          </w:tcPr>
          <w:p>
            <w:r>
              <w:t>북미</w:t>
            </w:r>
          </w:p>
        </w:tc>
        <w:tc>
          <w:tcPr>
            <w:tcW w:type="dxa" w:w="2160"/>
          </w:tcPr>
          <w:p>
            <w:r>
              <w:t>109억</w:t>
            </w:r>
          </w:p>
        </w:tc>
        <w:tc>
          <w:tcPr>
            <w:tcW w:type="dxa" w:w="2160"/>
          </w:tcPr>
          <w:p>
            <w:r>
              <w:t>+21%</w:t>
            </w:r>
          </w:p>
        </w:tc>
        <w:tc>
          <w:tcPr>
            <w:tcW w:type="dxa" w:w="2160"/>
          </w:tcPr>
          <w:p>
            <w:r>
              <w:t>Accenture(파일럿), Deloitte(POC)</w:t>
            </w:r>
          </w:p>
        </w:tc>
      </w:tr>
    </w:tbl>
    <w:p/>
    <w:p>
      <w:pPr>
        <w:pStyle w:val="Heading3"/>
      </w:pPr>
      <w:r>
        <w:rPr>
          <w:color w:val="1A1A2E"/>
        </w:rPr>
        <w:t>3. R&amp;D</w:t>
      </w:r>
    </w:p>
    <w:p>
      <w:r>
        <w:t>2024년 R&amp;D 투자액은 412억 원으로 매출의 13.2%를 집행하였다. 특허 출원 17건(등록 9건), 국제 학회 논문 게재 4편의 성과를 거두었다. 핵심 기술 성과로는 자체 개발 경량 LLM 'NextLM-7B'의 한국어 벤치마크 1위 달성(KoBEST, KLUE), 문서 OCR 정확도 98.7% 달성, 실시간 협업 엔진 지연 시간 50ms 이하 달성이 있다.</w:t>
      </w:r>
    </w:p>
    <w:p>
      <w:pPr>
        <w:pStyle w:val="Heading2"/>
      </w:pPr>
      <w:r>
        <w:rPr>
          <w:color w:val="1A1A2E"/>
        </w:rPr>
        <w:t>III. 재무 현황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2023년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2024년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증감</w:t>
            </w:r>
          </w:p>
        </w:tc>
      </w:tr>
      <w:tr>
        <w:tc>
          <w:tcPr>
            <w:tcW w:type="dxa" w:w="2160"/>
          </w:tcPr>
          <w:p>
            <w:r>
              <w:t>매출액</w:t>
            </w:r>
          </w:p>
        </w:tc>
        <w:tc>
          <w:tcPr>
            <w:tcW w:type="dxa" w:w="2160"/>
          </w:tcPr>
          <w:p>
            <w:r>
              <w:t>2,457억</w:t>
            </w:r>
          </w:p>
        </w:tc>
        <w:tc>
          <w:tcPr>
            <w:tcW w:type="dxa" w:w="2160"/>
          </w:tcPr>
          <w:p>
            <w:r>
              <w:t>3,128억</w:t>
            </w:r>
          </w:p>
        </w:tc>
        <w:tc>
          <w:tcPr>
            <w:tcW w:type="dxa" w:w="2160"/>
          </w:tcPr>
          <w:p>
            <w:r>
              <w:t>+27.3%</w:t>
            </w:r>
          </w:p>
        </w:tc>
      </w:tr>
      <w:tr>
        <w:tc>
          <w:tcPr>
            <w:tcW w:type="dxa" w:w="2160"/>
          </w:tcPr>
          <w:p>
            <w:r>
              <w:t>매출원가</w:t>
            </w:r>
          </w:p>
        </w:tc>
        <w:tc>
          <w:tcPr>
            <w:tcW w:type="dxa" w:w="2160"/>
          </w:tcPr>
          <w:p>
            <w:r>
              <w:t>1,228억</w:t>
            </w:r>
          </w:p>
        </w:tc>
        <w:tc>
          <w:tcPr>
            <w:tcW w:type="dxa" w:w="2160"/>
          </w:tcPr>
          <w:p>
            <w:r>
              <w:t>1,501억</w:t>
            </w:r>
          </w:p>
        </w:tc>
        <w:tc>
          <w:tcPr>
            <w:tcW w:type="dxa" w:w="2160"/>
          </w:tcPr>
          <w:p>
            <w:r>
              <w:t>+22.2%</w:t>
            </w:r>
          </w:p>
        </w:tc>
      </w:tr>
      <w:tr>
        <w:tc>
          <w:tcPr>
            <w:tcW w:type="dxa" w:w="2160"/>
          </w:tcPr>
          <w:p>
            <w:r>
              <w:t>매출총이익</w:t>
            </w:r>
          </w:p>
        </w:tc>
        <w:tc>
          <w:tcPr>
            <w:tcW w:type="dxa" w:w="2160"/>
          </w:tcPr>
          <w:p>
            <w:r>
              <w:t>1,229억</w:t>
            </w:r>
          </w:p>
        </w:tc>
        <w:tc>
          <w:tcPr>
            <w:tcW w:type="dxa" w:w="2160"/>
          </w:tcPr>
          <w:p>
            <w:r>
              <w:t>1,627억</w:t>
            </w:r>
          </w:p>
        </w:tc>
        <w:tc>
          <w:tcPr>
            <w:tcW w:type="dxa" w:w="2160"/>
          </w:tcPr>
          <w:p>
            <w:r>
              <w:t>+32.4%</w:t>
            </w:r>
          </w:p>
        </w:tc>
      </w:tr>
      <w:tr>
        <w:tc>
          <w:tcPr>
            <w:tcW w:type="dxa" w:w="2160"/>
          </w:tcPr>
          <w:p>
            <w:r>
              <w:t>판관비</w:t>
            </w:r>
          </w:p>
        </w:tc>
        <w:tc>
          <w:tcPr>
            <w:tcW w:type="dxa" w:w="2160"/>
          </w:tcPr>
          <w:p>
            <w:r>
              <w:t>891억</w:t>
            </w:r>
          </w:p>
        </w:tc>
        <w:tc>
          <w:tcPr>
            <w:tcW w:type="dxa" w:w="2160"/>
          </w:tcPr>
          <w:p>
            <w:r>
              <w:t>1,188억</w:t>
            </w:r>
          </w:p>
        </w:tc>
        <w:tc>
          <w:tcPr>
            <w:tcW w:type="dxa" w:w="2160"/>
          </w:tcPr>
          <w:p>
            <w:r>
              <w:t>+33.3%</w:t>
            </w:r>
          </w:p>
        </w:tc>
      </w:tr>
      <w:tr>
        <w:tc>
          <w:tcPr>
            <w:tcW w:type="dxa" w:w="2160"/>
          </w:tcPr>
          <w:p>
            <w:r>
              <w:t>영업이익</w:t>
            </w:r>
          </w:p>
        </w:tc>
        <w:tc>
          <w:tcPr>
            <w:tcW w:type="dxa" w:w="2160"/>
          </w:tcPr>
          <w:p>
            <w:r>
              <w:t>338억</w:t>
            </w:r>
          </w:p>
        </w:tc>
        <w:tc>
          <w:tcPr>
            <w:tcW w:type="dxa" w:w="2160"/>
          </w:tcPr>
          <w:p>
            <w:r>
              <w:t>439억</w:t>
            </w:r>
          </w:p>
        </w:tc>
        <w:tc>
          <w:tcPr>
            <w:tcW w:type="dxa" w:w="2160"/>
          </w:tcPr>
          <w:p>
            <w:r>
              <w:t>+29.9%</w:t>
            </w:r>
          </w:p>
        </w:tc>
      </w:tr>
      <w:tr>
        <w:tc>
          <w:tcPr>
            <w:tcW w:type="dxa" w:w="2160"/>
          </w:tcPr>
          <w:p>
            <w:r>
              <w:t>영업이익률</w:t>
            </w:r>
          </w:p>
        </w:tc>
        <w:tc>
          <w:tcPr>
            <w:tcW w:type="dxa" w:w="2160"/>
          </w:tcPr>
          <w:p>
            <w:r>
              <w:t>13.8%</w:t>
            </w:r>
          </w:p>
        </w:tc>
        <w:tc>
          <w:tcPr>
            <w:tcW w:type="dxa" w:w="2160"/>
          </w:tcPr>
          <w:p>
            <w:r>
              <w:t>14.0%</w:t>
            </w:r>
          </w:p>
        </w:tc>
        <w:tc>
          <w:tcPr>
            <w:tcW w:type="dxa" w:w="2160"/>
          </w:tcPr>
          <w:p>
            <w:r>
              <w:t>+0.2%p</w:t>
            </w:r>
          </w:p>
        </w:tc>
      </w:tr>
      <w:tr>
        <w:tc>
          <w:tcPr>
            <w:tcW w:type="dxa" w:w="2160"/>
          </w:tcPr>
          <w:p>
            <w:r>
              <w:t>당기순이익</w:t>
            </w:r>
          </w:p>
        </w:tc>
        <w:tc>
          <w:tcPr>
            <w:tcW w:type="dxa" w:w="2160"/>
          </w:tcPr>
          <w:p>
            <w:r>
              <w:t>241억</w:t>
            </w:r>
          </w:p>
        </w:tc>
        <w:tc>
          <w:tcPr>
            <w:tcW w:type="dxa" w:w="2160"/>
          </w:tcPr>
          <w:p>
            <w:r>
              <w:t>312억</w:t>
            </w:r>
          </w:p>
        </w:tc>
        <w:tc>
          <w:tcPr>
            <w:tcW w:type="dxa" w:w="2160"/>
          </w:tcPr>
          <w:p>
            <w:r>
              <w:t>+29.5%</w:t>
            </w:r>
          </w:p>
        </w:tc>
      </w:tr>
      <w:tr>
        <w:tc>
          <w:tcPr>
            <w:tcW w:type="dxa" w:w="2160"/>
          </w:tcPr>
          <w:p>
            <w:r>
              <w:t>현금및현금성자산</w:t>
            </w:r>
          </w:p>
        </w:tc>
        <w:tc>
          <w:tcPr>
            <w:tcW w:type="dxa" w:w="2160"/>
          </w:tcPr>
          <w:p>
            <w:r>
              <w:t>892억</w:t>
            </w:r>
          </w:p>
        </w:tc>
        <w:tc>
          <w:tcPr>
            <w:tcW w:type="dxa" w:w="2160"/>
          </w:tcPr>
          <w:p>
            <w:r>
              <w:t>1,247억</w:t>
            </w:r>
          </w:p>
        </w:tc>
        <w:tc>
          <w:tcPr>
            <w:tcW w:type="dxa" w:w="2160"/>
          </w:tcPr>
          <w:p>
            <w:r>
              <w:t>+39.8%</w:t>
            </w:r>
          </w:p>
        </w:tc>
      </w:tr>
    </w:tbl>
    <w:p/>
    <w:p>
      <w:pPr>
        <w:pStyle w:val="Heading2"/>
      </w:pPr>
      <w:r>
        <w:rPr>
          <w:color w:val="1A1A2E"/>
        </w:rPr>
        <w:t>IV. 2025년 전망 및 전략</w:t>
      </w:r>
    </w:p>
    <w:p>
      <w:r>
        <w:t>2025년 매출 목표는 4,200억 원(+34.3%)이며, 영업이익률 15% 이상을 목표로 한다. 핵심 전략은 다음과 같다.</w:t>
      </w:r>
    </w:p>
    <w:p>
      <w:pPr>
        <w:pStyle w:val="ListBullet"/>
      </w:pPr>
      <w:r>
        <w:t>AI 제품 강화: AutoFlow 2.0 출시를 통한 AI 워크플로우 자동화 시장 선점</w:t>
      </w:r>
    </w:p>
    <w:p>
      <w:pPr>
        <w:pStyle w:val="ListBullet"/>
      </w:pPr>
      <w:r>
        <w:t>글로벌 확장: 일본 현지법인 설립, 싱가포르 거점 확보, 북미 본격 진출</w:t>
      </w:r>
    </w:p>
    <w:p>
      <w:pPr>
        <w:pStyle w:val="ListBullet"/>
      </w:pPr>
      <w:r>
        <w:t>엔터프라이즈 심화: 대기업 전사 도입 패키지 출시, 산업별 특화 솔루션 3종 개발</w:t>
      </w:r>
    </w:p>
    <w:p>
      <w:pPr>
        <w:pStyle w:val="ListBullet"/>
      </w:pPr>
      <w:r>
        <w:t>인재 확보: AI/ML 연구인력 30명 충원, 글로벌 인재 채용 확대</w:t>
      </w:r>
    </w:p>
    <w:p>
      <w:pPr>
        <w:pStyle w:val="ListBullet"/>
      </w:pPr>
      <w:r>
        <w:t>M&amp;A: 문서 보안 및 전자서명 분야 스타트업 인수 검토</w:t>
      </w:r>
    </w:p>
    <w:p>
      <w:pPr>
        <w:pStyle w:val="Heading2"/>
      </w:pPr>
      <w:r>
        <w:rPr>
          <w:color w:val="1A1A2E"/>
        </w:rPr>
        <w:t>V. 리스크 요인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리스크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영향도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대응 방안</w:t>
            </w:r>
          </w:p>
        </w:tc>
      </w:tr>
      <w:tr>
        <w:tc>
          <w:tcPr>
            <w:tcW w:type="dxa" w:w="2880"/>
          </w:tcPr>
          <w:p>
            <w:r>
              <w:t>글로벌 AI 규제 강화 (EU AI Act 등)</w:t>
            </w:r>
          </w:p>
        </w:tc>
        <w:tc>
          <w:tcPr>
            <w:tcW w:type="dxa" w:w="2880"/>
          </w:tcPr>
          <w:p>
            <w:r>
              <w:t>높음</w:t>
            </w:r>
          </w:p>
        </w:tc>
        <w:tc>
          <w:tcPr>
            <w:tcW w:type="dxa" w:w="2880"/>
          </w:tcPr>
          <w:p>
            <w:r>
              <w:t>컴플라이언스 TF 구성, 법무팀 2명 충원</w:t>
            </w:r>
          </w:p>
        </w:tc>
      </w:tr>
      <w:tr>
        <w:tc>
          <w:tcPr>
            <w:tcW w:type="dxa" w:w="2880"/>
          </w:tcPr>
          <w:p>
            <w:r>
              <w:t>환율 변동 (엔화 약세 지속)</w:t>
            </w:r>
          </w:p>
        </w:tc>
        <w:tc>
          <w:tcPr>
            <w:tcW w:type="dxa" w:w="2880"/>
          </w:tcPr>
          <w:p>
            <w:r>
              <w:t>중간</w:t>
            </w:r>
          </w:p>
        </w:tc>
        <w:tc>
          <w:tcPr>
            <w:tcW w:type="dxa" w:w="2880"/>
          </w:tcPr>
          <w:p>
            <w:r>
              <w:t>선물환 헤지 비율 50%→70% 상향</w:t>
            </w:r>
          </w:p>
        </w:tc>
      </w:tr>
      <w:tr>
        <w:tc>
          <w:tcPr>
            <w:tcW w:type="dxa" w:w="2880"/>
          </w:tcPr>
          <w:p>
            <w:r>
              <w:t>핵심 인력 이탈</w:t>
            </w:r>
          </w:p>
        </w:tc>
        <w:tc>
          <w:tcPr>
            <w:tcW w:type="dxa" w:w="2880"/>
          </w:tcPr>
          <w:p>
            <w:r>
              <w:t>높음</w:t>
            </w:r>
          </w:p>
        </w:tc>
        <w:tc>
          <w:tcPr>
            <w:tcW w:type="dxa" w:w="2880"/>
          </w:tcPr>
          <w:p>
            <w:r>
              <w:t>RSU 보상 확대, 기술 리더십 프로그램 도입</w:t>
            </w:r>
          </w:p>
        </w:tc>
      </w:tr>
      <w:tr>
        <w:tc>
          <w:tcPr>
            <w:tcW w:type="dxa" w:w="2880"/>
          </w:tcPr>
          <w:p>
            <w:r>
              <w:t>경쟁사 AI 제품 출시 가속화</w:t>
            </w:r>
          </w:p>
        </w:tc>
        <w:tc>
          <w:tcPr>
            <w:tcW w:type="dxa" w:w="2880"/>
          </w:tcPr>
          <w:p>
            <w:r>
              <w:t>중간</w:t>
            </w:r>
          </w:p>
        </w:tc>
        <w:tc>
          <w:tcPr>
            <w:tcW w:type="dxa" w:w="2880"/>
          </w:tcPr>
          <w:p>
            <w:r>
              <w:t>차별화된 한국어 특화 + 산업 도메인 전문성 강화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