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RAG 파이프라인 설계 회의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w="3402" w:type="dxa"/>
            <w:vAlign w:val="center"/>
          </w:tcPr>
          <w:p>
            <w:r>
              <w:rPr>
                <w:sz w:val="20"/>
              </w:rPr>
              <w:t>2026-03-10</w:t>
            </w:r>
          </w:p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14:00~15:30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w="3402" w:type="dxa"/>
            <w:vAlign w:val="center"/>
          </w:tcPr>
          <w:p>
            <w:r>
              <w:rPr>
                <w:sz w:val="20"/>
              </w:rPr>
              <w:t>회의실 A</w:t>
            </w:r>
          </w:p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정기</w:t>
            </w:r>
          </w:p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신지용, 윤경은, 진승언</w:t>
            </w:r>
          </w:p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7654" w:type="dxa"/>
            <w:gridSpan w:val="3"/>
            <w:vAlign w:val="center"/>
          </w:tcPr>
          <w:p>
            <w:r>
              <w:rPr>
                <w:sz w:val="20"/>
              </w:rPr>
              <w:t>신지용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>
            <w:r>
              <w:rPr>
                <w:sz w:val="20"/>
              </w:rPr>
              <w:t>BM25+벡터 하이브리드 검색 방식을 최종 확정하고 reranker는 bge-v2를 사용하기로 결정.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>
            <w:r>
              <w:rPr>
                <w:sz w:val="20"/>
              </w:rPr>
              <w:t>BM25+벡터 하이브리드 검색 방식 확정</w:t>
              <w:br/>
              <w:t>reranker로 bge-v2 사용</w:t>
              <w:br/>
              <w:t>청크 사이즈 512토큰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w="9406" w:type="dxa"/>
            <w:vAlign w:val="center"/>
          </w:tcPr>
          <w:p>
            <w:r>
              <w:rPr>
                <w:sz w:val="20"/>
              </w:rPr>
              <w:t>다음 회의: 3/17 같은 시간</w:t>
            </w:r>
          </w:p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2026-03-10T03:13:02Z</dcterms:modified>
  <cp:version>1300.0100.01</cp:version>
</cp:coreProperties>
</file>