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클라우드 SaaS 서비스 이용 계약서</w:t>
      </w:r>
    </w:p>
    <w:p/>
    <w:p>
      <w:r>
        <w:t>주식회사 넥스트이노베이션(이하 '서비스 제공자')과 한국전력공사(이하 '이용자')는 'AutoFlow Enterprise' 클라우드 서비스(이하 '본 서비스')의 이용에 관하여 다음과 같이 계약을 체결한다.</w:t>
      </w:r>
    </w:p>
    <w:p>
      <w:pPr>
        <w:pStyle w:val="Heading2"/>
      </w:pPr>
      <w:r>
        <w:rPr>
          <w:color w:val="1A1A2E"/>
        </w:rPr>
        <w:t>제1조 (서비스 내용)</w:t>
      </w:r>
    </w:p>
    <w:p>
      <w:r>
        <w:t>① 본 서비스는 AI 기반 문서관리 및 업무자동화 클라우드 플랫폼으로, 다음 기능을 포함한다.</w:t>
        <w:br/>
        <w:t xml:space="preserve">  1. AI 문서 자동 분류·태깅·요약 (연간 처리 한도: 500만 건)</w:t>
        <w:br/>
        <w:t xml:space="preserve">  2. 지능형 문서 검색 (시맨틱 + 하이브리드 검색)</w:t>
        <w:br/>
        <w:t xml:space="preserve">  3. 규정 준수 자동 검증 (사내 규정·법규 실시간 대조)</w:t>
        <w:br/>
        <w:t xml:space="preserve">  4. 전자서명 및 결재 워크플로우</w:t>
        <w:br/>
        <w:t xml:space="preserve">  5. 회의록 자동 생성 및 액션 아이템 추적</w:t>
        <w:br/>
        <w:t xml:space="preserve">  6. 관리자 대시보드 및 사용 현황 리포트</w:t>
        <w:br/>
        <w:t>② 서비스 접속 URL: https://kepco.autoflow.co.kr (전용 인스턴스)</w:t>
        <w:br/>
        <w:t>③ 지원 채널: 전용 Slack 채널, 이메일(enterprise@autoflow.co.kr), 전화(1588-0000)</w:t>
      </w:r>
    </w:p>
    <w:p>
      <w:pPr>
        <w:pStyle w:val="Heading2"/>
      </w:pPr>
      <w:r>
        <w:rPr>
          <w:color w:val="1A1A2E"/>
        </w:rPr>
        <w:t>제2조 (계약 기간 및 갱신)</w:t>
      </w:r>
    </w:p>
    <w:p>
      <w:r>
        <w:t>① 계약 기간: 2025년 10월 1일 ~ 2026년 9월 30일 (1년)</w:t>
        <w:br/>
        <w:t>② 계약 만료 60일 전까지 어느 일방이 서면으로 종료 의사를 통보하지 않는 한, 동일 조건으로 1년 단위 자동 갱신된다.</w:t>
        <w:br/>
        <w:t>③ 갱신 시 요금은 소비자물가지수(CPI) 변동률 이내에서 조정할 수 있다.</w:t>
        <w:br/>
        <w:t>④ 이용자의 사용자 수가 계약 인원의 120%를 초과할 경우, 초과분에 대해 추가 요금이 발생한다.</w:t>
      </w:r>
    </w:p>
    <w:p>
      <w:pPr>
        <w:pStyle w:val="Heading2"/>
      </w:pPr>
      <w:r>
        <w:rPr>
          <w:color w:val="1A1A2E"/>
        </w:rPr>
        <w:t>제3조 (서비스 수준 합의, SLA)</w:t>
      </w:r>
    </w:p>
    <w:p>
      <w:r>
        <w:t>① 서비스 가용성: 월간 99.9% 이상 (연간 다운타임 8.76시간 이내)</w:t>
        <w:br/>
        <w:t xml:space="preserve">  - 가용성 = (월간 총 시간 - 계획 유지보수 시간 - 장애 시간) / (월간 총 시간 - 계획 유지보수 시간) × 100</w:t>
        <w:br/>
        <w:t xml:space="preserve">  - 계획 유지보수: 매월 셋째 주 일요일 02:00~06:00 KST (사전 72시간 통보)</w:t>
        <w:br/>
        <w:t>② API 응답 시간:</w:t>
        <w:br/>
        <w:t xml:space="preserve">  - 문서 검색 API: P95 ≤ 500ms, P99 ≤ 1,000ms</w:t>
        <w:br/>
        <w:t xml:space="preserve">  - 문서 분류 API: P95 ≤ 2,000ms, P99 ≤ 5,000ms</w:t>
        <w:br/>
        <w:t xml:space="preserve">  - 전자서명 API: P95 ≤ 300ms, P99 ≤ 500ms</w:t>
        <w:br/>
        <w:t>③ AI 모델 정확도:</w:t>
        <w:br/>
        <w:t xml:space="preserve">  - 문서 분류: 정확도 95% 이상</w:t>
        <w:br/>
        <w:t xml:space="preserve">  - 문서 요약: ROUGE-L 0.7 이상</w:t>
        <w:br/>
        <w:t xml:space="preserve">  - 규정 위반 탐지: 재현율(Recall) 90% 이상</w:t>
        <w:br/>
        <w:t>④ 장애 대응 시간:</w:t>
        <w:br/>
        <w:t xml:space="preserve">  - Critical: 30분 이내 인지, 2시간 이내 복구</w:t>
        <w:br/>
        <w:t xml:space="preserve">  - High: 1시간 이내 인지, 4시간 이내 복구</w:t>
        <w:br/>
        <w:t xml:space="preserve">  - Medium: 4시간 이내 인지, 1영업일 이내 복구</w:t>
        <w:br/>
        <w:t xml:space="preserve">  - Low: 1영업일 이내 인지, 5영업일 이내 복구</w:t>
      </w:r>
    </w:p>
    <w:p>
      <w:pPr>
        <w:pStyle w:val="Heading2"/>
      </w:pPr>
      <w:r>
        <w:rPr>
          <w:color w:val="1A1A2E"/>
        </w:rPr>
        <w:t>제4조 (SLA 미준수 시 보상)</w:t>
      </w:r>
    </w:p>
    <w:p>
      <w:r>
        <w:t>① 월간 가용성이 SLA 기준에 미달할 경우 다음과 같이 서비스 크레딧을 제공한다.</w:t>
        <w:br/>
        <w:br/>
        <w:t xml:space="preserve">  ┌─────────────────┬───────────────────┐</w:t>
        <w:br/>
        <w:t xml:space="preserve">  │ 월간 가용성     │ 서비스 크레딧     │</w:t>
        <w:br/>
        <w:t xml:space="preserve">  ├─────────────────┼───────────────────┤</w:t>
        <w:br/>
        <w:t xml:space="preserve">  │ 99.0% ~ 99.9%  │ 월 이용료의 10%   │</w:t>
        <w:br/>
        <w:t xml:space="preserve">  │ 95.0% ~ 99.0%  │ 월 이용료의 25%   │</w:t>
        <w:br/>
        <w:t xml:space="preserve">  │ 90.0% ~ 95.0%  │ 월 이용료의 50%   │</w:t>
        <w:br/>
        <w:t xml:space="preserve">  │ 90.0% 미만     │ 월 이용료의 100%  │</w:t>
        <w:br/>
        <w:t xml:space="preserve">  └─────────────────┴───────────────────┘</w:t>
        <w:br/>
        <w:br/>
        <w:t>② 서비스 크레딧은 차월 이용료에서 차감하며, 현금 환급은 불가하다.</w:t>
        <w:br/>
        <w:t>③ 연속 3개월 이상 가용성 95% 미만 시 이용자는 위약금 없이 계약을 해지할 수 있다.</w:t>
        <w:br/>
        <w:t>④ 이용자의 귀책사유(네트워크 장애, 잘못된 API 호출 등)로 인한 장애는 SLA 산정에서 제외한다.</w:t>
      </w:r>
    </w:p>
    <w:p>
      <w:pPr>
        <w:pStyle w:val="Heading2"/>
      </w:pPr>
      <w:r>
        <w:rPr>
          <w:color w:val="1A1A2E"/>
        </w:rPr>
        <w:t>제5조 (이용 요금)</w:t>
      </w:r>
    </w:p>
    <w:p>
      <w:r>
        <w:t>① 기본 요금: 월 4,500만 원 (부가세 별도)</w:t>
        <w:br/>
        <w:t xml:space="preserve">  - 포함 사항: 사용자 1,000명, 문서 처리 월 40만 건, 저장 공간 5TB</w:t>
        <w:br/>
        <w:t>② 초과 요금:</w:t>
        <w:br/>
        <w:t xml:space="preserve">  - 추가 사용자: 인당 월 30,000원</w:t>
        <w:br/>
        <w:t xml:space="preserve">  - 추가 문서 처리: 건당 50원</w:t>
        <w:br/>
        <w:t xml:space="preserve">  - 추가 저장 공간: GB당 월 500원</w:t>
        <w:br/>
        <w:t>③ 결제 조건: 월 선불, 매월 1일 세금계산서 발행, 15일 이내 지급</w:t>
        <w:br/>
        <w:t>④ 연간 일시불 결제 시 10% 할인 적용 (연 4억 8,600만 원)</w:t>
      </w:r>
    </w:p>
    <w:p>
      <w:pPr>
        <w:pStyle w:val="Heading2"/>
      </w:pPr>
      <w:r>
        <w:rPr>
          <w:color w:val="1A1A2E"/>
        </w:rPr>
        <w:t>제6조 (데이터 소유권 및 보안)</w:t>
      </w:r>
    </w:p>
    <w:p>
      <w:r>
        <w:t>① 이용자가 본 서비스에 업로드한 모든 데이터의 소유권은 이용자에게 귀속된다.</w:t>
        <w:br/>
        <w:t>② 서비스 제공자는 이용자 데이터를 서비스 제공 목적 외로 사용, 복제, 제3자 제공하지 아니한다.</w:t>
        <w:br/>
        <w:t>③ 서비스 제공자는 AI 모델 학습에 이용자 데이터를 사용하지 아니한다. 다만, 이용자가 서면으로 동의한 경우 익명화·비식별화 처리 후 모델 개선에 활용할 수 있다.</w:t>
        <w:br/>
        <w:t>④ 데이터 암호화: 저장 시 AES-256, 전송 시 TLS 1.3</w:t>
        <w:br/>
        <w:t>⑤ 데이터 보관: 이용자 전용 VPC 내 격리된 환경에 저장, 타 이용자와 물리적 분리</w:t>
        <w:br/>
        <w:t>⑥ 계약 종료 시: 종료일로부터 30일간 데이터 다운로드 기간 제공 후 완전 삭제 (삭제 증명서 발급)</w:t>
        <w:br/>
        <w:t>⑦ 서비스 제공자는 SOC 2 Type II, ISO 27001 인증을 유지하며, 연 1회 인증 보고서를 이용자에게 제공한다.</w:t>
      </w:r>
    </w:p>
    <w:p>
      <w:pPr>
        <w:pStyle w:val="Heading2"/>
      </w:pPr>
      <w:r>
        <w:rPr>
          <w:color w:val="1A1A2E"/>
        </w:rPr>
        <w:t>제7조 (지식재산권)</w:t>
      </w:r>
    </w:p>
    <w:p>
      <w:r>
        <w:t>① 본 서비스의 소프트웨어, AI 모델, 알고리즘 등 기술적 자산의 지식재산권은 서비스 제공자에게 귀속된다.</w:t>
        <w:br/>
        <w:t>② 이용자의 요청에 의해 개발된 커스터마이징 기능의 지식재산권은 별도 협의에 따른다.</w:t>
        <w:br/>
        <w:t>③ 서비스 제공자는 이용자에게 계약 기간 동안 본 서비스 이용에 필요한 비독점적 사용권을 부여한다.</w:t>
      </w:r>
    </w:p>
    <w:p>
      <w:pPr>
        <w:pStyle w:val="Heading2"/>
      </w:pPr>
      <w:r>
        <w:rPr>
          <w:color w:val="1A1A2E"/>
        </w:rPr>
        <w:t>제8조 (계약 해지 및 손해배상)</w:t>
      </w:r>
    </w:p>
    <w:p>
      <w:r>
        <w:t>① 상대방이 본 계약의 중대한 의무를 위반하고 30일 이내에 시정하지 않는 경우 계약을 해지할 수 있다.</w:t>
        <w:br/>
        <w:t>② 서비스 제공자의 귀책사유로 인한 손해배상 한도는 직전 12개월간 이용 요금 총액으로 한다.</w:t>
        <w:br/>
        <w:t>③ 간접 손해, 기대 이익 상실, 데이터 손실에 대한 책임은 고의 또는 중과실인 경우에 한한다.</w:t>
        <w:br/>
        <w:t>④ 불가항력(천재지변, 전쟁, 정부 규제 등)으로 인한 서비스 중단에 대해서는 책임을 지지 아니한다.</w:t>
      </w:r>
    </w:p>
    <w:p>
      <w:pPr>
        <w:pStyle w:val="Heading2"/>
      </w:pPr>
      <w:r>
        <w:rPr>
          <w:color w:val="1A1A2E"/>
        </w:rPr>
        <w:t>제9조 (준거법 및 분쟁 해결)</w:t>
      </w:r>
    </w:p>
    <w:p>
      <w:r>
        <w:t>① 본 계약은 대한민국 법률에 따라 해석된다.</w:t>
        <w:br/>
        <w:t>② 분쟁 발생 시 대한상사중재원의 중재 규칙에 따라 해결하며, 중재지는 서울로 한다.</w:t>
      </w:r>
    </w:p>
    <w:p/>
    <w:p>
      <w:r>
        <w:t>2025년 9월 1일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서비스 제공자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이용자</w:t>
            </w:r>
          </w:p>
        </w:tc>
      </w:tr>
      <w:tr>
        <w:tc>
          <w:tcPr>
            <w:tcW w:type="dxa" w:w="2880"/>
          </w:tcPr>
          <w:p>
            <w:r>
              <w:t>상호</w:t>
            </w:r>
          </w:p>
        </w:tc>
        <w:tc>
          <w:tcPr>
            <w:tcW w:type="dxa" w:w="2880"/>
          </w:tcPr>
          <w:p>
            <w:r>
              <w:t>주식회사 넥스트이노베이션</w:t>
            </w:r>
          </w:p>
        </w:tc>
        <w:tc>
          <w:tcPr>
            <w:tcW w:type="dxa" w:w="2880"/>
          </w:tcPr>
          <w:p>
            <w:r>
              <w:t>한국전력공사</w:t>
            </w:r>
          </w:p>
        </w:tc>
      </w:tr>
      <w:tr>
        <w:tc>
          <w:tcPr>
            <w:tcW w:type="dxa" w:w="2880"/>
          </w:tcPr>
          <w:p>
            <w:r>
              <w:t>대표</w:t>
            </w:r>
          </w:p>
        </w:tc>
        <w:tc>
          <w:tcPr>
            <w:tcW w:type="dxa" w:w="2880"/>
          </w:tcPr>
          <w:p>
            <w:r>
              <w:t>김태현</w:t>
            </w:r>
          </w:p>
        </w:tc>
        <w:tc>
          <w:tcPr>
            <w:tcW w:type="dxa" w:w="2880"/>
          </w:tcPr>
          <w:p>
            <w:r>
              <w:t>박영호</w:t>
            </w:r>
          </w:p>
        </w:tc>
      </w:tr>
      <w:tr>
        <w:tc>
          <w:tcPr>
            <w:tcW w:type="dxa" w:w="2880"/>
          </w:tcPr>
          <w:p>
            <w:r>
              <w:t>기명날인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