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2025년 1분기 기술 리뷰 회의록 (Architecture Review Board)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일시</w:t>
            </w:r>
          </w:p>
        </w:tc>
        <w:tc>
          <w:tcPr>
            <w:tcW w:type="dxa" w:w="4320"/>
          </w:tcPr>
          <w:p>
            <w:r>
              <w:t>2025년 3월 7일 (금) 14:00 ~ 17:30 (3시간 30분)</w:t>
            </w:r>
          </w:p>
        </w:tc>
      </w:tr>
      <w:tr>
        <w:tc>
          <w:tcPr>
            <w:tcW w:type="dxa" w:w="4320"/>
          </w:tcPr>
          <w:p>
            <w:r>
              <w:t>장소</w:t>
            </w:r>
          </w:p>
        </w:tc>
        <w:tc>
          <w:tcPr>
            <w:tcW w:type="dxa" w:w="4320"/>
          </w:tcPr>
          <w:p>
            <w:r>
              <w:t>본사 14층 대회의실 + Zoom (하이브리드)</w:t>
            </w:r>
          </w:p>
        </w:tc>
      </w:tr>
      <w:tr>
        <w:tc>
          <w:tcPr>
            <w:tcW w:type="dxa" w:w="4320"/>
          </w:tcPr>
          <w:p>
            <w:r>
              <w:t>참석자</w:t>
            </w:r>
          </w:p>
        </w:tc>
        <w:tc>
          <w:tcPr>
            <w:tcW w:type="dxa" w:w="4320"/>
          </w:tcPr>
          <w:p>
            <w:r>
              <w:t>박서연 CTO(의장), 김수현 수석연구원(AI), 이하은 책임개발자(플랫폼), 장우진 보안운영팀장, 윤서준 DevOps리드, 한승우 AI플랫폼팀장, 각 팀 Tech Lead 8명</w:t>
            </w:r>
          </w:p>
        </w:tc>
      </w:tr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>
              <w:t>이하은 책임개발자</w:t>
            </w:r>
          </w:p>
        </w:tc>
      </w:tr>
    </w:tbl>
    <w:p/>
    <w:p>
      <w:pPr>
        <w:pStyle w:val="Heading2"/>
      </w:pPr>
      <w:r>
        <w:rPr>
          <w:color w:val="1A1A2E"/>
        </w:rPr>
        <w:t>1. 아키텍처 변경 제안 심의</w:t>
      </w:r>
    </w:p>
    <w:p>
      <w:pPr>
        <w:pStyle w:val="Heading3"/>
      </w:pPr>
      <w:r>
        <w:rPr>
          <w:color w:val="1A1A2E"/>
        </w:rPr>
        <w:t>1.1 [승인] 문서 처리 파이프라인 비동기 전환</w:t>
      </w:r>
    </w:p>
    <w:p>
      <w:r>
        <w:t>제안자: 한승우 | 영향 범위: document_service, chat.py, Qdrant 인덱싱</w:t>
        <w:br/>
        <w:br/>
        <w:t>현황: 문서 업로드 시 텍스트 추출 → LLM 분석(요약/분류/태깅) → Qdrant 인덱싱이 모두 HTTP 요청 스레드에서 동기적으로 실행되어, 문서 1건 업로드에 평균 45초 소요.</w:t>
        <w:br/>
        <w:br/>
        <w:t>제안: FastAPI BackgroundTasks + Redis Queue(ARQ) 기반 비동기 처리 도입.</w:t>
        <w:br/>
        <w:t xml:space="preserve">  - Phase 1: Qdrant 인덱싱만 BackgroundTasks로 분리 (즉시 적용 가능)</w:t>
        <w:br/>
        <w:t xml:space="preserve">  - Phase 2: LLM 분석을 ARQ Worker로 분리 (Redis 인프라 필요)</w:t>
        <w:br/>
        <w:t xml:space="preserve">  - Phase 3: 실시간 진행률 SSE 스트리밍 (프론트엔드 연동)</w:t>
        <w:br/>
        <w:br/>
        <w:t>예상 효과: 업로드 API 응답 시간 45초 → 2초 이하 (사용자 체감), 백그라운드 처리는 동일.</w:t>
        <w:br/>
        <w:br/>
        <w:t>심의 결과: 만장일치 승인</w:t>
        <w:br/>
        <w:t>조건: Phase 1을 2주 내 구현하여 프로덕션 검증 후 Phase 2 진행</w:t>
        <w:br/>
        <w:t>담당: 한승우 + 백엔드팀 | 완료 목표: Phase 1 — 3/21, Phase 2 — 4/15</w:t>
      </w:r>
    </w:p>
    <w:p>
      <w:pPr>
        <w:pStyle w:val="Heading3"/>
      </w:pPr>
      <w:r>
        <w:rPr>
          <w:color w:val="1A1A2E"/>
        </w:rPr>
        <w:t>1.2 [조건부 승인] RAG 파이프라인 v2 — 조항 단위 재청킹</w:t>
      </w:r>
    </w:p>
    <w:p>
      <w:r>
        <w:t>제안자: 김수현 | 영향 범위: Qdrant 벡터 DB, 규정 검색, 판단 Agent</w:t>
        <w:br/>
        <w:br/>
        <w:t>현황: 현재 규정 문서는 500토큰 단위로 청킹되어 Qdrant에 저장. 조항 경계를 무시하고 잘리는 경우가 빈번하여 판단 Agent의 조항 출처 정확도가 78.4%에 그침.</w:t>
        <w:br/>
        <w:br/>
        <w:t>제안:</w:t>
        <w:br/>
        <w:t xml:space="preserve">  - 청킹 단위를 '조항(Article)' 기반으로 변경 (제N조 단위 분할)</w:t>
        <w:br/>
        <w:t xml:space="preserve">  - 상위 문서 제목, 장/절 정보를 메타데이터에 포함</w:t>
        <w:br/>
        <w:t xml:space="preserve">  - 짧은 조항은 인접 조항과 병합 (최소 100토큰), 긴 조항은 하위 항 단위로 재분할</w:t>
        <w:br/>
        <w:t xml:space="preserve">  - 재청킹 스크립트: rebuild_qdrant.py (이미 작성 완료)</w:t>
        <w:br/>
        <w:br/>
        <w:t>우려 사항 (장우진):</w:t>
        <w:br/>
        <w:t xml:space="preserve">  - 기존 벡터 DB 데이터와의 호환성 — 재인덱싱 시 서비스 중단 발생 가능</w:t>
        <w:br/>
        <w:t xml:space="preserve">  - 청킹 방식 변경으로 기존 검색 결과가 달라질 수 있음 — A/B 테스트 필요</w:t>
        <w:br/>
        <w:br/>
        <w:t>심의 결과: 조건부 승인</w:t>
        <w:br/>
        <w:t>조건: 스테이징 환경에서 기존 방식과 A/B 비교 평가 후 프로덕션 적용</w:t>
        <w:br/>
        <w:t>담당: 김수현 + 경은(RAG) | 완료 목표: A/B 테스트 — 3/28, 프로덕션 — 4/7</w:t>
      </w:r>
    </w:p>
    <w:p>
      <w:pPr>
        <w:pStyle w:val="Heading3"/>
      </w:pPr>
      <w:r>
        <w:rPr>
          <w:color w:val="1A1A2E"/>
        </w:rPr>
        <w:t>1.3 [보류] MSA 전환 — 채팅 서비스 분리</w:t>
      </w:r>
    </w:p>
    <w:p>
      <w:r>
        <w:t>제안자: 이하은 | 영향 범위: chat.py, 전체 배포 아키텍처</w:t>
        <w:br/>
        <w:br/>
        <w:t>현황: 현재 모노리스 FastAPI 서버에서 채팅(SSE 스트리밍), 문서 관리, 일정, 인증이 모두 단일 프로세스로 실행. 채팅 스트리밍의 long-lived 커넥션이 다른 API의 커넥션 풀을 점유하여 간헐적 타임아웃 발생.</w:t>
        <w:br/>
        <w:br/>
        <w:t>제안: 채팅 서비스를 별도 FastAPI 인스턴스로 분리하고, Nginx에서 /api/v1/chat/* 경로를 별도 upstream으로 라우팅.</w:t>
        <w:br/>
        <w:br/>
        <w:t>반대 의견 (박서연 CTO):</w:t>
        <w:br/>
        <w:t xml:space="preserve">  - 현 시점에서 MSA 전환은 운영 복잡도를 크게 높임 (단일 서비스 → 2개 서비스 + 서비스 디스커버리)</w:t>
        <w:br/>
        <w:t xml:space="preserve">  - 커넥션 풀 문제는 pool_size 조정 + uvicorn 워커 수 증가로 해결 가능</w:t>
        <w:br/>
        <w:t xml:space="preserve">  - 5단계(통합 및 테스트) 이전에 아키텍처 변경은 리스크가 큼</w:t>
        <w:br/>
        <w:br/>
        <w:t>심의 결과: 보류 (5단계 이후 재논의)</w:t>
        <w:br/>
        <w:t>대안: uvicorn --workers 4 + pool_size 조정으로 즉시 대응</w:t>
        <w:br/>
        <w:t>담당: 이하은 | 조치 완료: 3/14</w:t>
      </w:r>
    </w:p>
    <w:p>
      <w:pPr>
        <w:pStyle w:val="Heading2"/>
      </w:pPr>
      <w:r>
        <w:rPr>
          <w:color w:val="1A1A2E"/>
        </w:rPr>
        <w:t>2. 기술 부채 현황 점검</w:t>
      </w:r>
    </w:p>
    <w:p>
      <w:r>
        <w:t>이하은 책임이 '2025년 1분기 기술 부채 분석 보고서'를 요약 발표하였다 (별도 문서 참조).</w:t>
        <w:br/>
        <w:br/>
        <w:t>주요 논의:</w:t>
        <w:br/>
        <w:t xml:space="preserve">  - 의존성 취약점 7건 즉시 패치 합의 (DevOps: 윤서준, 3/14까지)</w:t>
        <w:br/>
        <w:t xml:space="preserve">  - 프론트엔드 테스트 커버리지 42.1%는 심각한 수준 — 2분기 OKR에 '커버리지 60% 달성' 포함</w:t>
        <w:br/>
        <w:t xml:space="preserve">  - chat.py의 event_generator 함수(540줄, 복잡도 29) 리팩토링은 MSA 전환 보류에 따라 단기적으로 핸들러 함수 분리만 진행</w:t>
      </w:r>
    </w:p>
    <w:p>
      <w:pPr>
        <w:pStyle w:val="Heading2"/>
      </w:pPr>
      <w:r>
        <w:rPr>
          <w:color w:val="1A1A2E"/>
        </w:rPr>
        <w:t>3. 인프라/보안 업데이트</w:t>
      </w:r>
    </w:p>
    <w:p>
      <w:r>
        <w:t>장우진 팀장:</w:t>
        <w:br/>
        <w:t xml:space="preserve">  - EC2 t3.xlarge → t3.2xlarge 업그레이드 완료 (메모리 8GB → 32GB, 3/5)</w:t>
        <w:br/>
        <w:t xml:space="preserve">  - Qdrant Cloud Free tier 용량 한계 근접 — Managed Qdrant 전환 검토 필요</w:t>
        <w:br/>
        <w:t xml:space="preserve">  - SSL 인증서 자동 갱신(Let's Encrypt) 설정 완료</w:t>
        <w:br/>
        <w:t xml:space="preserve">  - GitHub Actions CI/CD 파이프라인에 SAST(CodeQL) + 의존성 스캔(Snyk) 추가 예정</w:t>
        <w:br/>
        <w:br/>
        <w:t>윤서준 리드:</w:t>
        <w:br/>
        <w:t xml:space="preserve">  - Docker 이미지 빌드 시간 8분 → 3분으로 최적화 (multi-stage build + 캐시 레이어)</w:t>
        <w:br/>
        <w:t xml:space="preserve">  - 모니터링: Prometheus + Grafana 대시보드 구축 완료 (API 응답 시간, 에러율, DB 커넥션)</w:t>
        <w:br/>
        <w:t xml:space="preserve">  - 알림: Grafana → Slack #ops-alerts 연동 완료</w:t>
      </w:r>
    </w:p>
    <w:p>
      <w:pPr>
        <w:pStyle w:val="Heading2"/>
      </w:pPr>
      <w:r>
        <w:rPr>
          <w:color w:val="1A1A2E"/>
        </w:rPr>
        <w:t>4. 액션 아이템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마감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의존성 취약점 7건 패치</w:t>
            </w:r>
          </w:p>
        </w:tc>
        <w:tc>
          <w:tcPr>
            <w:tcW w:type="dxa" w:w="1728"/>
          </w:tcPr>
          <w:p>
            <w:r>
              <w:t>윤서준</w:t>
            </w:r>
          </w:p>
        </w:tc>
        <w:tc>
          <w:tcPr>
            <w:tcW w:type="dxa" w:w="1728"/>
          </w:tcPr>
          <w:p>
            <w:r>
              <w:t>3/14</w:t>
            </w:r>
          </w:p>
        </w:tc>
        <w:tc>
          <w:tcPr>
            <w:tcW w:type="dxa" w:w="1728"/>
          </w:tcPr>
          <w:p>
            <w:r>
              <w:t>진행 중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문서 처리 비동기 전환 Phase 1</w:t>
            </w:r>
          </w:p>
        </w:tc>
        <w:tc>
          <w:tcPr>
            <w:tcW w:type="dxa" w:w="1728"/>
          </w:tcPr>
          <w:p>
            <w:r>
              <w:t>한승우</w:t>
            </w:r>
          </w:p>
        </w:tc>
        <w:tc>
          <w:tcPr>
            <w:tcW w:type="dxa" w:w="1728"/>
          </w:tcPr>
          <w:p>
            <w:r>
              <w:t>3/21</w:t>
            </w:r>
          </w:p>
        </w:tc>
        <w:tc>
          <w:tcPr>
            <w:tcW w:type="dxa" w:w="1728"/>
          </w:tcPr>
          <w:p>
            <w:r>
              <w:t>착수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RAG 조항 단위 재청킹 A/B 테스트</w:t>
            </w:r>
          </w:p>
        </w:tc>
        <w:tc>
          <w:tcPr>
            <w:tcW w:type="dxa" w:w="1728"/>
          </w:tcPr>
          <w:p>
            <w:r>
              <w:t>김수현, 경은</w:t>
            </w:r>
          </w:p>
        </w:tc>
        <w:tc>
          <w:tcPr>
            <w:tcW w:type="dxa" w:w="1728"/>
          </w:tcPr>
          <w:p>
            <w:r>
              <w:t>3/28</w:t>
            </w:r>
          </w:p>
        </w:tc>
        <w:tc>
          <w:tcPr>
            <w:tcW w:type="dxa" w:w="1728"/>
          </w:tcPr>
          <w:p>
            <w:r>
              <w:t>착수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uvicorn 워커 수 조정 + pool_size 최적화</w:t>
            </w:r>
          </w:p>
        </w:tc>
        <w:tc>
          <w:tcPr>
            <w:tcW w:type="dxa" w:w="1728"/>
          </w:tcPr>
          <w:p>
            <w:r>
              <w:t>이하은</w:t>
            </w:r>
          </w:p>
        </w:tc>
        <w:tc>
          <w:tcPr>
            <w:tcW w:type="dxa" w:w="1728"/>
          </w:tcPr>
          <w:p>
            <w:r>
              <w:t>3/14</w:t>
            </w:r>
          </w:p>
        </w:tc>
        <w:tc>
          <w:tcPr>
            <w:tcW w:type="dxa" w:w="1728"/>
          </w:tcPr>
          <w:p>
            <w:r>
              <w:t>착수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chat.py event_generator 핸들러 분리</w:t>
            </w:r>
          </w:p>
        </w:tc>
        <w:tc>
          <w:tcPr>
            <w:tcW w:type="dxa" w:w="1728"/>
          </w:tcPr>
          <w:p>
            <w:r>
              <w:t>이하은</w:t>
            </w:r>
          </w:p>
        </w:tc>
        <w:tc>
          <w:tcPr>
            <w:tcW w:type="dxa" w:w="1728"/>
          </w:tcPr>
          <w:p>
            <w:r>
              <w:t>3/28</w:t>
            </w:r>
          </w:p>
        </w:tc>
        <w:tc>
          <w:tcPr>
            <w:tcW w:type="dxa" w:w="1728"/>
          </w:tcPr>
          <w:p>
            <w:r>
              <w:t>예정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프론트엔드 테스트 OKR 수립</w:t>
            </w:r>
          </w:p>
        </w:tc>
        <w:tc>
          <w:tcPr>
            <w:tcW w:type="dxa" w:w="1728"/>
          </w:tcPr>
          <w:p>
            <w:r>
              <w:t>프론트엔드 TL</w:t>
            </w:r>
          </w:p>
        </w:tc>
        <w:tc>
          <w:tcPr>
            <w:tcW w:type="dxa" w:w="1728"/>
          </w:tcPr>
          <w:p>
            <w:r>
              <w:t>3/14</w:t>
            </w:r>
          </w:p>
        </w:tc>
        <w:tc>
          <w:tcPr>
            <w:tcW w:type="dxa" w:w="1728"/>
          </w:tcPr>
          <w:p>
            <w:r>
              <w:t>예정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Qdrant Managed 전환 비용 분석</w:t>
            </w:r>
          </w:p>
        </w:tc>
        <w:tc>
          <w:tcPr>
            <w:tcW w:type="dxa" w:w="1728"/>
          </w:tcPr>
          <w:p>
            <w:r>
              <w:t>장우진</w:t>
            </w:r>
          </w:p>
        </w:tc>
        <w:tc>
          <w:tcPr>
            <w:tcW w:type="dxa" w:w="1728"/>
          </w:tcPr>
          <w:p>
            <w:r>
              <w:t>3/21</w:t>
            </w:r>
          </w:p>
        </w:tc>
        <w:tc>
          <w:tcPr>
            <w:tcW w:type="dxa" w:w="1728"/>
          </w:tcPr>
          <w:p>
            <w:r>
              <w:t>예정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CI/CD SAST + Snyk 추가</w:t>
            </w:r>
          </w:p>
        </w:tc>
        <w:tc>
          <w:tcPr>
            <w:tcW w:type="dxa" w:w="1728"/>
          </w:tcPr>
          <w:p>
            <w:r>
              <w:t>윤서준</w:t>
            </w:r>
          </w:p>
        </w:tc>
        <w:tc>
          <w:tcPr>
            <w:tcW w:type="dxa" w:w="1728"/>
          </w:tcPr>
          <w:p>
            <w:r>
              <w:t>3/28</w:t>
            </w:r>
          </w:p>
        </w:tc>
        <w:tc>
          <w:tcPr>
            <w:tcW w:type="dxa" w:w="1728"/>
          </w:tcPr>
          <w:p>
            <w:r>
              <w:t>예정</w:t>
            </w:r>
          </w:p>
        </w:tc>
      </w:tr>
    </w:tbl>
    <w:p/>
    <w:p>
      <w:pPr>
        <w:pStyle w:val="Heading2"/>
      </w:pPr>
      <w:r>
        <w:rPr>
          <w:color w:val="1A1A2E"/>
        </w:rPr>
        <w:t>5. 차기 회의</w:t>
      </w:r>
    </w:p>
    <w:p>
      <w:r>
        <w:t>일시: 2025년 4월 4일 (금) 14:00</w:t>
      </w:r>
    </w:p>
    <w:p>
      <w:r>
        <w:t>안건: 비동기 전환 Phase 1 결과, RAG v2 A/B 테스트 결과, 2분기 기술 로드맵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