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전략적 제휴 및 합작투자 계약서</w:t>
      </w:r>
    </w:p>
    <w:p>
      <w:pPr>
        <w:spacing w:after="80" w:line="320" w:lineRule="exact"/>
      </w:pPr>
      <w:r>
        <w:rPr>
          <w:b w:val="0"/>
          <w:sz w:val="20"/>
        </w:rPr>
        <w:t>계약번호: TN-JV-2025-0003</w:t>
      </w:r>
    </w:p>
    <w:p>
      <w:pPr>
        <w:spacing w:after="80" w:line="320" w:lineRule="exact"/>
      </w:pPr>
      <w:r>
        <w:rPr>
          <w:b w:val="0"/>
          <w:sz w:val="20"/>
        </w:rPr>
        <w:t>주식회사 테크노바(이하 "갑")과 글로벌테크 주식회사(이하 "을")은 AI 기반 기업용 솔루션 사업의 공동 추진을 위한 전략적 제휴 및 합작투자에 관하여 다음과 같이 계약을 체결한다.</w:t>
      </w:r>
    </w:p>
    <w:p>
      <w:r>
        <w:br w:type="page"/>
      </w:r>
    </w:p>
    <w:p>
      <w:pPr>
        <w:pStyle w:val="Heading2"/>
      </w:pPr>
      <w:r>
        <w:rPr>
          <w:color w:val="1A1A2E"/>
        </w:rPr>
        <w:t>제1조 (목적)</w:t>
      </w:r>
    </w:p>
    <w:p>
      <w:pPr>
        <w:spacing w:after="80" w:line="320" w:lineRule="exact"/>
      </w:pPr>
      <w:r>
        <w:rPr>
          <w:b w:val="0"/>
          <w:sz w:val="20"/>
        </w:rPr>
        <w:t>본 계약은 "갑"과 "을"이 공동으로 AI 기반 기업용 워크플로우 자동화 솔루션(이하 "합작사업")을 개발·판매하기 위한 합작투자법인(Joint Venture, 이하 "합작법인")의 설립 및 운영, 양 당사자 간의 전략적 제휴에 관한 사항을 정함을 목적으로 한다.</w:t>
      </w:r>
    </w:p>
    <w:p>
      <w:pPr>
        <w:pStyle w:val="Heading2"/>
      </w:pPr>
      <w:r>
        <w:rPr>
          <w:color w:val="1A1A2E"/>
        </w:rPr>
        <w:t>제2조 (합작법인 설립)</w:t>
      </w:r>
    </w:p>
    <w:p>
      <w:pPr>
        <w:spacing w:after="80" w:line="320" w:lineRule="exact"/>
      </w:pPr>
      <w:r>
        <w:rPr>
          <w:b w:val="0"/>
          <w:sz w:val="20"/>
        </w:rPr>
        <w:t>① 합작법인의 개요는 다음과 같다.</w:t>
        <w:br/>
        <w:t>- 상호: 주식회사 에이아이웍스 (AIWorks Inc.)</w:t>
        <w:br/>
        <w:t>- 본점 소재지: 서울특별시 강남구</w:t>
        <w:br/>
        <w:t>- 설립일: 2025년 7월 1일 (예정)</w:t>
        <w:br/>
        <w:t>- 사업 목적: AI 기반 기업용 워크플로우 자동화 솔루션의 개발, 판매, 유지보수</w:t>
        <w:br/>
        <w:t>- 존속기간: 설립일로부터 10년 (양측 합의 시 연장 가능)</w:t>
        <w:br/>
        <w:br/>
        <w:t>② 합작법인의 자본금은 금 100억 원으로 하며, 다음과 같이 출자한다.</w:t>
        <w:br/>
        <w:t>- "갑": 60억 원 (지분율 60%) — 현금 40억 원 + 기술 현물출자 20억 원</w:t>
        <w:br/>
        <w:t>- "을": 40억 원 (지분율 40%) — 현금 30억 원 + 영업권 현물출자 10억 원</w:t>
        <w:br/>
        <w:br/>
        <w:t>③ 기술 현물출자 (갑):</w:t>
        <w:br/>
        <w:t>1. AI 에이전트 프레임워크 (LangGraph 기반 오케스트레이션 엔진)</w:t>
        <w:br/>
        <w:t>2. 문서 파싱 엔진 (Docling + PaddleOCR 기반)</w:t>
        <w:br/>
        <w:t>3. RAG 파이프라인 (하이브리드 검색 + 리랭커)</w:t>
        <w:br/>
        <w:t>4. 위 기술의 소스코드, 학습 데이터, 모델 가중치</w:t>
        <w:br/>
        <w:br/>
        <w:t>④ 영업권 현물출자 (을):</w:t>
        <w:br/>
        <w:t>1. 기존 기업 고객 500개사 네트워크 및 파트너십</w:t>
        <w:br/>
        <w:t>2. 글로벌 판매 채널 (미국, 일본, 동남아)</w:t>
        <w:br/>
        <w:t>3. 고객 인사이트 및 시장 데이터</w:t>
      </w:r>
    </w:p>
    <w:p>
      <w:pPr>
        <w:pStyle w:val="Heading2"/>
      </w:pPr>
      <w:r>
        <w:rPr>
          <w:color w:val="1A1A2E"/>
        </w:rPr>
        <w:t>제3조 (출자 이행)</w:t>
      </w:r>
    </w:p>
    <w:p>
      <w:pPr>
        <w:spacing w:after="80" w:line="320" w:lineRule="exact"/>
      </w:pPr>
      <w:r>
        <w:rPr>
          <w:b w:val="0"/>
          <w:sz w:val="20"/>
        </w:rPr>
        <w:t>① 현금 출자는 합작법인 설립 등기일로부터 14일 이내에 합작법인 명의 계좌에 납입한다.</w:t>
        <w:br/>
        <w:t>② 기술 현물출자의 가치 평가는 양측이 합의한 독립적 기술가치평가기관(한국산업기술진흥원 추천)의 평가 결과에 따른다.</w:t>
        <w:br/>
        <w:t>③ 현물출자 이행 시 기술 이전 범위, 라이선스 조건, 제한사항은 별첨 1 "기술 이전 계약서"에 정한다.</w:t>
        <w:br/>
        <w:t>④ 추가 출자가 필요한 경우, 양측은 기존 지분율에 비례하여 출자한다. 일방이 추가 출자에 불참하는 경우, 타방이 단독 출자할 수 있으며, 이에 따라 지분율이 조정된다.</w:t>
      </w:r>
    </w:p>
    <w:p>
      <w:pPr>
        <w:pStyle w:val="Heading2"/>
      </w:pPr>
      <w:r>
        <w:rPr>
          <w:color w:val="1A1A2E"/>
        </w:rPr>
        <w:t>제4조 (합작법인의 지배구조)</w:t>
      </w:r>
    </w:p>
    <w:p>
      <w:pPr>
        <w:spacing w:after="80" w:line="320" w:lineRule="exact"/>
      </w:pPr>
      <w:r>
        <w:rPr>
          <w:b w:val="0"/>
          <w:sz w:val="20"/>
        </w:rPr>
        <w:t>① 이사회 구성:</w:t>
        <w:br/>
        <w:t>- 총 이사 5인: "갑" 지명 3인, "을" 지명 2인</w:t>
        <w:br/>
        <w:t>- 이사회 의장: "갑" 지명 이사 중 1인</w:t>
        <w:br/>
        <w:t>- 임기: 2년 (연임 가능)</w:t>
        <w:br/>
        <w:br/>
        <w:t>② 이사회 결의 사항:</w:t>
        <w:br/>
        <w:t>- 보통결의 (이사 과반수 찬성): 일상 업무 의사결정, 분기 예산 집행, 인력 채용</w:t>
        <w:br/>
        <w:t>- 특별결의 (이사 4인 이상 찬성): 아래 중요 사항</w:t>
        <w:br/>
        <w:t xml:space="preserve">  a. 연간 사업계획 및 예산 승인</w:t>
        <w:br/>
        <w:t xml:space="preserve">  b. 5억 원 이상의 투자 또는 차입</w:t>
        <w:br/>
        <w:t xml:space="preserve">  c. 정관 변경</w:t>
        <w:br/>
        <w:t xml:space="preserve">  d. 신주 발행 또는 자본금 변경</w:t>
        <w:br/>
        <w:t xml:space="preserve">  e. 합작법인의 합병, 분할, 해산</w:t>
        <w:br/>
        <w:t xml:space="preserve">  f. 핵심 임원(CEO, CTO, CFO) 선임 및 해임</w:t>
        <w:br/>
        <w:t xml:space="preserve">  g. 지분 양도 승인</w:t>
        <w:br/>
        <w:t xml:space="preserve">  h. 주요 계약(10억 원 이상) 체결</w:t>
        <w:br/>
        <w:t xml:space="preserve">  i. 신규 사업 진출</w:t>
        <w:br/>
        <w:br/>
        <w:t>③ 경영진 구성:</w:t>
        <w:br/>
        <w:t>- CEO: "갑" 지명 (초대 CEO: [추후 지정])</w:t>
        <w:br/>
        <w:t>- CTO: "갑" 지명 (기술 총괄)</w:t>
        <w:br/>
        <w:t>- CSO(영업총괄): "을" 지명 (글로벌 영업 담당)</w:t>
        <w:br/>
        <w:t>- CFO: "을" 지명 (재무·회계 총괄)</w:t>
        <w:br/>
        <w:br/>
        <w:t>④ 감사: 각 당사자가 1인씩 선임 (총 2인)</w:t>
      </w:r>
    </w:p>
    <w:p>
      <w:pPr>
        <w:pStyle w:val="Heading2"/>
      </w:pPr>
      <w:r>
        <w:rPr>
          <w:color w:val="1A1A2E"/>
        </w:rPr>
        <w:t>제5조 (사업 계획)</w:t>
      </w:r>
    </w:p>
    <w:p>
      <w:pPr>
        <w:spacing w:after="80" w:line="320" w:lineRule="exact"/>
      </w:pPr>
      <w:r>
        <w:rPr>
          <w:b w:val="0"/>
          <w:sz w:val="20"/>
        </w:rPr>
        <w:t>① 합작사업의 3개년 사업 계획은 다음과 같다.</w:t>
        <w:br/>
        <w:br/>
        <w:t>[1차년도 (2025.07~2026.06): 제품 개발 및 베타 출시]</w:t>
        <w:br/>
        <w:t>- AI 워크플로우 자동화 솔루션 v1.0 개발</w:t>
        <w:br/>
        <w:t>- 핵심 기능: 문서 자동 분석, 일정 관리, 회의록 자동 생성, 업무 자동 분배</w:t>
        <w:br/>
        <w:t>- 베타 고객 20개사 확보</w:t>
        <w:br/>
        <w:t>- 목표 매출: 15억 원</w:t>
        <w:br/>
        <w:t>- 예상 비용: 45억 원 (개발 인건비 30억, 인프라 10억, 기타 5억)</w:t>
        <w:br/>
        <w:br/>
        <w:t>[2차년도 (2026.07~2027.06): 시장 확대]</w:t>
        <w:br/>
        <w:t>- v2.0 출시 (ERP/CRM 연동, 글로벌 다국어 지원)</w:t>
        <w:br/>
        <w:t>- 국내 고객 100개사, 해외 고객 30개사</w:t>
        <w:br/>
        <w:t>- 목표 매출: 80억 원</w:t>
        <w:br/>
        <w:t>- 예상 비용: 55억 원</w:t>
        <w:br/>
        <w:t>- BEP(손익분기점) 달성 목표</w:t>
        <w:br/>
        <w:br/>
        <w:t>[3차년도 (2027.07~2028.06): 수익화 및 확장]</w:t>
        <w:br/>
        <w:t>- v3.0 출시 (Industry-specific 솔루션: 금융, 제조, 의료)</w:t>
        <w:br/>
        <w:t>- 국내 고객 300개사, 해외 고객 100개사</w:t>
        <w:br/>
        <w:t>- 목표 매출: 200억 원</w:t>
        <w:br/>
        <w:t>- 목표 영업이익: 40억 원 (영업이익률 20%)</w:t>
      </w:r>
    </w:p>
    <w:p>
      <w:pPr>
        <w:pStyle w:val="Heading2"/>
      </w:pPr>
      <w:r>
        <w:rPr>
          <w:color w:val="1A1A2E"/>
        </w:rPr>
        <w:t>제6조 (각 당사자의 역할과 의무)</w:t>
      </w:r>
    </w:p>
    <w:p>
      <w:pPr>
        <w:spacing w:after="80" w:line="320" w:lineRule="exact"/>
      </w:pPr>
      <w:r>
        <w:rPr>
          <w:b w:val="0"/>
          <w:sz w:val="20"/>
        </w:rPr>
        <w:t>① "갑"의 역할:</w:t>
        <w:br/>
        <w:t>1. AI/ML 핵심 기술 개발 및 지속적 기술 지원</w:t>
        <w:br/>
        <w:t>2. 기술 인력 파견 (초기 20명, 이후 필요 시 추가)</w:t>
        <w:br/>
        <w:t>3. AI 모델 학습을 위한 컴퓨팅 리소스 제공 (RunPod A100)</w:t>
        <w:br/>
        <w:t>4. 국내 기술 파트너십 네트워크 활용</w:t>
        <w:br/>
        <w:t>5. 특허 출원 및 지식재산권 관리 지원</w:t>
        <w:br/>
        <w:br/>
        <w:t>② "을"의 역할:</w:t>
        <w:br/>
        <w:t>1. 글로벌 영업 및 마케팅 총괄</w:t>
        <w:br/>
        <w:t>2. 기존 고객 네트워크를 통한 초기 고객 확보</w:t>
        <w:br/>
        <w:t>3. 해외 법인(미국, 일본, 싱가포르)을 통한 글로벌 판매</w:t>
        <w:br/>
        <w:t>4. 고객 성공(Customer Success) 조직 운영</w:t>
        <w:br/>
        <w:t>5. 규제 및 컴플라이언스 대응 (각국 데이터 보호법)</w:t>
      </w:r>
    </w:p>
    <w:p>
      <w:pPr>
        <w:pStyle w:val="Heading2"/>
      </w:pPr>
      <w:r>
        <w:rPr>
          <w:color w:val="1A1A2E"/>
        </w:rPr>
        <w:t>제7조 (지식재산권)</w:t>
      </w:r>
    </w:p>
    <w:p>
      <w:pPr>
        <w:spacing w:after="80" w:line="320" w:lineRule="exact"/>
      </w:pPr>
      <w:r>
        <w:rPr>
          <w:b w:val="0"/>
          <w:sz w:val="20"/>
        </w:rPr>
        <w:t>① 합작법인의 사업 수행 과정에서 발생하는 신규 지식재산권은 합작법인에 귀속한다.</w:t>
        <w:br/>
        <w:t>② 각 당사자가 합작법인에 출자한 기존 지식재산(이하 "배경IP")의 소유권은 원 출자자에게 유보된다.</w:t>
        <w:br/>
        <w:t>③ 배경IP에 대해 합작법인에 부여되는 라이선스:</w:t>
        <w:br/>
        <w:t>- 범위: 합작사업 목적 범위 내 사용, 수정, 배포</w:t>
        <w:br/>
        <w:t>- 기간: 합작법인 존속기간</w:t>
        <w:br/>
        <w:t>- 독점성: 합작사업 영역 내 독점 (해당 영역 외 비독점)</w:t>
        <w:br/>
        <w:t>- 서브라이선스: 합작사업 수행에 필요한 범위 내 허용</w:t>
        <w:br/>
        <w:t>④ 합작법인이 취득한 특허, 상표, 저작권 등의 출원·등록 비용은 합작법인이 부담한다.</w:t>
        <w:br/>
        <w:t>⑤ 합작법인 해산 시 신규 지식재산권의 귀속은 제15조에 따른다.</w:t>
      </w:r>
    </w:p>
    <w:p>
      <w:pPr>
        <w:pStyle w:val="Heading2"/>
      </w:pPr>
      <w:r>
        <w:rPr>
          <w:color w:val="1A1A2E"/>
        </w:rPr>
        <w:t>제8조 (경업 금지)</w:t>
      </w:r>
    </w:p>
    <w:p>
      <w:pPr>
        <w:spacing w:after="80" w:line="320" w:lineRule="exact"/>
      </w:pPr>
      <w:r>
        <w:rPr>
          <w:b w:val="0"/>
          <w:sz w:val="20"/>
        </w:rPr>
        <w:t>① 양 당사자는 합작법인 존속기간 중 및 해산 후 2년간, 합작사업과 실질적으로 경쟁하는 사업을 직접 또는 제3자를 통해 영위하지 아니한다.</w:t>
        <w:br/>
        <w:t>② 경업 금지의 범위:</w:t>
        <w:br/>
        <w:t>- 지역: 대한민국, 미국, 일본, 동남아시아</w:t>
        <w:br/>
        <w:t>- 업종: AI 기반 기업용 워크플로우 자동화 솔루션의 개발·판매</w:t>
        <w:br/>
        <w:t>③ 다만, 다음의 경우에는 경업 금지 의무가 면제된다.</w:t>
        <w:br/>
        <w:t>1. 본 계약 체결 이전부터 영위하고 있던 기존 사업</w:t>
        <w:br/>
        <w:t>2. 합작사업과 직접 경쟁하지 않는 인접 분야의 사업</w:t>
        <w:br/>
        <w:t>3. 양측 이사회 특별결의로 승인한 경우</w:t>
        <w:br/>
        <w:t>④ 경업 금지 의무 위반 시, 위반 당사자는 상대방에게 위반으로 인한 손해를 배상하고, 위반 행위로 얻은 이익을 합작법인에 반환한다.</w:t>
      </w:r>
    </w:p>
    <w:p>
      <w:pPr>
        <w:pStyle w:val="Heading2"/>
      </w:pPr>
      <w:r>
        <w:rPr>
          <w:color w:val="1A1A2E"/>
        </w:rPr>
        <w:t>제9조 (지분 양도 제한)</w:t>
      </w:r>
    </w:p>
    <w:p>
      <w:pPr>
        <w:spacing w:after="80" w:line="320" w:lineRule="exact"/>
      </w:pPr>
      <w:r>
        <w:rPr>
          <w:b w:val="0"/>
          <w:sz w:val="20"/>
        </w:rPr>
        <w:t>① 양 당사자는 상대방의 사전 서면 동의 없이 합작법인의 지분을 제3자에게 양도, 담보 제공 또는 기타 처분할 수 없다.</w:t>
        <w:br/>
        <w:t>② 일방이 지분을 양도하고자 하는 경우, 우선매수권(Right of First Refusal)이 상대방에게 부여된다.</w:t>
        <w:br/>
        <w:t>- 양도 희망자는 양도 조건(가격, 수량, 양수인)을 상대방에게 서면 통지</w:t>
        <w:br/>
        <w:t>- 상대방은 통지 수령 후 60일 이내에 동일 조건으로 매수 의사를 통보</w:t>
        <w:br/>
        <w:t>- 상대방이 매수 의사를 통보하지 않은 경우, 양도 희망자는 통지된 조건 이상으로 제3자에게 양도 가능</w:t>
        <w:br/>
        <w:t>③ 합작법인 설립 후 3년간은 양도를 금지한다 (Lock-up Period).</w:t>
        <w:br/>
        <w:t>④ 지배구조 변경(경영권 변동)이 발생한 당사자의 지분에 대해, 상대방은 공정한 시장가치(Fair Market Value)로 매수를 청구할 수 있다 (Change of Control 조항).</w:t>
      </w:r>
    </w:p>
    <w:p>
      <w:pPr>
        <w:pStyle w:val="Heading2"/>
      </w:pPr>
      <w:r>
        <w:rPr>
          <w:color w:val="1A1A2E"/>
        </w:rPr>
        <w:t>제10조 (이익 배분)</w:t>
      </w:r>
    </w:p>
    <w:p>
      <w:pPr>
        <w:spacing w:after="80" w:line="320" w:lineRule="exact"/>
      </w:pPr>
      <w:r>
        <w:rPr>
          <w:b w:val="0"/>
          <w:sz w:val="20"/>
        </w:rPr>
        <w:t>① 합작법인의 이익은 주주총회 결의에 따라 배당한다.</w:t>
        <w:br/>
        <w:t>② 배당 원칙:</w:t>
        <w:br/>
        <w:t>- 당기순이익의 30% 이상을 배당함을 원칙으로 한다.</w:t>
        <w:br/>
        <w:t>- 잔여 이익은 사업 재투자에 활용한다.</w:t>
        <w:br/>
        <w:t>③ 배당은 지분율에 비례하여 지급한다 ("갑" 60%, "을" 40%).</w:t>
        <w:br/>
        <w:t>④ 합작법인의 누적 결손이 해소되기 전에는 배당을 실시하지 아니한다.</w:t>
      </w:r>
    </w:p>
    <w:p>
      <w:pPr>
        <w:pStyle w:val="Heading2"/>
      </w:pPr>
      <w:r>
        <w:rPr>
          <w:color w:val="1A1A2E"/>
        </w:rPr>
        <w:t>제11조 (추가 투자 및 자금조달)</w:t>
      </w:r>
    </w:p>
    <w:p>
      <w:pPr>
        <w:spacing w:after="80" w:line="320" w:lineRule="exact"/>
      </w:pPr>
      <w:r>
        <w:rPr>
          <w:b w:val="0"/>
          <w:sz w:val="20"/>
        </w:rPr>
        <w:t>① 합작법인의 운영에 추가 자금이 필요한 경우, 이사회 특별결의를 거쳐 다음 방법으로 조달한다.</w:t>
        <w:br/>
        <w:t>1. 유상증자: 기존 지분율에 비례하여 출자</w:t>
        <w:br/>
        <w:t>2. 차입: 금융기관 차입 (합작법인 명의)</w:t>
        <w:br/>
        <w:t>3. 전환사채(CB) 발행</w:t>
        <w:br/>
        <w:t>② 일방이 유상증자에 불참하는 경우:</w:t>
        <w:br/>
        <w:t>- 타방이 단독 출자 가능</w:t>
        <w:br/>
        <w:t>- 불참 당사자의 지분율은 희석됨</w:t>
        <w:br/>
        <w:t>- 지분율이 20% 미만으로 하락 시, 이사 지명권이 1인으로 축소됨</w:t>
        <w:br/>
        <w:t>③ 합작법인의 총 차입 한도는 자기자본의 200%로 한다.</w:t>
      </w:r>
    </w:p>
    <w:p>
      <w:pPr>
        <w:pStyle w:val="Heading2"/>
      </w:pPr>
      <w:r>
        <w:rPr>
          <w:color w:val="1A1A2E"/>
        </w:rPr>
        <w:t>제12조 (교착상태 해소)</w:t>
      </w:r>
    </w:p>
    <w:p>
      <w:pPr>
        <w:spacing w:after="80" w:line="320" w:lineRule="exact"/>
      </w:pPr>
      <w:r>
        <w:rPr>
          <w:b w:val="0"/>
          <w:sz w:val="20"/>
        </w:rPr>
        <w:t>① 이사회 특별결의 사항에 대해 양측이 합의에 이르지 못하는 교착상태(Deadlock)가 30일 이상 지속되는 경우, 다음 절차를 따른다.</w:t>
        <w:br/>
        <w:t>1단계: 양측 CEO 면담 (30일 이내)</w:t>
        <w:br/>
        <w:t>2단계: 독립적 제3자 중재 (60일 이내)</w:t>
        <w:br/>
        <w:t>3단계: 매수/매도 옵션 행사 (아래 참조)</w:t>
        <w:br/>
        <w:br/>
        <w:t>② 매수/매도 옵션 (Russian Roulette 방식):</w:t>
        <w:br/>
        <w:t>- 일방(제안자)이 자신의 지분 전부에 대한 매수 가격을 제안</w:t>
        <w:br/>
        <w:t>- 상대방(피제안자)은 30일 이내에 다음 중 선택:</w:t>
        <w:br/>
        <w:t xml:space="preserve">  a. 제안된 가격으로 제안자의 지분을 매수, 또는</w:t>
        <w:br/>
        <w:t xml:space="preserve">  b. 제안된 가격으로 자신의 지분을 제안자에게 매도</w:t>
      </w:r>
    </w:p>
    <w:p>
      <w:pPr>
        <w:pStyle w:val="Heading2"/>
      </w:pPr>
      <w:r>
        <w:rPr>
          <w:color w:val="1A1A2E"/>
        </w:rPr>
        <w:t>제13조 (풋옵션 및 콜옵션)</w:t>
      </w:r>
    </w:p>
    <w:p>
      <w:pPr>
        <w:spacing w:after="80" w:line="320" w:lineRule="exact"/>
      </w:pPr>
      <w:r>
        <w:rPr>
          <w:b w:val="0"/>
          <w:sz w:val="20"/>
        </w:rPr>
        <w:t>① 풋옵션 (Put Option): "을"은 다음 사유 발생 시 자신의 지분 전부를 "갑"에게 공정 시장가치로 매도할 수 있다.</w:t>
        <w:br/>
        <w:t>1. "갑"의 경업 금지 의무 위반</w:t>
        <w:br/>
        <w:t>2. "갑"의 기술 지원 의무 중대 불이행</w:t>
        <w:br/>
        <w:t>3. 합작법인 설립 후 5년 경과 시점</w:t>
        <w:br/>
        <w:br/>
        <w:t>② 콜옵션 (Call Option): "갑"은 다음 사유 발생 시 "을"의 지분 전부를 공정 시장가치로 매수할 수 있다.</w:t>
        <w:br/>
        <w:t>1. "을"의 경업 금지 의무 위반</w:t>
        <w:br/>
        <w:t>2. "을"의 경영권 변동 (Change of Control)</w:t>
        <w:br/>
        <w:t>3. 합작법인 설립 후 5년 경과 시점</w:t>
        <w:br/>
        <w:br/>
        <w:t>③ 공정 시장가치는 양측이 합의한 독립적 회계법인(Big 4 중 택 1)의 평가에 따른다.</w:t>
        <w:br/>
        <w:t>④ 평가 비용은 옵션 행사자가 부담한다.</w:t>
      </w:r>
    </w:p>
    <w:p>
      <w:pPr>
        <w:pStyle w:val="Heading2"/>
      </w:pPr>
      <w:r>
        <w:rPr>
          <w:color w:val="1A1A2E"/>
        </w:rPr>
        <w:t>제14조 (비밀유지 및 데이터 보호)</w:t>
      </w:r>
    </w:p>
    <w:p>
      <w:pPr>
        <w:spacing w:after="80" w:line="320" w:lineRule="exact"/>
      </w:pPr>
      <w:r>
        <w:rPr>
          <w:b w:val="0"/>
          <w:sz w:val="20"/>
        </w:rPr>
        <w:t>① 양측은 본 계약 및 합작사업 수행 과정에서 알게 된 상대방의 비밀정보를 본 계약의 목적 외 사용하거나 제3자에게 공개하여서는 아니 된다.</w:t>
        <w:br/>
        <w:t>② 비밀유지 의무는 본 계약 종료 후 5년간 존속한다.</w:t>
        <w:br/>
        <w:t>③ 합작법인이 처리하는 고객 데이터에 대해서는 해당 국가의 개인정보보호법 및 데이터 보호 규정을 준수한다.</w:t>
        <w:br/>
        <w:t>④ 데이터 보호 책임자(DPO)를 합작법인 내에 선임한다.</w:t>
      </w:r>
    </w:p>
    <w:p>
      <w:pPr>
        <w:pStyle w:val="Heading2"/>
      </w:pPr>
      <w:r>
        <w:rPr>
          <w:color w:val="1A1A2E"/>
        </w:rPr>
        <w:t>제15조 (해산 및 잔여재산 분배)</w:t>
      </w:r>
    </w:p>
    <w:p>
      <w:pPr>
        <w:spacing w:after="80" w:line="320" w:lineRule="exact"/>
      </w:pPr>
      <w:r>
        <w:rPr>
          <w:b w:val="0"/>
          <w:sz w:val="20"/>
        </w:rPr>
        <w:t>① 합작법인은 다음의 경우 해산한다.</w:t>
        <w:br/>
        <w:t>1. 존속기간(10년) 만료 시 양측 합의가 없는 경우</w:t>
        <w:br/>
        <w:t>2. 주주총회 특별결의</w:t>
        <w:br/>
        <w:t>3. 양측의 서면 합의</w:t>
        <w:br/>
        <w:t>4. 법원의 해산 명령</w:t>
        <w:br/>
        <w:br/>
        <w:t>② 해산 시 잔여재산은 다음 순서로 분배한다.</w:t>
        <w:br/>
        <w:t>1. 합작법인의 채무 변제</w:t>
        <w:br/>
        <w:t>2. 각 당사자의 출자금 반환 (현물출자 포함)</w:t>
        <w:br/>
        <w:t>3. 잔여 재산의 지분율 비례 분배</w:t>
        <w:br/>
        <w:br/>
        <w:t>③ 신규 지식재산권의 귀속:</w:t>
        <w:br/>
        <w:t>- 양측이 합의하는 경우: 합의에 따름</w:t>
        <w:br/>
        <w:t>- 합의가 없는 경우: 양측 모두에게 비독점적, 영구적 사용 라이선스 부여</w:t>
        <w:br/>
        <w:t>- 특허의 경우: 공동 소유 (실시는 각자 자유)</w:t>
      </w:r>
    </w:p>
    <w:p>
      <w:pPr>
        <w:pStyle w:val="Heading2"/>
      </w:pPr>
      <w:r>
        <w:rPr>
          <w:color w:val="1A1A2E"/>
        </w:rPr>
        <w:t>제16조 (일반조항)</w:t>
      </w:r>
    </w:p>
    <w:p>
      <w:pPr>
        <w:spacing w:after="80" w:line="320" w:lineRule="exact"/>
      </w:pPr>
      <w:r>
        <w:rPr>
          <w:b w:val="0"/>
          <w:sz w:val="20"/>
        </w:rPr>
        <w:t>① 완전 합의: 본 계약(별첨 포함)은 합작사업에 관한 양측의 완전한 합의를 구성한다.</w:t>
        <w:br/>
        <w:t>② 수정: 양측 대표이사의 서면 합의에 의해서만 수정 가능하다.</w:t>
        <w:br/>
        <w:t>③ 통지: 서면(이메일 포함)으로 하며, 수령 시 효력 발생.</w:t>
        <w:br/>
        <w:t>④ 준거법: 대한민국 법률</w:t>
        <w:br/>
        <w:t>⑤ 분쟁해결: 대한상사중재원 중재 (서울)</w:t>
        <w:br/>
        <w:t>⑥ 존속조항: 제7조(지식재산권), 제8조(경업금지), 제14조(비밀유지), 제15조(해산) 등은 계약 종료 후에도 존속한다.</w:t>
      </w:r>
    </w:p>
    <w:p>
      <w:pPr>
        <w:pStyle w:val="Heading1"/>
      </w:pPr>
      <w:r>
        <w:rPr>
          <w:color w:val="1A1A2E"/>
        </w:rPr>
        <w:t>서명</w:t>
      </w:r>
    </w:p>
    <w:p>
      <w:pPr>
        <w:spacing w:after="80" w:line="320" w:lineRule="exact"/>
      </w:pPr>
      <w:r>
        <w:rPr>
          <w:b w:val="0"/>
          <w:sz w:val="20"/>
        </w:rPr>
        <w:t>2025년  6월  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구분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"갑" 주식회사 테크노바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"을" 글로벌테크 주식회사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소재지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서울특별시 강남구 테헤란로 152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서울특별시 영등포구 여의대로 108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대표이사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박진우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이현석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서명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(인)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(인)</w:t>
            </w:r>
          </w:p>
        </w:tc>
      </w:tr>
    </w:tbl>
    <w:p/>
    <w:p>
      <w:pPr>
        <w:spacing w:after="80" w:line="320" w:lineRule="exact"/>
      </w:pPr>
      <w:r>
        <w:rPr>
          <w:b w:val="0"/>
          <w:sz w:val="20"/>
        </w:rPr>
        <w:br/>
        <w:t>별첨 1. 기술 이전 계약서</w:t>
        <w:br/>
        <w:t>별첨 2. 합작법인 정관(안)</w:t>
        <w:br/>
        <w:t>별첨 3. 3개년 사업계획서</w:t>
        <w:br/>
        <w:t>별첨 4. 기술 가치평가 보고서</w:t>
        <w:br/>
        <w:t>별첨 5. 주주간 계약서 (SHA)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