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IT 시스템 구축 용역 계약서</w:t>
      </w:r>
    </w:p>
    <w:p>
      <w:pPr>
        <w:spacing w:after="80" w:line="320" w:lineRule="exact"/>
      </w:pPr>
      <w:r>
        <w:rPr>
          <w:b w:val="0"/>
          <w:sz w:val="20"/>
        </w:rPr>
        <w:t>계약번호: TN-IT-2025-0089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"갑")과 넥스트웨이브 솔루션즈 주식회사(이하 "을")은 아래 IT 시스템 구축 용역에 관하여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"갑"의 차세대 통합 업무 시스템(이하 "본 시스템") 구축에 관한 용역의 범위, 대가, 기간, 권리·의무 및 기타 필요한 사항을 정함을 목적으로 한다.</w:t>
      </w:r>
    </w:p>
    <w:p>
      <w:pPr>
        <w:pStyle w:val="Heading2"/>
      </w:pPr>
      <w:r>
        <w:rPr>
          <w:color w:val="1A1A2E"/>
        </w:rPr>
        <w:t>제2조 (용어의 정의)</w:t>
      </w:r>
    </w:p>
    <w:p>
      <w:pPr>
        <w:spacing w:after="80" w:line="320" w:lineRule="exact"/>
      </w:pPr>
      <w:r>
        <w:rPr>
          <w:b w:val="0"/>
          <w:sz w:val="20"/>
        </w:rPr>
        <w:t>본 계약에서 사용하는 용어의 정의는 다음과 같다.</w:t>
        <w:br/>
        <w:t>1. "본 시스템"이라 함은 별첨 1 "시스템 요구사항 정의서"에 명시된 기능과 성능을 갖춘 IT 시스템 일체를 말한다.</w:t>
        <w:br/>
        <w:t>2. "산출물"이라 함은 본 계약의 이행 과정에서 "을"이 작성하여 "갑"에게 납품하는 문서, 소프트웨어, 데이터 일체를 말한다.</w:t>
        <w:br/>
        <w:t>3. "검수"라 함은 "을"이 납품한 산출물이 계약 내용에 부합하는지를 "갑"이 확인하는 절차를 말한다.</w:t>
        <w:br/>
        <w:t>4. "하자"라 함은 본 시스템이 별첨 1의 요구사항을 충족하지 못하거나, 정상적인 운영에 지장을 초래하는 결함을 말한다.</w:t>
        <w:br/>
        <w:t>5. "프로젝트 관리자(PM)"라 함은 각 당사자가 본 계약의 이행을 총괄하기 위하여 지정한 자를 말한다.</w:t>
        <w:br/>
        <w:t>6. "변경요청(CR)"이라 함은 계약 체결 후 요구사항의 추가, 변경, 삭제에 관한 공식 요청을 말한다.</w:t>
      </w:r>
    </w:p>
    <w:p>
      <w:pPr>
        <w:pStyle w:val="Heading2"/>
      </w:pPr>
      <w:r>
        <w:rPr>
          <w:color w:val="1A1A2E"/>
        </w:rPr>
        <w:t>제3조 (계약의 범위)</w:t>
      </w:r>
    </w:p>
    <w:p>
      <w:pPr>
        <w:spacing w:after="80" w:line="320" w:lineRule="exact"/>
      </w:pPr>
      <w:r>
        <w:rPr>
          <w:b w:val="0"/>
          <w:sz w:val="20"/>
        </w:rPr>
        <w:t>① "을"은 다음 범위의 용역을 수행한다.</w:t>
        <w:br/>
        <w:t>1. 현행 시스템 분석 및 요구사항 확정</w:t>
        <w:br/>
        <w:t>2. 시스템 설계 (기능설계, 기술설계, 데이터설계, UI/UX설계)</w:t>
        <w:br/>
        <w:t>3. 소프트웨어 개발 및 커스터마이징</w:t>
        <w:br/>
        <w:t>4. 데이터 마이그레이션 (현행 시스템 → 본 시스템)</w:t>
        <w:br/>
        <w:t>5. 단위테스트, 통합테스트, 성능테스트, 보안테스트</w:t>
        <w:br/>
        <w:t>6. 사용자 교육 (핵심사용자 40시간, 일반사용자 16시간)</w:t>
        <w:br/>
        <w:t>7. 시스템 이관 및 Go-Live 지원</w:t>
        <w:br/>
        <w:t>8. Go-Live 후 안정화 지원 (2개월)</w:t>
        <w:br/>
        <w:t>9. 프로젝트 관리 (일정, 이슈, 리스크, 품질, 변경 관리)</w:t>
        <w:br/>
        <w:t>② 본 계약의 상세 범위는 별첨 1 "시스템 요구사항 정의서" 및 별첨 2 "제안서"에 따른다.</w:t>
        <w:br/>
        <w:t>③ 별첨 1과 별첨 2의 내용이 상충하는 경우, 별첨 1을 우선 적용한다.</w:t>
      </w:r>
    </w:p>
    <w:p>
      <w:pPr>
        <w:pStyle w:val="Heading2"/>
      </w:pPr>
      <w:r>
        <w:rPr>
          <w:color w:val="1A1A2E"/>
        </w:rPr>
        <w:t>제4조 (계약 기간)</w:t>
      </w:r>
    </w:p>
    <w:p>
      <w:pPr>
        <w:spacing w:after="80" w:line="320" w:lineRule="exact"/>
      </w:pPr>
      <w:r>
        <w:rPr>
          <w:b w:val="0"/>
          <w:sz w:val="20"/>
        </w:rPr>
        <w:t>① 본 계약의 기간은 2025년 6월 1일부터 2026년 11월 30일까지 총 18개월로 한다.</w:t>
        <w:br/>
        <w:t>② 안정화 기간은 Go-Live일(2026년 10월 1일 예정)로부터 2개월로 한다.</w:t>
        <w:br/>
        <w:t>③ "갑"의 사유로 인한 일정 지연이 발생한 경우, 해당 기간만큼 계약 기간을 연장한다.</w:t>
        <w:br/>
        <w:t>④ "을"의 사유로 인한 일정 지연이 발생한 경우, 제12조(지체상금)를 적용한다.</w:t>
        <w:br/>
        <w:t>⑤ 불가항력(천재지변, 전쟁, 전염병, 정부 규제 등)에 의한 지연은 쌍방 협의하여 처리한다.</w:t>
      </w:r>
    </w:p>
    <w:p>
      <w:pPr>
        <w:pStyle w:val="Heading2"/>
      </w:pPr>
      <w:r>
        <w:rPr>
          <w:color w:val="1A1A2E"/>
        </w:rPr>
        <w:t>제5조 (계약 대금)</w:t>
      </w:r>
    </w:p>
    <w:p>
      <w:pPr>
        <w:spacing w:after="80" w:line="320" w:lineRule="exact"/>
      </w:pPr>
      <w:r>
        <w:rPr>
          <w:b w:val="0"/>
          <w:sz w:val="20"/>
        </w:rPr>
        <w:t>① 본 계약의 총 대금은 금 칠십이억 원정(₩7,200,000,000)(부가가치세 별도)으로 한다.</w:t>
        <w:br/>
        <w:t>② 계약 대금의 구성은 다음과 같다.</w:t>
      </w:r>
    </w:p>
    <w:p>
      <w:pPr>
        <w:pStyle w:val="Heading2"/>
      </w:pPr>
      <w:r>
        <w:rPr>
          <w:color w:val="1A1A2E"/>
        </w:rPr>
        <w:t>제6조 (대금 지급)</w:t>
      </w:r>
    </w:p>
    <w:p>
      <w:pPr>
        <w:spacing w:after="80" w:line="320" w:lineRule="exact"/>
      </w:pPr>
      <w:r>
        <w:rPr>
          <w:b w:val="0"/>
          <w:sz w:val="20"/>
        </w:rPr>
        <w:t>① 계약 대금은 다음 일정에 따라 지급한다.</w:t>
        <w:br/>
        <w:t>1. 선금 (20%): 계약 체결일로부터 14일 이내 — 금 14억 4,000만 원</w:t>
        <w:br/>
        <w:t>2. 1차 중도금 (20%): 설계 완료 검수 후 14일 이내 — 금 14억 4,000만 원</w:t>
        <w:br/>
        <w:t>3. 2차 중도금 (20%): 개발 완료 검수 후 14일 이내 — 금 14억 4,000만 원</w:t>
        <w:br/>
        <w:t>4. 3차 중도금 (20%): UAT 완료 검수 후 14일 이내 — 금 14억 4,000만 원</w:t>
        <w:br/>
        <w:t>5. 잔금 (20%): 최종 검수(안정화 종료) 후 14일 이내 — 금 14억 4,000만 원</w:t>
        <w:br/>
        <w:t>② 부가가치세는 각 차수 대금 지급 시 해당 금액의 10%를 추가하여 지급한다.</w:t>
        <w:br/>
        <w:t>③ "갑"이 대금 지급을 지연하는 경우, 지연일수에 대해 연 5%의 지연이자를 가산하여 지급한다.</w:t>
        <w:br/>
        <w:t>④ "을"은 각 차수 대금 청구 시 세금계산서를 발행하여야 한다.</w:t>
      </w:r>
    </w:p>
    <w:p>
      <w:pPr>
        <w:pStyle w:val="Heading2"/>
      </w:pPr>
      <w:r>
        <w:rPr>
          <w:color w:val="1A1A2E"/>
        </w:rPr>
        <w:t>제7조 (검수)</w:t>
      </w:r>
    </w:p>
    <w:p>
      <w:pPr>
        <w:spacing w:after="80" w:line="320" w:lineRule="exact"/>
      </w:pPr>
      <w:r>
        <w:rPr>
          <w:b w:val="0"/>
          <w:sz w:val="20"/>
        </w:rPr>
        <w:t>① "을"은 각 단계 산출물을 별첨 3 "검수 기준서"에 따라 "갑"에게 납품하고, "갑"은 납품일로부터 14영업일 이내에 검수를 완료하여야 한다.</w:t>
        <w:br/>
        <w:t>② 검수 절차는 다음과 같다.</w:t>
        <w:br/>
        <w:t>1. "을"의 납품 통보 (납품서 + 산출물 일체)</w:t>
        <w:br/>
        <w:t>2. "갑"의 검수팀 확인 (기능 확인, 문서 확인, 성능 확인)</w:t>
        <w:br/>
        <w:t>3. 검수 결과 통보 (합격/조건부 합격/불합격)</w:t>
        <w:br/>
        <w:t>4. 불합격 시: "을"의 보완 후 재검수 (7영업일 이내)</w:t>
        <w:br/>
        <w:t>③ "갑"이 14영업일 이내에 검수 결과를 통보하지 않은 경우, 검수에 합격한 것으로 간주한다.</w:t>
        <w:br/>
        <w:t>④ 최종 검수는 다음 기준을 모두 충족하여야 한다.</w:t>
        <w:br/>
        <w:t>1. 별첨 1의 요구사항 127개 항목 중 필수 94개 전량 충족</w:t>
        <w:br/>
        <w:t>2. 성능 테스트: 동시접속 500명 환경에서 평균 응답시간 3초 이내</w:t>
        <w:br/>
        <w:t>3. 보안 테스트: OWASP Top 10 취약점 Zero, 모의침투 테스트 통과</w:t>
        <w:br/>
        <w:t>4. 안정화 기간(2개월) 중 P1 장애 발생 0건, P2 장애 3건 이내</w:t>
        <w:br/>
        <w:t>5. 데이터 이관 검증: 건수 대사 100%, 금액 대사 100% 일치</w:t>
      </w:r>
    </w:p>
    <w:p>
      <w:pPr>
        <w:pStyle w:val="Heading2"/>
      </w:pPr>
      <w:r>
        <w:rPr>
          <w:color w:val="1A1A2E"/>
        </w:rPr>
        <w:t>제8조 (변경 관리)</w:t>
      </w:r>
    </w:p>
    <w:p>
      <w:pPr>
        <w:spacing w:after="80" w:line="320" w:lineRule="exact"/>
      </w:pPr>
      <w:r>
        <w:rPr>
          <w:b w:val="0"/>
          <w:sz w:val="20"/>
        </w:rPr>
        <w:t>① 계약 체결 후 요구사항의 추가, 변경, 삭제가 필요한 경우, 변경요청(CR) 절차에 따른다.</w:t>
        <w:br/>
        <w:t>② 변경요청 절차:</w:t>
        <w:br/>
        <w:t>1. 요청자가 CR 양식(별첨 4)을 작성하여 양측 PM에게 제출</w:t>
        <w:br/>
        <w:t>2. "을"이 영향 분석(일정, 비용, 범위, 리스크) 실시 (5영업일 이내)</w:t>
        <w:br/>
        <w:t>3. 양측 PM 및 의사결정권자 협의</w:t>
        <w:br/>
        <w:t>4. CR 승인 또는 거부 결정</w:t>
        <w:br/>
        <w:t>5. 승인 시: 계약 변경 합의서 작성 (대금, 일정 조정 포함)</w:t>
        <w:br/>
        <w:t>③ CR로 인한 추가 비용은 "을"의 표준 단가(별첨 5)를 적용하여 정산한다.</w:t>
        <w:br/>
        <w:t>④ CR 건수가 전체 요구사항의 15%를 초과하는 경우, 양측 합의 하에 계약을 재협상할 수 있다.</w:t>
        <w:br/>
        <w:t>⑤ "갑"이 CR 없이 추가 요구를 하는 경우, "을"은 이를 거부할 수 있으며, 이로 인한 일정 지연 책임은 "갑"에게 있다.</w:t>
      </w:r>
    </w:p>
    <w:p>
      <w:pPr>
        <w:pStyle w:val="Heading2"/>
      </w:pPr>
      <w:r>
        <w:rPr>
          <w:color w:val="1A1A2E"/>
        </w:rPr>
        <w:t>제9조 (프로젝트 관리)</w:t>
      </w:r>
    </w:p>
    <w:p>
      <w:pPr>
        <w:spacing w:after="80" w:line="320" w:lineRule="exact"/>
      </w:pPr>
      <w:r>
        <w:rPr>
          <w:b w:val="0"/>
          <w:sz w:val="20"/>
        </w:rPr>
        <w:t>① 양측은 계약 체결 후 7일 이내에 각각 PM 1인을 지정하고 상대방에게 서면 통보한다.</w:t>
        <w:br/>
        <w:t>② PM은 다음 권한과 책임을 갖는다.</w:t>
        <w:br/>
        <w:t>1. 일상적 의사결정 (일정 조정, 인력 재배치, 이슈 해결 등)</w:t>
        <w:br/>
        <w:t>2. 주간 진도 보고 (매주 금요일)</w:t>
        <w:br/>
        <w:t>3. 월간 운영위원회(Steering Committee) 참석</w:t>
        <w:br/>
        <w:t>4. 이슈/리스크 에스컬레이션</w:t>
        <w:br/>
        <w:t>③ 운영위원회는 월 1회 개최하며, 양측 임원급이 참석하여 주요 의사결정을 수행한다.</w:t>
        <w:br/>
        <w:t>④ "을"은 다음 산출물을 정기적으로 제출한다.</w:t>
        <w:br/>
        <w:t>1. 주간 보고서: 매주 금요일 (진도율, 이슈, 리스크, 차주 계획)</w:t>
        <w:br/>
        <w:t>2. 월간 보고서: 매월 5일 (종합 진도, 품질, 비용, 인력 현황)</w:t>
        <w:br/>
        <w:t>3. 단계별 산출물: 별첨 6 "산출물 목록"에 따라 제출</w:t>
      </w:r>
    </w:p>
    <w:p>
      <w:pPr>
        <w:pStyle w:val="Heading2"/>
      </w:pPr>
      <w:r>
        <w:rPr>
          <w:color w:val="1A1A2E"/>
        </w:rPr>
        <w:t>제10조 (인력 투입)</w:t>
      </w:r>
    </w:p>
    <w:p>
      <w:pPr>
        <w:spacing w:after="80" w:line="320" w:lineRule="exact"/>
      </w:pPr>
      <w:r>
        <w:rPr>
          <w:b w:val="0"/>
          <w:sz w:val="20"/>
        </w:rPr>
        <w:t>① "을"은 별첨 7 "투입 인력 명단"에 기재된 핵심 인력을 계약 기간 동안 투입한다.</w:t>
        <w:br/>
        <w:t>② 핵심 인력(PM, 모듈 리더)은 "갑"의 사전 서면 동의 없이 교체할 수 없다.</w:t>
        <w:br/>
        <w:t>③ 부득이한 사유로 핵심 인력을 교체하여야 하는 경우, "을"은 동등 이상의 역량을 갖춘 대체 인력을 제안하고 "갑"의 승인을 받아야 한다.</w:t>
        <w:br/>
        <w:t>④ 핵심 인력 무단 교체 시, "갑"은 교체 인력에 대해 30일간의 적응 기간 경과 후 평가하여, 부적합 판정 시 재교체를 요구할 수 있다.</w:t>
        <w:br/>
        <w:t>⑤ "갑"은 "을"의 투입 인력이 프로젝트 수행에 현저히 부적합하다고 판단되는 경우, 합리적 사유를 제시하여 교체를 요구할 수 있다.</w:t>
      </w:r>
    </w:p>
    <w:p>
      <w:pPr>
        <w:pStyle w:val="Heading2"/>
      </w:pPr>
      <w:r>
        <w:rPr>
          <w:color w:val="1A1A2E"/>
        </w:rPr>
        <w:t>제11조 (지식재산권)</w:t>
      </w:r>
    </w:p>
    <w:p>
      <w:pPr>
        <w:spacing w:after="80" w:line="320" w:lineRule="exact"/>
      </w:pPr>
      <w:r>
        <w:rPr>
          <w:b w:val="0"/>
          <w:sz w:val="20"/>
        </w:rPr>
        <w:t>① 본 계약의 이행으로 발생하는 산출물(소프트웨어, 문서 등)의 저작권은 최종 대금 지급 완료 시점에 "갑"에게 이전된다.</w:t>
        <w:br/>
        <w:t>② 다만, "을"이 본 계약 체결 이전에 보유하고 있던 기존 지식재산(라이브러리, 프레임워크, 도구 등)(이하 "기존 IP")의 권리는 "을"에게 유보된다.</w:t>
        <w:br/>
        <w:t>③ 기존 IP가 본 시스템에 포함되는 경우, "을"은 "갑"에게 영구적, 비독점적, 양도 불가능한 사용 라이선스를 부여한다.</w:t>
        <w:br/>
        <w:t>④ 기존 IP의 목록은 별첨 8에 기재하며, 계약 기간 중 추가되는 기존 IP는 양측 합의 하에 별첨 8을 갱신한다.</w:t>
        <w:br/>
        <w:t>⑤ 제3자의 지식재산권을 침해하지 않음을 "을"이 보증하며, 제3자로부터 지식재산권 침해 주장이 제기되는 경우 "을"이 방어 비용을 부담하고 "갑"에게 발생하는 손해를 배상한다.</w:t>
      </w:r>
    </w:p>
    <w:p>
      <w:pPr>
        <w:pStyle w:val="Heading2"/>
      </w:pPr>
      <w:r>
        <w:rPr>
          <w:color w:val="1A1A2E"/>
        </w:rPr>
        <w:t>제12조 (지체상금)</w:t>
      </w:r>
    </w:p>
    <w:p>
      <w:pPr>
        <w:spacing w:after="80" w:line="320" w:lineRule="exact"/>
      </w:pPr>
      <w:r>
        <w:rPr>
          <w:b w:val="0"/>
          <w:sz w:val="20"/>
        </w:rPr>
        <w:t>① "을"의 귀책사유로 납품이 지연되는 경우, 지연일수 1일당 계약 대금의 1/1,000에 해당하는 금액을 지체상금으로 "갑"에게 납부한다.</w:t>
        <w:br/>
        <w:t>② 지체상금의 총액은 계약 대금의 10%를 초과하지 아니한다.</w:t>
        <w:br/>
        <w:t>③ 지체상금이 계약 대금의 10%에 달한 경우, "갑"은 본 계약을 해지할 수 있다.</w:t>
        <w:br/>
        <w:t>④ 다음의 경우에는 지체상금을 면제한다.</w:t>
        <w:br/>
        <w:t>1. "갑"의 귀책사유(검수 지연, 의사결정 지연, 환경 미제공 등)로 인한 지연</w:t>
        <w:br/>
        <w:t>2. 불가항력에 의한 지연</w:t>
        <w:br/>
        <w:t>3. 양측 합의에 의한 일정 변경</w:t>
      </w:r>
    </w:p>
    <w:p>
      <w:pPr>
        <w:pStyle w:val="Heading2"/>
      </w:pPr>
      <w:r>
        <w:rPr>
          <w:color w:val="1A1A2E"/>
        </w:rPr>
        <w:t>제13조 (하자보수)</w:t>
      </w:r>
    </w:p>
    <w:p>
      <w:pPr>
        <w:spacing w:after="80" w:line="320" w:lineRule="exact"/>
      </w:pPr>
      <w:r>
        <w:rPr>
          <w:b w:val="0"/>
          <w:sz w:val="20"/>
        </w:rPr>
        <w:t>① "을"은 최종 검수 완료일로부터 1년간 하자보수 의무를 진다.</w:t>
        <w:br/>
        <w:t>② 하자보수 범위: 별첨 1의 요구사항에 부합하지 않는 결함의 수정</w:t>
        <w:br/>
        <w:t>③ 하자보수 응답 시간:</w:t>
        <w:br/>
        <w:t>- P1(서비스 중단): 4시간 이내 대응, 24시간 이내 해결</w:t>
        <w:br/>
        <w:t>- P2(주요 기능 장애): 8시간 이내 대응, 48시간 이내 해결</w:t>
        <w:br/>
        <w:t>- P3(경미한 결함): 48시간 이내 대응, 5영업일 이내 해결</w:t>
        <w:br/>
        <w:t>④ 하자보수 비용은 "을"이 부담한다. 다만, "갑"의 잘못된 운영이나 제3자 시스템 변경으로 인한 결함은 하자보수 범위에서 제외한다.</w:t>
        <w:br/>
        <w:t>⑤ 하자보수 기간 종료 후에는 별도의 유지보수 계약에 따른다.</w:t>
      </w:r>
    </w:p>
    <w:p>
      <w:pPr>
        <w:pStyle w:val="Heading2"/>
      </w:pPr>
      <w:r>
        <w:rPr>
          <w:color w:val="1A1A2E"/>
        </w:rPr>
        <w:t>제14조 (비밀유지)</w:t>
      </w:r>
    </w:p>
    <w:p>
      <w:pPr>
        <w:spacing w:after="80" w:line="320" w:lineRule="exact"/>
      </w:pPr>
      <w:r>
        <w:rPr>
          <w:b w:val="0"/>
          <w:sz w:val="20"/>
        </w:rPr>
        <w:t>① 양측은 본 계약의 이행 과정에서 알게 된 상대방의 영업비밀, 기술정보, 개인정보 등 비밀정보를 본 계약의 목적 외 사용하거나 제3자에게 공개하여서는 아니 된다.</w:t>
        <w:br/>
        <w:t>② 비밀유지 의무는 본 계약 종료 후 5년간 존속한다.</w:t>
        <w:br/>
        <w:t>③ 다음의 경우에는 비밀유지 의무가 면제된다.</w:t>
        <w:br/>
        <w:t>1. 공지의 사실이 된 정보</w:t>
        <w:br/>
        <w:t>2. 상대방의 비밀정보에 의존하지 않고 독자적으로 개발한 정보</w:t>
        <w:br/>
        <w:t>3. 정당한 권한을 가진 제3자로부터 비밀유지 의무 없이 취득한 정보</w:t>
        <w:br/>
        <w:t>4. 법원의 명령 또는 법률에 의해 공개가 요구되는 정보 (사전 통지 필수)</w:t>
        <w:br/>
        <w:t>④ "을"은 본 계약 수행을 위해 하도급업체에 비밀정보를 제공하는 경우, 하도급업체에 본 조와 동등한 수준의 비밀유지 의무를 부과하여야 한다.</w:t>
      </w:r>
    </w:p>
    <w:p>
      <w:pPr>
        <w:pStyle w:val="Heading2"/>
      </w:pPr>
      <w:r>
        <w:rPr>
          <w:color w:val="1A1A2E"/>
        </w:rPr>
        <w:t>제15조 (개인정보보호)</w:t>
      </w:r>
    </w:p>
    <w:p>
      <w:pPr>
        <w:spacing w:after="80" w:line="320" w:lineRule="exact"/>
      </w:pPr>
      <w:r>
        <w:rPr>
          <w:b w:val="0"/>
          <w:sz w:val="20"/>
        </w:rPr>
        <w:t>① "을"은 본 계약 이행 과정에서 "갑"의 개인정보를 처리하는 경우, 개인정보보호법 등 관계 법령을 준수하여야 한다.</w:t>
        <w:br/>
        <w:t>② "을"은 "갑"과 별도의 개인정보 처리 위탁 계약을 체결한다.</w:t>
        <w:br/>
        <w:t>③ "을"은 개인정보의 안전한 관리를 위해 기술적·관리적 보호조치를 강구하여야 하며, 개인정보 유출 사고 발생 시 즉시 "갑"에게 통보하고 필요한 조치를 취하여야 한다.</w:t>
        <w:br/>
        <w:t>④ 본 계약 종료 시, "을"은 보유하고 있는 "갑"의 개인정보를 지체 없이 파기하고, 파기 확인서를 "갑"에게 제출한다.</w:t>
      </w:r>
    </w:p>
    <w:p>
      <w:pPr>
        <w:pStyle w:val="Heading2"/>
      </w:pPr>
      <w:r>
        <w:rPr>
          <w:color w:val="1A1A2E"/>
        </w:rPr>
        <w:t>제16조 (보안)</w:t>
      </w:r>
    </w:p>
    <w:p>
      <w:pPr>
        <w:spacing w:after="80" w:line="320" w:lineRule="exact"/>
      </w:pPr>
      <w:r>
        <w:rPr>
          <w:b w:val="0"/>
          <w:sz w:val="20"/>
        </w:rPr>
        <w:t>① "을"의 투입 인력은 "갑"의 정보보호 정책을 준수하여야 하며, "갑"의 보안 서약서에 서명한다.</w:t>
        <w:br/>
        <w:t>② "을"의 투입 인력이 "갑"의 시스템에 접근하는 경우, "갑"이 제공하는 보안 장비(VPN, 보안USB 등)를 사용하여야 한다.</w:t>
        <w:br/>
        <w:t>③ "을"은 개발 과정에서 보안 취약점이 발생하지 않도록 시큐어 코딩 가이드라인을 준수하여야 하며, 납품 전 보안 점검 결과를 제출한다.</w:t>
        <w:br/>
        <w:t>④ "을"의 투입 인력이 보안 정책을 위반한 경우, "갑"은 해당 인력의 즉시 퇴장을 요구할 수 있다.</w:t>
      </w:r>
    </w:p>
    <w:p>
      <w:pPr>
        <w:pStyle w:val="Heading2"/>
      </w:pPr>
      <w:r>
        <w:rPr>
          <w:color w:val="1A1A2E"/>
        </w:rPr>
        <w:t>제17조 (손해배상)</w:t>
      </w:r>
    </w:p>
    <w:p>
      <w:pPr>
        <w:spacing w:after="80" w:line="320" w:lineRule="exact"/>
      </w:pPr>
      <w:r>
        <w:rPr>
          <w:b w:val="0"/>
          <w:sz w:val="20"/>
        </w:rPr>
        <w:t>① 일방 당사자의 귀책사유로 상대방에게 손해가 발생한 경우, 귀책 당사자는 상대방의 직접적이고 현실적인 손해를 배상한다.</w:t>
        <w:br/>
        <w:t>② 손해배상의 총 한도는 계약 대금 총액으로 한다.</w:t>
        <w:br/>
        <w:t>③ 간접 손해, 일실이익, 특별 손해, 징벌적 손해는 배상 범위에서 제외한다. 다만, 비밀유지 의무 위반 및 개인정보 유출로 인한 손해는 본 항의 적용을 받지 아니한다.</w:t>
        <w:br/>
        <w:t>④ 손해배상 청구권의 소멸시효는 손해 및 가해자를 안 날로부터 3년, 손해가 발생한 날로부터 5년으로 한다.</w:t>
      </w:r>
    </w:p>
    <w:p>
      <w:pPr>
        <w:pStyle w:val="Heading2"/>
      </w:pPr>
      <w:r>
        <w:rPr>
          <w:color w:val="1A1A2E"/>
        </w:rPr>
        <w:t>제18조 (계약 해지)</w:t>
      </w:r>
    </w:p>
    <w:p>
      <w:pPr>
        <w:spacing w:after="80" w:line="320" w:lineRule="exact"/>
      </w:pPr>
      <w:r>
        <w:rPr>
          <w:b w:val="0"/>
          <w:sz w:val="20"/>
        </w:rPr>
        <w:t>① 다음의 경우 상대방에게 서면으로 통지하여 본 계약을 해지할 수 있다.</w:t>
        <w:br/>
        <w:t>1. 상대방이 본 계약의 중요한 조항을 위반하고, 위반 통지 후 30일 이내에 시정하지 않는 경우</w:t>
        <w:br/>
        <w:t>2. 상대방에 대해 파산, 회생절차 개시 신청이 있는 경우</w:t>
        <w:br/>
        <w:t>3. 지체상금이 계약 대금의 10%에 달한 경우 ("갑"의 해지권)</w:t>
        <w:br/>
        <w:t>4. "갑"이 대금 지급을 60일 이상 지연하는 경우 ("을"의 해지권)</w:t>
        <w:br/>
        <w:t>② "갑"은 언제든지 30일 전 서면 통지로 본 계약을 임의 해지할 수 있다. 이 경우 해지일까지 완료된 용역에 대한 대금 및 "을"의 합리적 비용(인력 철수 비용, 위약금 등)을 지급한다.</w:t>
        <w:br/>
        <w:t>③ 계약 해지 시 "을"은 해지일까지의 산출물과 데이터를 "갑"에게 인도하여야 한다.</w:t>
      </w:r>
    </w:p>
    <w:p>
      <w:pPr>
        <w:pStyle w:val="Heading2"/>
      </w:pPr>
      <w:r>
        <w:rPr>
          <w:color w:val="1A1A2E"/>
        </w:rPr>
        <w:t>제19조 (하도급)</w:t>
      </w:r>
    </w:p>
    <w:p>
      <w:pPr>
        <w:spacing w:after="80" w:line="320" w:lineRule="exact"/>
      </w:pPr>
      <w:r>
        <w:rPr>
          <w:b w:val="0"/>
          <w:sz w:val="20"/>
        </w:rPr>
        <w:t>① "을"은 본 용역의 일부를 제3자(이하 "하도급업체")에게 위탁할 수 있다. 다만, 핵심 업무(설계, 프로젝트 관리)는 하도급할 수 없다.</w:t>
        <w:br/>
        <w:t>② 하도급 시 "을"은 사전에 "갑"에게 하도급업체 명, 위탁 범위, 투입 인력을 통보하여야 한다.</w:t>
        <w:br/>
        <w:t>③ 하도급 금액은 해당 업무 대금의 60%를 초과하여야 한다 (하도급 공정화에 관한 법률 준수).</w:t>
        <w:br/>
        <w:t>④ 하도급업체의 행위에 대한 책임은 "을"이 부담한다.</w:t>
      </w:r>
    </w:p>
    <w:p>
      <w:pPr>
        <w:pStyle w:val="Heading2"/>
      </w:pPr>
      <w:r>
        <w:rPr>
          <w:color w:val="1A1A2E"/>
        </w:rPr>
        <w:t>제20조 (불가항력)</w:t>
      </w:r>
    </w:p>
    <w:p>
      <w:pPr>
        <w:spacing w:after="80" w:line="320" w:lineRule="exact"/>
      </w:pPr>
      <w:r>
        <w:rPr>
          <w:b w:val="0"/>
          <w:sz w:val="20"/>
        </w:rPr>
        <w:t>① 천재지변, 전쟁, 테러, 전염병(팬데믹), 정부의 법률 또는 규제 변경, 파업(당사자의 직원에 의한 것 제외), 기타 양측의 합리적 통제 범위를 벗어난 사유로 계약의 이행이 불가능하거나 지연되는 경우, 해당 당사자는 불이행의 책임을 면한다.</w:t>
        <w:br/>
        <w:t>② 불가항력 사유가 발생한 당사자는 즉시 상대방에게 통지하고, 불가항력의 영향을 최소화하기 위한 합리적 노력을 기울여야 한다.</w:t>
        <w:br/>
        <w:t>③ 불가항력 사유가 90일을 초과하여 지속되는 경우, 양측은 계약의 변경 또는 해지를 협의할 수 있다.</w:t>
      </w:r>
    </w:p>
    <w:p>
      <w:pPr>
        <w:pStyle w:val="Heading2"/>
      </w:pPr>
      <w:r>
        <w:rPr>
          <w:color w:val="1A1A2E"/>
        </w:rPr>
        <w:t>제21조 (분쟁 해결)</w:t>
      </w:r>
    </w:p>
    <w:p>
      <w:pPr>
        <w:spacing w:after="80" w:line="320" w:lineRule="exact"/>
      </w:pPr>
      <w:r>
        <w:rPr>
          <w:b w:val="0"/>
          <w:sz w:val="20"/>
        </w:rPr>
        <w:t>① 본 계약과 관련하여 분쟁이 발생한 경우, 양측은 우선 성실한 협의를 통해 해결하도록 노력한다.</w:t>
        <w:br/>
        <w:t>② 협의가 30일 이내에 이루어지지 않는 경우, 대한상사중재원의 중재규칙에 따라 서울에서 중재로 해결한다.</w:t>
        <w:br/>
        <w:t>③ 중재 판정은 최종적이며 양측을 구속한다.</w:t>
        <w:br/>
        <w:t>④ 중재 절차 중에도 양측은 본 계약상의 의무를 계속 이행한다 (단, 분쟁 대상 사항은 제외).</w:t>
      </w:r>
    </w:p>
    <w:p>
      <w:pPr>
        <w:pStyle w:val="Heading2"/>
      </w:pPr>
      <w:r>
        <w:rPr>
          <w:color w:val="1A1A2E"/>
        </w:rPr>
        <w:t>제22조 (일반조항)</w:t>
      </w:r>
    </w:p>
    <w:p>
      <w:pPr>
        <w:spacing w:after="80" w:line="320" w:lineRule="exact"/>
      </w:pPr>
      <w:r>
        <w:rPr>
          <w:b w:val="0"/>
          <w:sz w:val="20"/>
        </w:rPr>
        <w:t>① 완전 합의: 본 계약(별첨 포함)은 본 건에 관한 양측의 완전한 합의를 구성하며, 이전의 구두 또는 서면 합의를 대체한다.</w:t>
        <w:br/>
        <w:t>② 수정: 본 계약의 수정은 양측 권한 있는 자의 서면 합의에 의해서만 효력을 갖는다.</w:t>
        <w:br/>
        <w:t>③ 양도 금지: 상대방의 사전 서면 동의 없이 본 계약상의 권리·의무를 제3자에게 양도할 수 없다.</w:t>
        <w:br/>
        <w:t>④ 분리 가능성: 본 계약의 일부 조항이 무효이거나 집행 불가능한 경우에도, 나머지 조항의 유효성에는 영향을 미치지 아니한다.</w:t>
        <w:br/>
        <w:t>⑤ 권리불포기: 일방 당사자가 상대방의 의무 위반에 대해 권리를 행사하지 않더라도, 해당 권리를 포기한 것으로 해석하지 아니한다.</w:t>
        <w:br/>
        <w:t>⑥ 통지: 본 계약에 따른 통지는 서면(이메일 포함)으로 하며, 상대방이 수령한 때 효력이 발생한다.</w:t>
        <w:br/>
        <w:t>⑦ 준거법: 본 계약은 대한민국 법률에 의해 규율된다.</w:t>
        <w:br/>
        <w:t>⑧ 존속조항: 제11조(지식재산권), 제13조(하자보수), 제14조(비밀유지), 제15조(개인정보보호), 제17조(손해배상), 제21조(분쟁해결)은 본 계약 종료 후에도 존속한다.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내역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금액(만 원)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 S/4HANA 라이선스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소프트웨어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확장 모듈 라이선스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클라우드 인프라 (18개월)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컨설팅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구축 컨설팅 및 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마이그레이션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교육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교육 및 변화관리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출장, 환경 구축 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720,000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본 계약의 체결을 증명하기 위하여 양측 대표자가 아래에 기명날인한다.</w:t>
      </w:r>
    </w:p>
    <w:p>
      <w:pPr>
        <w:spacing w:after="80" w:line="320" w:lineRule="exact"/>
      </w:pPr>
      <w:r>
        <w:rPr>
          <w:b w:val="0"/>
          <w:sz w:val="20"/>
        </w:rPr>
        <w:t>2025년  5월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주식회사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넥스트웨이브 솔루션즈 주식회사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강남구 테헤란로 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서초구 서초대로 256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김영수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pStyle w:val="Heading1"/>
      </w:pPr>
      <w:r>
        <w:rPr>
          <w:color w:val="1A1A2E"/>
        </w:rPr>
        <w:t>별첨 목록</w:t>
      </w:r>
    </w:p>
    <w:p>
      <w:pPr>
        <w:spacing w:after="80" w:line="320" w:lineRule="exact"/>
      </w:pPr>
      <w:r>
        <w:rPr>
          <w:b w:val="0"/>
          <w:sz w:val="20"/>
        </w:rPr>
        <w:t>별첨 1. 시스템 요구사항 정의서 (127개 항목)</w:t>
        <w:br/>
        <w:t>별첨 2. 제안서 (별도 문서)</w:t>
        <w:br/>
        <w:t>별첨 3. 검수 기준서</w:t>
        <w:br/>
        <w:t>별첨 4. 변경요청(CR) 양식</w:t>
        <w:br/>
        <w:t>별첨 5. 인력 단가표</w:t>
        <w:br/>
        <w:t>별첨 6. 산출물 목록</w:t>
        <w:br/>
        <w:t>별첨 7. 투입 인력 명단 및 이력서</w:t>
        <w:br/>
        <w:t>별첨 8. 기존 지식재산(IP) 목록</w:t>
        <w:br/>
        <w:t>별첨 9. 개인정보 처리 위탁 계약서</w:t>
        <w:br/>
        <w:t>별첨 10. 보안 서약서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