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4"/>
        </w:rPr>
        <w:t>회  의  록</w:t>
      </w:r>
    </w:p>
    <w:p>
      <w:pPr>
        <w:pBdr>
          <w:bottom w:val="single" w:sz="12" w:space="1" w:color="1E293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567" w:hRule="atLeast"/>
        </w:trPr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제목</w:t>
            </w:r>
          </w:p>
        </w:tc>
        <w:tc>
          <w:tcPr>
            <w:tcW w:type="dxa" w:w="7654"/>
            <w:gridSpan w:val="3"/>
            <w:vAlign w:val="center"/>
          </w:tcPr>
          <w:p>
            <w:r>
              <w:rPr>
                <w:sz w:val="20"/>
              </w:rPr>
              <w:t>Q1 전략 회의</w:t>
            </w:r>
          </w:p>
        </w:tc>
      </w:tr>
      <w:tr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날짜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2026-03-12</w:t>
            </w:r>
          </w:p>
        </w:tc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시간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장소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유형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☑ 정기  ☐ 비정기  ☐ 긴급</w:t>
            </w:r>
          </w:p>
        </w:tc>
      </w:tr>
      <w:tr>
        <w:trPr>
          <w:trHeight w:val="680" w:hRule="atLeast"/>
        </w:trPr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참석자</w:t>
            </w:r>
          </w:p>
        </w:tc>
        <w:tc>
          <w:tcPr>
            <w:tcW w:type="dxa" w:w="7654"/>
            <w:gridSpan w:val="3"/>
            <w:vAlign w:val="center"/>
          </w:tcPr>
          <w:p>
            <w:r>
              <w:rPr>
                <w:sz w:val="20"/>
              </w:rPr>
              <w:t>김철수, 이영희, 박민준</w:t>
            </w:r>
          </w:p>
        </w:tc>
      </w:tr>
      <w:tr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작성자</w:t>
            </w:r>
          </w:p>
        </w:tc>
        <w:tc>
          <w:tcPr>
            <w:tcW w:type="dxa" w:w="7654"/>
            <w:gridSpan w:val="3"/>
            <w:vAlign w:val="center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회의 내용</w:t>
            </w:r>
          </w:p>
        </w:tc>
      </w:tr>
      <w:tr>
        <w:trPr>
          <w:trHeight w:val="2835" w:hRule="atLeast"/>
        </w:trPr>
        <w:tc>
          <w:tcPr>
            <w:tcW w:type="dxa" w:w="9406"/>
            <w:vAlign w:val="center"/>
          </w:tcPr>
          <w:p>
            <w:r>
              <w:rPr>
                <w:sz w:val="20"/>
              </w:rPr>
              <w:t>Q1 전략 회의에서는 AI 솔루션 개발 리소스를 50% 할당하고, 마케팅팀의 3월말 로드맵 완성, 백엔드 인프라의 4월 초 마이그레이션을 주요 안건으로 논의하였습니다. 전사적인 Q1 목표 달성을 위한 핵심 과제들을 확정하였습니다.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결정 사항</w:t>
            </w:r>
          </w:p>
        </w:tc>
      </w:tr>
      <w:tr>
        <w:trPr>
          <w:trHeight w:val="1701" w:hRule="atLeast"/>
        </w:trPr>
        <w:tc>
          <w:tcPr>
            <w:tcW w:type="dxa" w:w="9406"/>
            <w:vAlign w:val="center"/>
          </w:tcPr>
          <w:p>
            <w:r>
              <w:rPr>
                <w:sz w:val="20"/>
              </w:rPr>
              <w:t>AI 솔루션 개발 리소스 50% 할당</w:t>
              <w:br/>
              <w:t>마케팅팀 3월말 로드맵 완성 필요</w:t>
              <w:br/>
              <w:t>백엔드 인프라 4월 초 마이그레이션 예정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9405"/>
            <w:gridSpan w:val="5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Item</w:t>
            </w:r>
          </w:p>
        </w:tc>
      </w:tr>
      <w:tr>
        <w:tc>
          <w:tcPr>
            <w:tcW w:type="dxa" w:w="1881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1881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Action Item</w:t>
            </w:r>
          </w:p>
        </w:tc>
        <w:tc>
          <w:tcPr>
            <w:tcW w:type="dxa" w:w="1881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type="dxa" w:w="1881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기한</w:t>
            </w:r>
          </w:p>
        </w:tc>
        <w:tc>
          <w:tcPr>
            <w:tcW w:type="dxa" w:w="1881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rPr>
          <w:trHeight w:val="567" w:hRule="atLeast"/>
        </w:trPr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AI 솔루션 개발 플랜 수립</w:t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개발팀</w:t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2026-03-15</w:t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sz w:val="20"/>
              </w:rPr>
              <w:t>마케팅 3월말 로드맵 작성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sz w:val="20"/>
              </w:rPr>
              <w:t>마케팅팀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sz w:val="20"/>
              </w:rPr>
              <w:t>2026-03-31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백엔드 인프라 마이그레이션 준비</w:t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IT팀</w:t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2026-04-01</w:t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비고 / 다음 회의 일정</w:t>
            </w:r>
          </w:p>
        </w:tc>
      </w:tr>
      <w:tr>
        <w:trPr>
          <w:trHeight w:val="1134" w:hRule="atLeast"/>
        </w:trPr>
        <w:tc>
          <w:tcPr>
            <w:tcW w:type="dxa" w:w="9406"/>
            <w:vAlign w:val="center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