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개인정보 처리 위탁 계약서</w:t>
      </w:r>
    </w:p>
    <w:p>
      <w:pPr>
        <w:spacing w:after="80" w:line="320" w:lineRule="exact"/>
      </w:pPr>
      <w:r>
        <w:rPr>
          <w:b w:val="0"/>
          <w:sz w:val="20"/>
        </w:rPr>
        <w:t>계약번호: TN-PP-2025-0034</w:t>
      </w:r>
    </w:p>
    <w:p>
      <w:pPr>
        <w:spacing w:after="80" w:line="320" w:lineRule="exact"/>
      </w:pPr>
      <w:r>
        <w:rPr>
          <w:b w:val="0"/>
          <w:sz w:val="20"/>
        </w:rPr>
        <w:t>주식회사 테크노바(이하 "위탁자" 또는 "갑")과 주식회사 데이터쉴드(이하 "수탁자" 또는 "을")은 개인정보 처리 위탁에 관하여 개인정보보호법 제26조 및 같은 법 시행령 제28조에 따라 다음과 같이 계약을 체결한다.</w:t>
      </w:r>
    </w:p>
    <w:p>
      <w:r>
        <w:br w:type="page"/>
      </w:r>
    </w:p>
    <w:p>
      <w:pPr>
        <w:pStyle w:val="Heading2"/>
      </w:pPr>
      <w:r>
        <w:rPr>
          <w:color w:val="1A1A2E"/>
        </w:rPr>
        <w:t>제1조 (목적)</w:t>
      </w:r>
    </w:p>
    <w:p>
      <w:pPr>
        <w:spacing w:after="80" w:line="320" w:lineRule="exact"/>
      </w:pPr>
      <w:r>
        <w:rPr>
          <w:b w:val="0"/>
          <w:sz w:val="20"/>
        </w:rPr>
        <w:t>본 계약은 "갑"이 "을"에게 위탁하는 개인정보 처리 업무의 범위, 개인정보의 기술적·관리적 보호조치, 수탁자의 의무, 위탁 업무 처리에 대한 관리·감독, 손해배상 등에 관한 사항을 정함을 목적으로 한다.</w:t>
      </w:r>
    </w:p>
    <w:p>
      <w:pPr>
        <w:pStyle w:val="Heading2"/>
      </w:pPr>
      <w:r>
        <w:rPr>
          <w:color w:val="1A1A2E"/>
        </w:rPr>
        <w:t>제2조 (위탁 업무 범위)</w:t>
      </w:r>
    </w:p>
    <w:p>
      <w:pPr>
        <w:spacing w:after="80" w:line="320" w:lineRule="exact"/>
      </w:pPr>
      <w:r>
        <w:rPr>
          <w:b w:val="0"/>
          <w:sz w:val="20"/>
        </w:rPr>
        <w:t>① "갑"이 "을"에게 위탁하는 개인정보 처리 업무는 다음과 같다.</w:t>
      </w:r>
    </w:p>
    <w:p>
      <w:pPr>
        <w:pStyle w:val="Heading2"/>
      </w:pPr>
      <w:r>
        <w:rPr>
          <w:color w:val="1A1A2E"/>
        </w:rPr>
        <w:t>제3조 (위탁 기간)</w:t>
      </w:r>
    </w:p>
    <w:p>
      <w:pPr>
        <w:spacing w:after="80" w:line="320" w:lineRule="exact"/>
      </w:pPr>
      <w:r>
        <w:rPr>
          <w:b w:val="0"/>
          <w:sz w:val="20"/>
        </w:rPr>
        <w:t>① 본 계약의 기간은 2025년 4월 1일부터 2026년 3월 31일까지로 한다.</w:t>
        <w:br/>
        <w:t>② 본 계약은 상위 서비스 계약(SaaS 서비스 이용 계약 TN-SAAS-2025-xxxx)의 기간과 연동하며, 상위 계약 종료 시 본 계약도 자동 종료된다.</w:t>
        <w:br/>
        <w:t>③ 위탁 기간 종료 후에도 개인정보의 파기 의무 및 비밀유지 의무는 존속한다.</w:t>
      </w:r>
    </w:p>
    <w:p>
      <w:pPr>
        <w:pStyle w:val="Heading2"/>
      </w:pPr>
      <w:r>
        <w:rPr>
          <w:color w:val="1A1A2E"/>
        </w:rPr>
        <w:t>제4조 (개인정보 처리 제한)</w:t>
      </w:r>
    </w:p>
    <w:p>
      <w:pPr>
        <w:spacing w:after="80" w:line="320" w:lineRule="exact"/>
      </w:pPr>
      <w:r>
        <w:rPr>
          <w:b w:val="0"/>
          <w:sz w:val="20"/>
        </w:rPr>
        <w:t>① "을"은 "갑"의 사전 서면 동의 없이 위탁 업무 범위를 초과하여 개인정보를 이용하거나 제3자에게 제공할 수 없다.</w:t>
        <w:br/>
        <w:t>② "을"은 위탁받은 개인정보를 위탁 업무 수행 목적 외의 용도로 처리하여서는 아니 된다.</w:t>
        <w:br/>
        <w:t>③ "을"은 위탁받은 개인정보를 "갑"의 사전 서면 동의 없이 국외로 이전하여서는 아니 된다.</w:t>
        <w:br/>
        <w:t>④ "을"은 위탁받은 개인정보를 AI 모델 학습, 프로파일링, 마케팅 등 본래 위탁 목적 외의 용도로 활용할 수 없다.</w:t>
        <w:br/>
        <w:t>⑤ "을"이 위탁 업무를 재위탁하고자 하는 경우, "갑"의 사전 서면 동의를 받아야 하며, 재수탁자에게 본 계약과 동등한 수준의 개인정보 보호 의무를 부과하여야 한다.</w:t>
      </w:r>
    </w:p>
    <w:p>
      <w:pPr>
        <w:pStyle w:val="Heading2"/>
      </w:pPr>
      <w:r>
        <w:rPr>
          <w:color w:val="1A1A2E"/>
        </w:rPr>
        <w:t>제5조 (안전성 확보 조치)</w:t>
      </w:r>
    </w:p>
    <w:p>
      <w:pPr>
        <w:spacing w:after="80" w:line="320" w:lineRule="exact"/>
      </w:pPr>
      <w:r>
        <w:rPr>
          <w:b w:val="0"/>
          <w:sz w:val="20"/>
        </w:rPr>
        <w:t>① "을"은 개인정보보호법 제29조, 같은 법 시행령 제30조, 개인정보의 안전성 확보조치 기준(개인정보보호위원회 고시)에 따라 다음의 기술적·관리적·물리적 보호조치를 하여야 한다.</w:t>
        <w:br/>
        <w:br/>
        <w:t>[기술적 조치]</w:t>
        <w:br/>
        <w:t>1. 접근 통제:</w:t>
        <w:br/>
        <w:t xml:space="preserve">   - 개인정보 처리 시스템에 대한 접근 권한을 업무 수행에 필요한 최소 범위로 차등 부여</w:t>
        <w:br/>
        <w:t xml:space="preserve">   - 권한 부여, 변경, 말소에 대한 기록을 3년간 보관</w:t>
        <w:br/>
        <w:t xml:space="preserve">   - 비인가 접근을 방지하기 위한 IP 기반 접근 제한</w:t>
        <w:br/>
        <w:t xml:space="preserve">   - VPN 또는 전용선을 통한 원격 접근</w:t>
        <w:br/>
        <w:t xml:space="preserve">   - 5회 이상 인증 실패 시 계정 잠금</w:t>
        <w:br/>
        <w:br/>
        <w:t>2. 암호화:</w:t>
        <w:br/>
        <w:t xml:space="preserve">   - 비밀번호: 일방향 암호화(SHA-256 이상)</w:t>
        <w:br/>
        <w:t xml:space="preserve">   - 주민등록번호, 계좌번호: 양방향 암호화(AES-256)</w:t>
        <w:br/>
        <w:t xml:space="preserve">   - 전송 구간: TLS 1.3</w:t>
        <w:br/>
        <w:t xml:space="preserve">   - 저장 매체: AES-256 (하드웨어 암호화 또는 소프트웨어 암호화)</w:t>
        <w:br/>
        <w:t xml:space="preserve">   - 암호키 관리: 개인정보와 별도 보관, 접근 권한 최소화</w:t>
        <w:br/>
        <w:br/>
        <w:t>3. 접근 기록:</w:t>
        <w:br/>
        <w:t xml:space="preserve">   - 개인정보 처리 시스템 접속 기록을 2년 이상 보관</w:t>
        <w:br/>
        <w:t xml:space="preserve">   - 접속 기록: 식별자, 접속일시, 접속지 정보, 처리한 정보주체 정보, 수행 업무</w:t>
        <w:br/>
        <w:t xml:space="preserve">   - 접속 기록의 위·변조 방지 조치 (WORM 스토리지 또는 블록체인)</w:t>
        <w:br/>
        <w:t xml:space="preserve">   - 월 1회 이상 접속 기록 점검</w:t>
        <w:br/>
        <w:br/>
        <w:t>4. 악성 프로그램 방지:</w:t>
        <w:br/>
        <w:t xml:space="preserve">   - 백신 소프트웨어 설치 및 최신 업데이트</w:t>
        <w:br/>
        <w:t xml:space="preserve">   - 실시간 감시 기능 활성화</w:t>
        <w:br/>
        <w:t xml:space="preserve">   - 네트워크 기반 악성코드 탐지(IPS/IDS)</w:t>
        <w:br/>
        <w:br/>
        <w:t>5. 보안 취약점 점검:</w:t>
        <w:br/>
        <w:t xml:space="preserve">   - 월 1회 취약점 스캔</w:t>
        <w:br/>
        <w:t xml:space="preserve">   - 분기 1회 모의침투 테스트</w:t>
        <w:br/>
        <w:t xml:space="preserve">   - 발견된 취약점의 30일 내 조치</w:t>
        <w:br/>
        <w:br/>
        <w:t>[관리적 조치]</w:t>
        <w:br/>
        <w:t>6. 내부 관리계획:</w:t>
        <w:br/>
        <w:t xml:space="preserve">   - 개인정보 보호 책임자 지정</w:t>
        <w:br/>
        <w:t xml:space="preserve">   - 개인정보 취급자 지정 및 역할·책임 문서화</w:t>
        <w:br/>
        <w:t xml:space="preserve">   - 개인정보 처리 절차 및 방법 문서화</w:t>
        <w:br/>
        <w:t xml:space="preserve">   - 위험 평가 연 1회 실시</w:t>
        <w:br/>
        <w:br/>
        <w:t>7. 교육:</w:t>
        <w:br/>
        <w:t xml:space="preserve">   - 개인정보 취급자 대상 교육 연 2회 이상</w:t>
        <w:br/>
        <w:t xml:space="preserve">   - 교육 내용: 개인정보보호법, 내부 정책, 사고 사례, 유출 대응</w:t>
        <w:br/>
        <w:t xml:space="preserve">   - 교육 기록 3년 보관</w:t>
        <w:br/>
        <w:br/>
        <w:t>8. 개인정보 영향평가:</w:t>
        <w:br/>
        <w:t xml:space="preserve">   - 신규 서비스 또는 대규모 변경 시 PIA(Privacy Impact Assessment) 실시</w:t>
        <w:br/>
        <w:t xml:space="preserve">   - 평가 결과를 "갑"에게 보고</w:t>
        <w:br/>
        <w:br/>
        <w:t>[물리적 조치]</w:t>
        <w:br/>
        <w:t>9. 물리적 접근 통제:</w:t>
        <w:br/>
        <w:t xml:space="preserve">   - 개인정보 처리 시설(서버실, 사무실)에 대한 출입 통제</w:t>
        <w:br/>
        <w:t xml:space="preserve">   - 출입 기록 3년 보관</w:t>
        <w:br/>
        <w:t xml:space="preserve">   - CCTV 설치 (서버실, 출입구)</w:t>
        <w:br/>
        <w:br/>
        <w:t>10. 개인정보 포함 문서 관리:</w:t>
        <w:br/>
        <w:t xml:space="preserve">   - 인쇄물 잠금 보관</w:t>
        <w:br/>
        <w:t xml:space="preserve">   - 파기 시 파쇄기 사용 (횡단 절단 방식)</w:t>
      </w:r>
    </w:p>
    <w:p>
      <w:pPr>
        <w:pStyle w:val="Heading2"/>
      </w:pPr>
      <w:r>
        <w:rPr>
          <w:color w:val="1A1A2E"/>
        </w:rPr>
        <w:t>제6조 (개인정보 유출 사고 대응)</w:t>
      </w:r>
    </w:p>
    <w:p>
      <w:pPr>
        <w:spacing w:after="80" w:line="320" w:lineRule="exact"/>
      </w:pPr>
      <w:r>
        <w:rPr>
          <w:b w:val="0"/>
          <w:sz w:val="20"/>
        </w:rPr>
        <w:t>① "을"은 개인정보 유출 사고가 발생한 경우 다음 절차에 따른다.</w:t>
        <w:br/>
        <w:br/>
        <w:t>1. 즉시 대응:</w:t>
        <w:br/>
        <w:t xml:space="preserve">   - 유출 경로 차단 및 추가 유출 방지 조치</w:t>
        <w:br/>
        <w:t xml:space="preserve">   - 유출 범위 및 영향 초기 파악</w:t>
        <w:br/>
        <w:br/>
        <w:t>2. 통보 (인지 후 24시간 이내):</w:t>
        <w:br/>
        <w:t xml:space="preserve">   - "갑"에게 서면(이메일 포함)으로 통보</w:t>
        <w:br/>
        <w:t xml:space="preserve">   - 통보 내용: 유출 시점, 경위, 유출 항목, 유출 규모, 조치 현황, 향후 계획</w:t>
        <w:br/>
        <w:br/>
        <w:t>3. 조사 및 대응:</w:t>
        <w:br/>
        <w:t xml:space="preserve">   - "갑"과 공동으로 원인 조사</w:t>
        <w:br/>
        <w:t xml:space="preserve">   - 피해 최소화 조치</w:t>
        <w:br/>
        <w:t xml:space="preserve">   - 재발 방지 대책 수립 및 이행</w:t>
        <w:br/>
        <w:br/>
        <w:t>4. 신고 (규모 1,000명 이상 시):</w:t>
        <w:br/>
        <w:t xml:space="preserve">   - "갑"은 개인정보보호위원회 및 KISA에 72시간 내 신고</w:t>
        <w:br/>
        <w:t xml:space="preserve">   - "을"은 신고에 필요한 자료를 지체 없이 제공</w:t>
        <w:br/>
        <w:br/>
        <w:t>5. 정보주체 통지:</w:t>
        <w:br/>
        <w:t xml:space="preserve">   - "갑"이 정보주체에게 통지 (유출 사실, 유출 항목, 대응 조치, 피해 구제 방법)</w:t>
        <w:br/>
        <w:t xml:space="preserve">   - "을"은 통지에 필요한 자료 및 비용을 부담</w:t>
        <w:br/>
        <w:br/>
        <w:t>② "을"의 귀책사유에 의한 유출 사고로 발생하는 과태료, 과징금, 손해배상, 비용(포렌식, 통지, 신용모니터링 등)은 "을"이 부담한다.</w:t>
      </w:r>
    </w:p>
    <w:p>
      <w:pPr>
        <w:pStyle w:val="Heading2"/>
      </w:pPr>
      <w:r>
        <w:rPr>
          <w:color w:val="1A1A2E"/>
        </w:rPr>
        <w:t>제7조 (관리·감독)</w:t>
      </w:r>
    </w:p>
    <w:p>
      <w:pPr>
        <w:spacing w:after="80" w:line="320" w:lineRule="exact"/>
      </w:pPr>
      <w:r>
        <w:rPr>
          <w:b w:val="0"/>
          <w:sz w:val="20"/>
        </w:rPr>
        <w:t>① "갑"은 "을"의 개인정보 처리 현황을 다음과 같이 관리·감독한다.</w:t>
        <w:br/>
        <w:t>1. 정기 감사: 연 1회 서면 감사 또는 현장 감사</w:t>
        <w:br/>
        <w:t>2. 수시 감사: 유출 사고, 법령 위반 의심 시 수시 감사 가능</w:t>
        <w:br/>
        <w:t>3. 감사 항목: 안전성 확보 조치 이행 현황, 접근 권한 관리, 위탁 범위 준수, 파기 이행</w:t>
        <w:br/>
        <w:br/>
        <w:t>② "을"은 감사에 적극 협조하며, 감사 결과 시정이 필요한 사항은 30일 내에 시정 조치를 완료하고 결과를 "갑"에게 보고한다.</w:t>
        <w:br/>
        <w:t>③ "갑"은 "을"이 시정 조치를 이행하지 않는 경우, 위탁 계약을 해지할 수 있다.</w:t>
        <w:br/>
        <w:t>④ "을"은 분기 1회 자체 점검을 실시하고, 그 결과를 "갑"에게 보고한다.</w:t>
      </w:r>
    </w:p>
    <w:p>
      <w:pPr>
        <w:pStyle w:val="Heading2"/>
      </w:pPr>
      <w:r>
        <w:rPr>
          <w:color w:val="1A1A2E"/>
        </w:rPr>
        <w:t>제8조 (개인정보 파기)</w:t>
      </w:r>
    </w:p>
    <w:p>
      <w:pPr>
        <w:spacing w:after="80" w:line="320" w:lineRule="exact"/>
      </w:pPr>
      <w:r>
        <w:rPr>
          <w:b w:val="0"/>
          <w:sz w:val="20"/>
        </w:rPr>
        <w:t>① 위탁 업무 종료 시(계약 종료 포함) "을"은 위탁받은 개인정보를 지체 없이 파기하고, 파기 결과를 "갑"에게 서면으로 보고한다.</w:t>
        <w:br/>
        <w:t>② 파기 방법:</w:t>
        <w:br/>
        <w:t>- 전자 파일: 복구 불가능한 방법으로 삭제 (DoD 5220.22-M 또는 NIST 800-88)</w:t>
        <w:br/>
        <w:t>- 출력물: 파쇄기로 파쇄 (횡단 절단)</w:t>
        <w:br/>
        <w:t>- 저장 매체: 디가우싱(Degaussing) 또는 물리적 파괴</w:t>
        <w:br/>
        <w:t>③ 법령에 의해 보존이 필요한 경우, "갑"에게 그 사유와 기간을 통보하고, 해당 개인정보를 다른 개인정보와 분리하여 보관한다.</w:t>
        <w:br/>
        <w:t>④ 파기 확인서 양식은 별첨 3에 정한다.</w:t>
      </w:r>
    </w:p>
    <w:p>
      <w:pPr>
        <w:pStyle w:val="Heading2"/>
      </w:pPr>
      <w:r>
        <w:rPr>
          <w:color w:val="1A1A2E"/>
        </w:rPr>
        <w:t>제9조 (정보주체의 권리 보장)</w:t>
      </w:r>
    </w:p>
    <w:p>
      <w:pPr>
        <w:spacing w:after="80" w:line="320" w:lineRule="exact"/>
      </w:pPr>
      <w:r>
        <w:rPr>
          <w:b w:val="0"/>
          <w:sz w:val="20"/>
        </w:rPr>
        <w:t>① "을"은 정보주체로부터 개인정보의 열람, 정정·삭제, 처리 정지 요구를 받은 경우, 지체 없이 "갑"에게 통보하고 "갑"의 지시에 따라 처리한다.</w:t>
        <w:br/>
        <w:t>② "을"은 정보주체의 권리 행사에 필요한 기술적 지원을 "갑"에게 제공한다.</w:t>
        <w:br/>
        <w:t>③ 데이터 이동권(Data Portability): "갑"의 요청 시 개인정보를 기계 판독 가능한 형식(JSON, CSV)으로 추출하여 제공한다.</w:t>
      </w:r>
    </w:p>
    <w:p>
      <w:pPr>
        <w:pStyle w:val="Heading2"/>
      </w:pPr>
      <w:r>
        <w:rPr>
          <w:color w:val="1A1A2E"/>
        </w:rPr>
        <w:t>제10조 (손해배상)</w:t>
      </w:r>
    </w:p>
    <w:p>
      <w:pPr>
        <w:spacing w:after="80" w:line="320" w:lineRule="exact"/>
      </w:pPr>
      <w:r>
        <w:rPr>
          <w:b w:val="0"/>
          <w:sz w:val="20"/>
        </w:rPr>
        <w:t>① "을"의 고의 또는 과실로 개인정보가 유출, 분실, 도난, 누출, 변조, 훼손된 경우, "을"은 정보주체 및 "갑"에게 발생한 손해를 배상할 책임이 있다.</w:t>
        <w:br/>
        <w:t>② 손해배상의 범위:</w:t>
        <w:br/>
        <w:t>1. 정보주체에 대한 손해배상금</w:t>
        <w:br/>
        <w:t>2. 과태료, 과징금</w:t>
        <w:br/>
        <w:t>3. 소송 비용 (변호사 비용 포함)</w:t>
        <w:br/>
        <w:t>4. 포렌식 조사 비용</w:t>
        <w:br/>
        <w:t>5. 유출 통지 비용 (우편, 이메일, 콜센터)</w:t>
        <w:br/>
        <w:t>6. 신용모니터링 서비스 제공 비용</w:t>
        <w:br/>
        <w:t>7. 평판 회복 비용 (PR, 광고 등)</w:t>
        <w:br/>
        <w:t>③ 손해배상 한도: 제한 없음 (개인정보보호법 위반에 대한 배상은 한도 적용 배제)</w:t>
        <w:br/>
        <w:t>④ 징벌적 손해배상: 개인정보보호법 제39조의2에 따라 실제 손해의 3배까지 배상 가능</w:t>
      </w:r>
    </w:p>
    <w:p>
      <w:pPr>
        <w:pStyle w:val="Heading2"/>
      </w:pPr>
      <w:r>
        <w:rPr>
          <w:color w:val="1A1A2E"/>
        </w:rPr>
        <w:t>제11조 (계약 해지)</w:t>
      </w:r>
    </w:p>
    <w:p>
      <w:pPr>
        <w:spacing w:after="80" w:line="320" w:lineRule="exact"/>
      </w:pPr>
      <w:r>
        <w:rPr>
          <w:b w:val="0"/>
          <w:sz w:val="20"/>
        </w:rPr>
        <w:t>① "갑"은 다음의 경우 본 계약을 즉시 해지할 수 있다.</w:t>
        <w:br/>
        <w:t>1. "을"이 개인정보보호법을 위반한 경우</w:t>
        <w:br/>
        <w:t>2. "을"이 위탁 범위를 초과하여 개인정보를 처리한 경우</w:t>
        <w:br/>
        <w:t>3. "을"의 보안 인증이 상실된 경우</w:t>
        <w:br/>
        <w:t>4. "을"에 대한 감사 결과 중대한 미흡 사항이 발견되고, 시정 기한 내 미시정</w:t>
        <w:br/>
        <w:t>② 해지 시에도 제5조(안전성 확보), 제8조(파기), 제10조(손해배상) 의무는 존속한다.</w:t>
      </w:r>
    </w:p>
    <w:p>
      <w:pPr>
        <w:pStyle w:val="Heading2"/>
      </w:pPr>
      <w:r>
        <w:rPr>
          <w:color w:val="1A1A2E"/>
        </w:rPr>
        <w:t>제12조 (일반조항)</w:t>
      </w:r>
    </w:p>
    <w:p>
      <w:pPr>
        <w:spacing w:after="80" w:line="320" w:lineRule="exact"/>
      </w:pPr>
      <w:r>
        <w:rPr>
          <w:b w:val="0"/>
          <w:sz w:val="20"/>
        </w:rPr>
        <w:t>① 본 계약은 개인정보보호법, 정보통신망법 등 관련 법령의 개정에 따라 변경될 수 있으며, 법령 변경 시 "갑"은 변경 내용을 "을"에게 통보하고 계약을 갱신한다.</w:t>
        <w:br/>
        <w:t>② 본 계약에 명시되지 않은 사항은 개인정보보호법 및 관련 법령에 따른다.</w:t>
        <w:br/>
        <w:t>③ 준거법: 대한민국 법률</w:t>
        <w:br/>
        <w:t>④ 분쟁해결: 서울중앙지방법원 전속 관할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위탁 업무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처리 개인정보 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대상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처리 목적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문서 분석 서비스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이름, 직책, 연락처, 이메일 (문서 내 포함)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고객사 직원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문서 자동 분류·요약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챗봇 서비스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이름, 질의 내용, 사용 이력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고객사 직원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 기반 Q&amp;A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회의록 자동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이름, 음성 데이터, 발화 내용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회의 참석자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회의록 생성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사용자 인증/관리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이름, 이메일, 비밀번호(해시), IP, 접속 로그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서비스 사용자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인증 및 접근 관리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고객 지원(CS)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이름, 이메일, 전화번호, 문의 내용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고객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기술 지원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결제/청구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담당자명, 이메일, 청구 주소, 결제 정보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고객 재무 담당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요금 청구</w:t>
            </w:r>
          </w:p>
        </w:tc>
      </w:tr>
    </w:tbl>
    <w:p/>
    <w:p>
      <w:pPr>
        <w:pStyle w:val="Heading1"/>
      </w:pPr>
      <w:r>
        <w:rPr>
          <w:color w:val="1A1A2E"/>
        </w:rPr>
        <w:t>서명</w:t>
      </w:r>
    </w:p>
    <w:p>
      <w:pPr>
        <w:spacing w:after="80" w:line="320" w:lineRule="exact"/>
      </w:pPr>
      <w:r>
        <w:rPr>
          <w:b w:val="0"/>
          <w:sz w:val="20"/>
        </w:rPr>
        <w:t>2025년  3월  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위탁자 "갑"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수탁자 "을"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상호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주식회사 테크노바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주식회사 데이터쉴드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대표이사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박진우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김보안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개인정보 보호책임자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 박민서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CISO 이정보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br/>
        <w:t>별첨 1. 개인정보 처리 현황표</w:t>
        <w:br/>
        <w:t>별첨 2. 안전성 확보조치 이행 점검표</w:t>
        <w:br/>
        <w:t>별첨 3. 개인정보 파기 확인서 양식</w:t>
        <w:br/>
        <w:t>별첨 4. 개인정보 유출 사고 통보서 양식</w:t>
        <w:br/>
        <w:t>별첨 5. 재위탁 현황표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