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온프레미스 → 클라우드 데이터 센터 이전 프로젝트 제안서</w:t>
      </w:r>
    </w:p>
    <w:p/>
    <w:p>
      <w:pPr>
        <w:jc w:val="center"/>
      </w:pPr>
      <w:r>
        <w:t>제안사: 주식회사 넥스트이노베이션 클라우드사업본부</w:t>
      </w:r>
    </w:p>
    <w:p>
      <w:pPr>
        <w:jc w:val="center"/>
      </w:pPr>
      <w:r>
        <w:t>제안 대상: 주식회사 메가파이낸셜그룹 | 2025년 3월</w:t>
      </w:r>
    </w:p>
    <w:p>
      <w:pPr>
        <w:pStyle w:val="Heading2"/>
      </w:pPr>
      <w:r>
        <w:rPr>
          <w:color w:val="1A1A2E"/>
        </w:rPr>
        <w:t>I. 프로젝트 배경 및 필요성</w:t>
      </w:r>
    </w:p>
    <w:p>
      <w:r>
        <w:t>메가파이낸셜그룹(이하 '고객사')은 현재 자체 데이터센터(판교 IDC) 2곳에서 약 380대의 물리 서버를 운영하고 있으며, 이 중 68%가 도입 후 5년 이상 경과하여 하드웨어 노후화에 따른 장애 발생 빈도가 증가하고 있다(2024년 연간 비계획 다운타임: 127시간). 또한, 금융감독원의 '금융회사 클라우드 이용 확대 방안(2024.09)' 발표에 따라 핵심 업무 시스템의 클라우드 전환이 규제적으로 허용되었으며, 이에 대한 전략적 준비가 필요한 시점이다.</w:t>
        <w:br/>
        <w:br/>
        <w:t>현재 인프라 운영 비용은 연간 약 180억 원(인건비 포함)이며, 클라우드 전환 시 3년 기준 약 35%의 TCO(Total Cost of Ownership) 절감이 예상된다. 또한, Auto Scaling을 통한 탄력적 자원 운영, 글로벌 DR(재해복구) 체계 구축, DevOps/CI·CD 환경 현대화 등의 부가 가치를 확보할 수 있다.</w:t>
      </w:r>
    </w:p>
    <w:p>
      <w:pPr>
        <w:pStyle w:val="Heading2"/>
      </w:pPr>
      <w:r>
        <w:rPr>
          <w:color w:val="1A1A2E"/>
        </w:rPr>
        <w:t>II. 현행 인프라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현황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이슈</w:t>
            </w:r>
          </w:p>
        </w:tc>
      </w:tr>
      <w:tr>
        <w:tc>
          <w:tcPr>
            <w:tcW w:type="dxa" w:w="2880"/>
          </w:tcPr>
          <w:p>
            <w:r>
              <w:t>물리 서버</w:t>
            </w:r>
          </w:p>
        </w:tc>
        <w:tc>
          <w:tcPr>
            <w:tcW w:type="dxa" w:w="2880"/>
          </w:tcPr>
          <w:p>
            <w:r>
              <w:t>380대 (x86: 340, UNIX: 40)</w:t>
            </w:r>
          </w:p>
        </w:tc>
        <w:tc>
          <w:tcPr>
            <w:tcW w:type="dxa" w:w="2880"/>
          </w:tcPr>
          <w:p>
            <w:r>
              <w:t>68% 노후화 (5년 이상)</w:t>
              <w:br/>
              <w:t>유지보수 비용 연 28억</w:t>
            </w:r>
          </w:p>
        </w:tc>
      </w:tr>
      <w:tr>
        <w:tc>
          <w:tcPr>
            <w:tcW w:type="dxa" w:w="2880"/>
          </w:tcPr>
          <w:p>
            <w:r>
              <w:t>가상화</w:t>
            </w:r>
          </w:p>
        </w:tc>
        <w:tc>
          <w:tcPr>
            <w:tcW w:type="dxa" w:w="2880"/>
          </w:tcPr>
          <w:p>
            <w:r>
              <w:t>VMware vSphere 7.0</w:t>
              <w:br/>
              <w:t>VM 1,240개</w:t>
            </w:r>
          </w:p>
        </w:tc>
        <w:tc>
          <w:tcPr>
            <w:tcW w:type="dxa" w:w="2880"/>
          </w:tcPr>
          <w:p>
            <w:r>
              <w:t>라이선스 비용 연 12억</w:t>
              <w:br/>
              <w:t>Broadcom 인수 후 가격 인상 예고</w:t>
            </w:r>
          </w:p>
        </w:tc>
      </w:tr>
      <w:tr>
        <w:tc>
          <w:tcPr>
            <w:tcW w:type="dxa" w:w="2880"/>
          </w:tcPr>
          <w:p>
            <w:r>
              <w:t>스토리지</w:t>
            </w:r>
          </w:p>
        </w:tc>
        <w:tc>
          <w:tcPr>
            <w:tcW w:type="dxa" w:w="2880"/>
          </w:tcPr>
          <w:p>
            <w:r>
              <w:t>NetApp AFF A400 (120TB)</w:t>
              <w:br/>
              <w:t>EMC VMAX (80TB)</w:t>
            </w:r>
          </w:p>
        </w:tc>
        <w:tc>
          <w:tcPr>
            <w:tcW w:type="dxa" w:w="2880"/>
          </w:tcPr>
          <w:p>
            <w:r>
              <w:t>용량 부족 (사용률 87%)</w:t>
              <w:br/>
              <w:t>증설 비용 15억+</w:t>
            </w:r>
          </w:p>
        </w:tc>
      </w:tr>
      <w:tr>
        <w:tc>
          <w:tcPr>
            <w:tcW w:type="dxa" w:w="2880"/>
          </w:tcPr>
          <w:p>
            <w:r>
              <w:t>네트워크</w:t>
            </w:r>
          </w:p>
        </w:tc>
        <w:tc>
          <w:tcPr>
            <w:tcW w:type="dxa" w:w="2880"/>
          </w:tcPr>
          <w:p>
            <w:r>
              <w:t>Cisco Nexus 9K</w:t>
              <w:br/>
              <w:t>10G/40G Fabric</w:t>
            </w:r>
          </w:p>
        </w:tc>
        <w:tc>
          <w:tcPr>
            <w:tcW w:type="dxa" w:w="2880"/>
          </w:tcPr>
          <w:p>
            <w:r>
              <w:t>SDN 미도입</w:t>
              <w:br/>
              <w:t>변경 관리 수동</w:t>
            </w:r>
          </w:p>
        </w:tc>
      </w:tr>
      <w:tr>
        <w:tc>
          <w:tcPr>
            <w:tcW w:type="dxa" w:w="2880"/>
          </w:tcPr>
          <w:p>
            <w:r>
              <w:t>데이터베이스</w:t>
            </w:r>
          </w:p>
        </w:tc>
        <w:tc>
          <w:tcPr>
            <w:tcW w:type="dxa" w:w="2880"/>
          </w:tcPr>
          <w:p>
            <w:r>
              <w:t>Oracle 19c (RAC) 5세트</w:t>
              <w:br/>
              <w:t>MS SQL 2019: 12세트</w:t>
              <w:br/>
              <w:t>PostgreSQL: 8세트</w:t>
            </w:r>
          </w:p>
        </w:tc>
        <w:tc>
          <w:tcPr>
            <w:tcW w:type="dxa" w:w="2880"/>
          </w:tcPr>
          <w:p>
            <w:r>
              <w:t>Oracle 라이선스 연 18억</w:t>
              <w:br/>
              <w:t>이중화 복잡성</w:t>
            </w:r>
          </w:p>
        </w:tc>
      </w:tr>
      <w:tr>
        <w:tc>
          <w:tcPr>
            <w:tcW w:type="dxa" w:w="2880"/>
          </w:tcPr>
          <w:p>
            <w:r>
              <w:t>미들웨어</w:t>
            </w:r>
          </w:p>
        </w:tc>
        <w:tc>
          <w:tcPr>
            <w:tcW w:type="dxa" w:w="2880"/>
          </w:tcPr>
          <w:p>
            <w:r>
              <w:t>WebLogic 14c, Tomcat 9</w:t>
              <w:br/>
              <w:t>Kafka 3.2, Redis 6</w:t>
            </w:r>
          </w:p>
        </w:tc>
        <w:tc>
          <w:tcPr>
            <w:tcW w:type="dxa" w:w="2880"/>
          </w:tcPr>
          <w:p>
            <w:r>
              <w:t>WebLogic 라이선스 부담</w:t>
              <w:br/>
              <w:t>K8s 미도입</w:t>
            </w:r>
          </w:p>
        </w:tc>
      </w:tr>
      <w:tr>
        <w:tc>
          <w:tcPr>
            <w:tcW w:type="dxa" w:w="2880"/>
          </w:tcPr>
          <w:p>
            <w:r>
              <w:t>DR</w:t>
            </w:r>
          </w:p>
        </w:tc>
        <w:tc>
          <w:tcPr>
            <w:tcW w:type="dxa" w:w="2880"/>
          </w:tcPr>
          <w:p>
            <w:r>
              <w:t>판교 IDC ↔ 분당 IDC</w:t>
              <w:br/>
              <w:t>Active-Standby</w:t>
            </w:r>
          </w:p>
        </w:tc>
        <w:tc>
          <w:tcPr>
            <w:tcW w:type="dxa" w:w="2880"/>
          </w:tcPr>
          <w:p>
            <w:r>
              <w:t>RPO: 1시간, RTO: 4시간</w:t>
              <w:br/>
              <w:t>금감원 권고 미충족</w:t>
            </w:r>
          </w:p>
        </w:tc>
      </w:tr>
      <w:tr>
        <w:tc>
          <w:tcPr>
            <w:tcW w:type="dxa" w:w="2880"/>
          </w:tcPr>
          <w:p>
            <w:r>
              <w:t>보안</w:t>
            </w:r>
          </w:p>
        </w:tc>
        <w:tc>
          <w:tcPr>
            <w:tcW w:type="dxa" w:w="2880"/>
          </w:tcPr>
          <w:p>
            <w:r>
              <w:t>F5 WAF, Palo Alto FW</w:t>
              <w:br/>
              <w:t>Symantec DLP</w:t>
            </w:r>
          </w:p>
        </w:tc>
        <w:tc>
          <w:tcPr>
            <w:tcW w:type="dxa" w:w="2880"/>
          </w:tcPr>
          <w:p>
            <w:r>
              <w:t>SIEM 미도입</w:t>
              <w:br/>
              <w:t>Zero Trust 미적용</w:t>
            </w:r>
          </w:p>
        </w:tc>
      </w:tr>
    </w:tbl>
    <w:p/>
    <w:p>
      <w:pPr>
        <w:pStyle w:val="Heading2"/>
      </w:pPr>
      <w:r>
        <w:rPr>
          <w:color w:val="1A1A2E"/>
        </w:rPr>
        <w:t>III. 클라우드 전환 전략</w:t>
      </w:r>
    </w:p>
    <w:p>
      <w:pPr>
        <w:pStyle w:val="Heading3"/>
      </w:pPr>
      <w:r>
        <w:rPr>
          <w:color w:val="1A1A2E"/>
        </w:rPr>
        <w:t>1. 전환 방식 (6R 전략)</w:t>
      </w:r>
    </w:p>
    <w:p>
      <w:r>
        <w:t>각 시스템의 특성에 따라 최적의 전환 방식을 선정한다.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전략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대상 시스템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비율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Rehost</w:t>
              <w:br/>
              <w:t>(Lift &amp; Shift)</w:t>
            </w:r>
          </w:p>
        </w:tc>
        <w:tc>
          <w:tcPr>
            <w:tcW w:type="dxa" w:w="2160"/>
          </w:tcPr>
          <w:p>
            <w:r>
              <w:t>일반 웹서버, 배치 서버</w:t>
              <w:br/>
              <w:t>개발/테스트 환경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VM → EC2 직접 이전</w:t>
              <w:br/>
              <w:t>빠른 전환, 최소 변경</w:t>
            </w:r>
          </w:p>
        </w:tc>
      </w:tr>
      <w:tr>
        <w:tc>
          <w:tcPr>
            <w:tcW w:type="dxa" w:w="2160"/>
          </w:tcPr>
          <w:p>
            <w:r>
              <w:t>Replatform</w:t>
              <w:br/>
              <w:t>(Lift &amp; Reshape)</w:t>
            </w:r>
          </w:p>
        </w:tc>
        <w:tc>
          <w:tcPr>
            <w:tcW w:type="dxa" w:w="2160"/>
          </w:tcPr>
          <w:p>
            <w:r>
              <w:t>WAS(WebLogic→ECS)</w:t>
              <w:br/>
              <w:t>DB(Oracle→Aurora)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플랫폼 교체로 비용 절감</w:t>
              <w:br/>
              <w:t>관리형 서비스 활용</w:t>
            </w:r>
          </w:p>
        </w:tc>
      </w:tr>
      <w:tr>
        <w:tc>
          <w:tcPr>
            <w:tcW w:type="dxa" w:w="2160"/>
          </w:tcPr>
          <w:p>
            <w:r>
              <w:t>Refactor</w:t>
              <w:br/>
              <w:t>(Re-architect)</w:t>
            </w:r>
          </w:p>
        </w:tc>
        <w:tc>
          <w:tcPr>
            <w:tcW w:type="dxa" w:w="2160"/>
          </w:tcPr>
          <w:p>
            <w:r>
              <w:t>핵심 업무 시스템</w:t>
              <w:br/>
              <w:t>(코어뱅킹, 리스크 관리)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MSA + K8s 재설계</w:t>
              <w:br/>
              <w:t>최대 효과, 높은 비용</w:t>
            </w:r>
          </w:p>
        </w:tc>
      </w:tr>
      <w:tr>
        <w:tc>
          <w:tcPr>
            <w:tcW w:type="dxa" w:w="2160"/>
          </w:tcPr>
          <w:p>
            <w:r>
              <w:t>Repurchase</w:t>
            </w:r>
          </w:p>
        </w:tc>
        <w:tc>
          <w:tcPr>
            <w:tcW w:type="dxa" w:w="2160"/>
          </w:tcPr>
          <w:p>
            <w:r>
              <w:t>이메일(Exchange→O365)</w:t>
              <w:br/>
              <w:t>HR(SAP→Workday)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SaaS 전환</w:t>
              <w:br/>
              <w:t>유지보수 부담 제거</w:t>
            </w:r>
          </w:p>
        </w:tc>
      </w:tr>
      <w:tr>
        <w:tc>
          <w:tcPr>
            <w:tcW w:type="dxa" w:w="2160"/>
          </w:tcPr>
          <w:p>
            <w:r>
              <w:t>Retain</w:t>
            </w:r>
          </w:p>
        </w:tc>
        <w:tc>
          <w:tcPr>
            <w:tcW w:type="dxa" w:w="2160"/>
          </w:tcPr>
          <w:p>
            <w:r>
              <w:t>UNIX 레거시</w:t>
              <w:br/>
              <w:t>(보험 정산 시스템)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당분간 온프레미스 유지</w:t>
              <w:br/>
              <w:t>추후 전환 검토</w:t>
            </w:r>
          </w:p>
        </w:tc>
      </w:tr>
      <w:tr>
        <w:tc>
          <w:tcPr>
            <w:tcW w:type="dxa" w:w="2160"/>
          </w:tcPr>
          <w:p>
            <w:r>
              <w:t>Retire</w:t>
            </w:r>
          </w:p>
        </w:tc>
        <w:tc>
          <w:tcPr>
            <w:tcW w:type="dxa" w:w="2160"/>
          </w:tcPr>
          <w:p>
            <w:r>
              <w:t>미사용 시스템</w:t>
              <w:br/>
              <w:t>(구 인트라넷, 테스트 잔여)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폐기</w:t>
              <w:br/>
              <w:t>비용 절감</w:t>
            </w:r>
          </w:p>
        </w:tc>
      </w:tr>
    </w:tbl>
    <w:p/>
    <w:p>
      <w:pPr>
        <w:pStyle w:val="Heading3"/>
      </w:pPr>
      <w:r>
        <w:rPr>
          <w:color w:val="1A1A2E"/>
        </w:rPr>
        <w:t>2. 목표 아키텍처</w:t>
      </w:r>
    </w:p>
    <w:p>
      <w:r>
        <w:t>AWS 기반 하이브리드 클라우드 아키텍처를 구성하며, 핵심 설계 원칙은 다음과 같다.</w:t>
        <w:br/>
        <w:br/>
        <w:t>① Multi-Account 전략: AWS Organizations + Control Tower</w:t>
        <w:br/>
        <w:t xml:space="preserve">  - Production / Staging / Development / Security / Shared Services / Logging 계정 분리</w:t>
        <w:br/>
        <w:t>② 네트워크: Transit Gateway 중심의 Hub-Spoke 구조</w:t>
        <w:br/>
        <w:t xml:space="preserve">  - 온프레미스 ↔ AWS: AWS Direct Connect (10Gbps 이중화)</w:t>
        <w:br/>
        <w:t xml:space="preserve">  - VPC 간 통신: Transit Gateway + Network Firewall</w:t>
        <w:br/>
        <w:t xml:space="preserve">  - 인터넷 노출: CloudFront + WAF + Shield Advanced</w:t>
        <w:br/>
        <w:t>③ 컨테이너 플랫폼: Amazon EKS (Kubernetes 1.29)</w:t>
        <w:br/>
        <w:t xml:space="preserve">  - 서비스 메시: Istio 1.20</w:t>
        <w:br/>
        <w:t xml:space="preserve">  - GitOps: ArgoCD + Flux</w:t>
        <w:br/>
        <w:t xml:space="preserve">  - 모니터링: Prometheus + Grafana + Loki</w:t>
        <w:br/>
        <w:t>④ 데이터베이스:</w:t>
        <w:br/>
        <w:t xml:space="preserve">  - OLTP: Aurora PostgreSQL (Oracle 이관) + Aurora MySQL</w:t>
        <w:br/>
        <w:t xml:space="preserve">  - OLAP: Redshift Serverless</w:t>
        <w:br/>
        <w:t xml:space="preserve">  - NoSQL: DynamoDB (세션/캐시), DocumentDB (로그)</w:t>
        <w:br/>
        <w:t>⑤ DR/HA:</w:t>
        <w:br/>
        <w:t xml:space="preserve">  - Multi-AZ: 모든 프로덕션 워크로드</w:t>
        <w:br/>
        <w:t xml:space="preserve">  - Cross-Region DR: 서울 → 도쿄 (RPO &lt; 5분, RTO &lt; 30분)</w:t>
        <w:br/>
        <w:t>⑥ 보안:</w:t>
        <w:br/>
        <w:t xml:space="preserve">  - 암호화: KMS 관리형 키, S3 기본 암호화</w:t>
        <w:br/>
        <w:t xml:space="preserve">  - 감사: CloudTrail + Config + Security Hub</w:t>
        <w:br/>
        <w:t xml:space="preserve">  - 접근 통제: IAM Identity Center (SSO) + MFA 필수</w:t>
      </w:r>
    </w:p>
    <w:p>
      <w:pPr>
        <w:pStyle w:val="Heading2"/>
      </w:pPr>
      <w:r>
        <w:rPr>
          <w:color w:val="1A1A2E"/>
        </w:rPr>
        <w:t>IV. 프로젝트 수행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기간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주요 활동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인력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산출물</w:t>
            </w:r>
          </w:p>
        </w:tc>
      </w:tr>
      <w:tr>
        <w:tc>
          <w:tcPr>
            <w:tcW w:type="dxa" w:w="1728"/>
          </w:tcPr>
          <w:p>
            <w:r>
              <w:t>Phase 0</w:t>
              <w:br/>
              <w:t>준비</w:t>
            </w:r>
          </w:p>
        </w:tc>
        <w:tc>
          <w:tcPr>
            <w:tcW w:type="dxa" w:w="1728"/>
          </w:tcPr>
          <w:p>
            <w:r>
              <w:t>M1~M2</w:t>
              <w:br/>
              <w:t>(8주)</w:t>
            </w:r>
          </w:p>
        </w:tc>
        <w:tc>
          <w:tcPr>
            <w:tcW w:type="dxa" w:w="1728"/>
          </w:tcPr>
          <w:p>
            <w:r>
              <w:t>현행 시스템 정밀 분석</w:t>
              <w:br/>
              <w:t>전환 대상 분류 (6R)</w:t>
              <w:br/>
              <w:t>Landing Zone 설계</w:t>
              <w:br/>
              <w:t>보안 아키텍처 설계</w:t>
            </w:r>
          </w:p>
        </w:tc>
        <w:tc>
          <w:tcPr>
            <w:tcW w:type="dxa" w:w="1728"/>
          </w:tcPr>
          <w:p>
            <w:r>
              <w:t>PM 1</w:t>
              <w:br/>
              <w:t>SA 2</w:t>
              <w:br/>
              <w:t>보안 1</w:t>
            </w:r>
          </w:p>
        </w:tc>
        <w:tc>
          <w:tcPr>
            <w:tcW w:type="dxa" w:w="1728"/>
          </w:tcPr>
          <w:p>
            <w:r>
              <w:t>현행 분석서</w:t>
              <w:br/>
              <w:t>전환 계획서</w:t>
              <w:br/>
              <w:t>LZ 설계서</w:t>
            </w:r>
          </w:p>
        </w:tc>
      </w:tr>
      <w:tr>
        <w:tc>
          <w:tcPr>
            <w:tcW w:type="dxa" w:w="1728"/>
          </w:tcPr>
          <w:p>
            <w:r>
              <w:t>Phase 1</w:t>
              <w:br/>
              <w:t>기반 구축</w:t>
            </w:r>
          </w:p>
        </w:tc>
        <w:tc>
          <w:tcPr>
            <w:tcW w:type="dxa" w:w="1728"/>
          </w:tcPr>
          <w:p>
            <w:r>
              <w:t>M3~M4</w:t>
              <w:br/>
              <w:t>(8주)</w:t>
            </w:r>
          </w:p>
        </w:tc>
        <w:tc>
          <w:tcPr>
            <w:tcW w:type="dxa" w:w="1728"/>
          </w:tcPr>
          <w:p>
            <w:r>
              <w:t>Landing Zone 구축</w:t>
              <w:br/>
              <w:t>Direct Connect 개통</w:t>
              <w:br/>
              <w:t>CI/CD 파이프라인 구축</w:t>
              <w:br/>
              <w:t>IaC(Terraform) 작성</w:t>
            </w:r>
          </w:p>
        </w:tc>
        <w:tc>
          <w:tcPr>
            <w:tcW w:type="dxa" w:w="1728"/>
          </w:tcPr>
          <w:p>
            <w:r>
              <w:t>PM 1</w:t>
              <w:br/>
              <w:t>SA 2</w:t>
              <w:br/>
              <w:t>Infra 4</w:t>
              <w:br/>
              <w:t>DevOps 2</w:t>
            </w:r>
          </w:p>
        </w:tc>
        <w:tc>
          <w:tcPr>
            <w:tcW w:type="dxa" w:w="1728"/>
          </w:tcPr>
          <w:p>
            <w:r>
              <w:t>LZ 구축 보고서</w:t>
              <w:br/>
              <w:t>네트워크 구성도</w:t>
              <w:br/>
              <w:t>IaC 코드</w:t>
            </w:r>
          </w:p>
        </w:tc>
      </w:tr>
      <w:tr>
        <w:tc>
          <w:tcPr>
            <w:tcW w:type="dxa" w:w="1728"/>
          </w:tcPr>
          <w:p>
            <w:r>
              <w:t>Phase 2</w:t>
              <w:br/>
              <w:t>1차 전환</w:t>
            </w:r>
          </w:p>
        </w:tc>
        <w:tc>
          <w:tcPr>
            <w:tcW w:type="dxa" w:w="1728"/>
          </w:tcPr>
          <w:p>
            <w:r>
              <w:t>M5~M8</w:t>
              <w:br/>
              <w:t>(16주)</w:t>
            </w:r>
          </w:p>
        </w:tc>
        <w:tc>
          <w:tcPr>
            <w:tcW w:type="dxa" w:w="1728"/>
          </w:tcPr>
          <w:p>
            <w:r>
              <w:t>개발/테스트 환경 전환</w:t>
              <w:br/>
              <w:t>Rehost 대상 서버 이전</w:t>
              <w:br/>
              <w:t>Replatform (WAS, 일부 DB)</w:t>
            </w:r>
          </w:p>
        </w:tc>
        <w:tc>
          <w:tcPr>
            <w:tcW w:type="dxa" w:w="1728"/>
          </w:tcPr>
          <w:p>
            <w:r>
              <w:t>PM 1</w:t>
              <w:br/>
              <w:t>SA 2</w:t>
              <w:br/>
              <w:t>Infra 4</w:t>
              <w:br/>
              <w:t>DBA 3</w:t>
              <w:br/>
              <w:t>App 4</w:t>
            </w:r>
          </w:p>
        </w:tc>
        <w:tc>
          <w:tcPr>
            <w:tcW w:type="dxa" w:w="1728"/>
          </w:tcPr>
          <w:p>
            <w:r>
              <w:t>전환 완료 보고서</w:t>
              <w:br/>
              <w:t>성능 테스트 결과</w:t>
            </w:r>
          </w:p>
        </w:tc>
      </w:tr>
      <w:tr>
        <w:tc>
          <w:tcPr>
            <w:tcW w:type="dxa" w:w="1728"/>
          </w:tcPr>
          <w:p>
            <w:r>
              <w:t>Phase 3</w:t>
              <w:br/>
              <w:t>2차 전환</w:t>
            </w:r>
          </w:p>
        </w:tc>
        <w:tc>
          <w:tcPr>
            <w:tcW w:type="dxa" w:w="1728"/>
          </w:tcPr>
          <w:p>
            <w:r>
              <w:t>M9~M14</w:t>
              <w:br/>
              <w:t>(24주)</w:t>
            </w:r>
          </w:p>
        </w:tc>
        <w:tc>
          <w:tcPr>
            <w:tcW w:type="dxa" w:w="1728"/>
          </w:tcPr>
          <w:p>
            <w:r>
              <w:t>핵심 업무 시스템 전환</w:t>
              <w:br/>
              <w:t>Oracle → Aurora 마이그레이션</w:t>
              <w:br/>
              <w:t>MSA 리아키텍처링</w:t>
              <w:br/>
              <w:t>DR 체계 구축</w:t>
            </w:r>
          </w:p>
        </w:tc>
        <w:tc>
          <w:tcPr>
            <w:tcW w:type="dxa" w:w="1728"/>
          </w:tcPr>
          <w:p>
            <w:r>
              <w:t>PM 1</w:t>
              <w:br/>
              <w:t>SA 3</w:t>
              <w:br/>
              <w:t>Infra 4</w:t>
              <w:br/>
              <w:t>DBA 4</w:t>
              <w:br/>
              <w:t>App 8</w:t>
              <w:br/>
              <w:t>보안 2</w:t>
            </w:r>
          </w:p>
        </w:tc>
        <w:tc>
          <w:tcPr>
            <w:tcW w:type="dxa" w:w="1728"/>
          </w:tcPr>
          <w:p>
            <w:r>
              <w:t>마이그레이션 보고서</w:t>
              <w:br/>
              <w:t>DR 테스트 결과</w:t>
              <w:br/>
              <w:t>보안 감사 보고서</w:t>
            </w:r>
          </w:p>
        </w:tc>
      </w:tr>
      <w:tr>
        <w:tc>
          <w:tcPr>
            <w:tcW w:type="dxa" w:w="1728"/>
          </w:tcPr>
          <w:p>
            <w:r>
              <w:t>Phase 4</w:t>
              <w:br/>
              <w:t>안정화</w:t>
            </w:r>
          </w:p>
        </w:tc>
        <w:tc>
          <w:tcPr>
            <w:tcW w:type="dxa" w:w="1728"/>
          </w:tcPr>
          <w:p>
            <w:r>
              <w:t>M15~M18</w:t>
              <w:br/>
              <w:t>(16주)</w:t>
            </w:r>
          </w:p>
        </w:tc>
        <w:tc>
          <w:tcPr>
            <w:tcW w:type="dxa" w:w="1728"/>
          </w:tcPr>
          <w:p>
            <w:r>
              <w:t>성능 최적화</w:t>
              <w:br/>
              <w:t>비용 최적화 (RI/SP)</w:t>
              <w:br/>
              <w:t>운영 이관 및 교육</w:t>
              <w:br/>
              <w:t>온프레미스 반납</w:t>
            </w:r>
          </w:p>
        </w:tc>
        <w:tc>
          <w:tcPr>
            <w:tcW w:type="dxa" w:w="1728"/>
          </w:tcPr>
          <w:p>
            <w:r>
              <w:t>PM 1</w:t>
              <w:br/>
              <w:t>SA 1</w:t>
              <w:br/>
              <w:t>Infra 2</w:t>
              <w:br/>
              <w:t>FinOps 1</w:t>
            </w:r>
          </w:p>
        </w:tc>
        <w:tc>
          <w:tcPr>
            <w:tcW w:type="dxa" w:w="1728"/>
          </w:tcPr>
          <w:p>
            <w:r>
              <w:t>운영 매뉴얼</w:t>
              <w:br/>
              <w:t>교육 완료 보고</w:t>
              <w:br/>
              <w:t>비용 분석 보고서</w:t>
            </w:r>
          </w:p>
        </w:tc>
      </w:tr>
    </w:tbl>
    <w:p/>
    <w:p>
      <w:pPr>
        <w:pStyle w:val="Heading2"/>
      </w:pPr>
      <w:r>
        <w:rPr>
          <w:color w:val="1A1A2E"/>
        </w:rPr>
        <w:t>V. 예상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금액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컨설팅 + 전환 서비스</w:t>
            </w:r>
          </w:p>
        </w:tc>
        <w:tc>
          <w:tcPr>
            <w:tcW w:type="dxa" w:w="2880"/>
          </w:tcPr>
          <w:p>
            <w:r>
              <w:t>42억 원</w:t>
            </w:r>
          </w:p>
        </w:tc>
        <w:tc>
          <w:tcPr>
            <w:tcW w:type="dxa" w:w="2880"/>
          </w:tcPr>
          <w:p>
            <w:r>
              <w:t>18개월, 투입 인력 30명+</w:t>
            </w:r>
          </w:p>
        </w:tc>
      </w:tr>
      <w:tr>
        <w:tc>
          <w:tcPr>
            <w:tcW w:type="dxa" w:w="2880"/>
          </w:tcPr>
          <w:p>
            <w:r>
              <w:t>AWS 인프라 (연간)</w:t>
            </w:r>
          </w:p>
        </w:tc>
        <w:tc>
          <w:tcPr>
            <w:tcW w:type="dxa" w:w="2880"/>
          </w:tcPr>
          <w:p>
            <w:r>
              <w:t>52억 원 → 38억 원*</w:t>
            </w:r>
          </w:p>
        </w:tc>
        <w:tc>
          <w:tcPr>
            <w:tcW w:type="dxa" w:w="2880"/>
          </w:tcPr>
          <w:p>
            <w:r>
              <w:t>*RI/SP 적용 후, 초년도 52억</w:t>
            </w:r>
          </w:p>
        </w:tc>
      </w:tr>
      <w:tr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연 3.6억 원</w:t>
            </w:r>
          </w:p>
        </w:tc>
        <w:tc>
          <w:tcPr>
            <w:tcW w:type="dxa" w:w="2880"/>
          </w:tcPr>
          <w:p>
            <w:r>
              <w:t>10Gbps 이중화</w:t>
            </w:r>
          </w:p>
        </w:tc>
      </w:tr>
      <w:tr>
        <w:tc>
          <w:tcPr>
            <w:tcW w:type="dxa" w:w="2880"/>
          </w:tcPr>
          <w:p>
            <w:r>
              <w:t>3rd Party 라이선스</w:t>
            </w:r>
          </w:p>
        </w:tc>
        <w:tc>
          <w:tcPr>
            <w:tcW w:type="dxa" w:w="2880"/>
          </w:tcPr>
          <w:p>
            <w:r>
              <w:t>연 8억 원</w:t>
            </w:r>
          </w:p>
        </w:tc>
        <w:tc>
          <w:tcPr>
            <w:tcW w:type="dxa" w:w="2880"/>
          </w:tcPr>
          <w:p>
            <w:r>
              <w:t>Datadog, Palo Alto 등</w:t>
            </w:r>
          </w:p>
        </w:tc>
      </w:tr>
      <w:tr>
        <w:tc>
          <w:tcPr>
            <w:tcW w:type="dxa" w:w="2880"/>
          </w:tcPr>
          <w:p>
            <w:r>
              <w:t>교육 및 변경관리</w:t>
            </w:r>
          </w:p>
        </w:tc>
        <w:tc>
          <w:tcPr>
            <w:tcW w:type="dxa" w:w="2880"/>
          </w:tcPr>
          <w:p>
            <w:r>
              <w:t>3억 원</w:t>
            </w:r>
          </w:p>
        </w:tc>
        <w:tc>
          <w:tcPr>
            <w:tcW w:type="dxa" w:w="2880"/>
          </w:tcPr>
          <w:p>
            <w:r>
              <w:t>AWS 인증 교육 50명</w:t>
            </w:r>
          </w:p>
        </w:tc>
      </w:tr>
      <w:tr>
        <w:tc>
          <w:tcPr>
            <w:tcW w:type="dxa" w:w="2880"/>
          </w:tcPr>
          <w:p>
            <w:r>
              <w:t>예비비 (10%)</w:t>
            </w:r>
          </w:p>
        </w:tc>
        <w:tc>
          <w:tcPr>
            <w:tcW w:type="dxa" w:w="2880"/>
          </w:tcPr>
          <w:p>
            <w:r>
              <w:t>4.2억 원</w:t>
            </w:r>
          </w:p>
        </w:tc>
        <w:tc>
          <w:tcPr>
            <w:tcW w:type="dxa" w:w="2880"/>
          </w:tcPr>
          <w:p>
            <w:r>
              <w:t>리스크 대응</w:t>
            </w:r>
          </w:p>
        </w:tc>
      </w:tr>
      <w:tr>
        <w:tc>
          <w:tcPr>
            <w:tcW w:type="dxa" w:w="2880"/>
          </w:tcPr>
          <w:p>
            <w:r>
              <w:t>합계 (초년도)</w:t>
            </w:r>
          </w:p>
        </w:tc>
        <w:tc>
          <w:tcPr>
            <w:tcW w:type="dxa" w:w="2880"/>
          </w:tcPr>
          <w:p>
            <w:r>
              <w:t>약 109억 원</w:t>
            </w:r>
          </w:p>
        </w:tc>
        <w:tc>
          <w:tcPr>
            <w:tcW w:type="dxa" w:w="2880"/>
          </w:tcPr>
          <w:p>
            <w:r>
              <w:t>2년차부터 연 50억 원 수준</w:t>
            </w:r>
          </w:p>
        </w:tc>
      </w:tr>
    </w:tbl>
    <w:p/>
    <w:p>
      <w:r>
        <w:t>* 현행 온프레미스 운영 비용 연 180억 원 대비, 클라우드 전환 후 3년 평균 연 117억 원으로 약 35% TCO 절감 효과. 5년 기준 누적 절감액 약 315억 원.</w:t>
      </w:r>
    </w:p>
    <w:p>
      <w:pPr>
        <w:pStyle w:val="Heading2"/>
      </w:pPr>
      <w:r>
        <w:rPr>
          <w:color w:val="1A1A2E"/>
        </w:rPr>
        <w:t>VI. 리스크 및 대응 방안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리스크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영향도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발생확률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대응 방안</w:t>
            </w:r>
          </w:p>
        </w:tc>
      </w:tr>
      <w:tr>
        <w:tc>
          <w:tcPr>
            <w:tcW w:type="dxa" w:w="2160"/>
          </w:tcPr>
          <w:p>
            <w:r>
              <w:t>Oracle → Aurora</w:t>
              <w:br/>
              <w:t>마이그레이션 실패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사전 POC(8주) 실시</w:t>
              <w:br/>
              <w:t>DMS + SCT 이중 검증</w:t>
              <w:br/>
              <w:t>롤백 계획 수립</w:t>
            </w:r>
          </w:p>
        </w:tc>
      </w:tr>
      <w:tr>
        <w:tc>
          <w:tcPr>
            <w:tcW w:type="dxa" w:w="2160"/>
          </w:tcPr>
          <w:p>
            <w:r>
              <w:t>Direct Connect</w:t>
              <w:br/>
              <w:t>개통 지연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VPN 백업 경로 확보</w:t>
              <w:br/>
              <w:t>2개 ISP 이중화</w:t>
            </w:r>
          </w:p>
        </w:tc>
      </w:tr>
      <w:tr>
        <w:tc>
          <w:tcPr>
            <w:tcW w:type="dxa" w:w="2160"/>
          </w:tcPr>
          <w:p>
            <w:r>
              <w:t>금감원 규제</w:t>
              <w:br/>
              <w:t>변경/강화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저</w:t>
            </w:r>
          </w:p>
        </w:tc>
        <w:tc>
          <w:tcPr>
            <w:tcW w:type="dxa" w:w="2160"/>
          </w:tcPr>
          <w:p>
            <w:r>
              <w:t>클라우드 컴플라이언스 TF</w:t>
              <w:br/>
              <w:t>규제 동향 월간 모니터링</w:t>
            </w:r>
          </w:p>
        </w:tc>
      </w:tr>
      <w:tr>
        <w:tc>
          <w:tcPr>
            <w:tcW w:type="dxa" w:w="2160"/>
          </w:tcPr>
          <w:p>
            <w:r>
              <w:t>핵심 인력 부족</w:t>
              <w:br/>
              <w:t>(클라우드 전문가)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고</w:t>
            </w:r>
          </w:p>
        </w:tc>
        <w:tc>
          <w:tcPr>
            <w:tcW w:type="dxa" w:w="2160"/>
          </w:tcPr>
          <w:p>
            <w:r>
              <w:t>AWS 인증 교육 프로그램</w:t>
              <w:br/>
              <w:t>외부 전문 인력 투입</w:t>
            </w:r>
          </w:p>
        </w:tc>
      </w:tr>
      <w:tr>
        <w:tc>
          <w:tcPr>
            <w:tcW w:type="dxa" w:w="2160"/>
          </w:tcPr>
          <w:p>
            <w:r>
              <w:t>비용 초과</w:t>
              <w:br/>
              <w:t>(예상 대비)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FinOps 도입</w:t>
              <w:br/>
              <w:t>월간 비용 리뷰</w:t>
              <w:br/>
              <w:t>RI/SP 최적화</w:t>
            </w:r>
          </w:p>
        </w:tc>
      </w:tr>
      <w:tr>
        <w:tc>
          <w:tcPr>
            <w:tcW w:type="dxa" w:w="2160"/>
          </w:tcPr>
          <w:p>
            <w:r>
              <w:t>서비스 중단</w:t>
              <w:br/>
              <w:t>(전환 과정)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저</w:t>
            </w:r>
          </w:p>
        </w:tc>
        <w:tc>
          <w:tcPr>
            <w:tcW w:type="dxa" w:w="2160"/>
          </w:tcPr>
          <w:p>
            <w:r>
              <w:t>블루-그린 배포</w:t>
              <w:br/>
              <w:t>심야/주말 전환</w:t>
              <w:br/>
              <w:t>단계적 트래픽 이관</w:t>
            </w:r>
          </w:p>
        </w:tc>
      </w:tr>
    </w:tbl>
    <w:p/>
    <w:p>
      <w:pPr>
        <w:pStyle w:val="Heading2"/>
      </w:pPr>
      <w:r>
        <w:rPr>
          <w:color w:val="1A1A2E"/>
        </w:rPr>
        <w:t>VII.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현재 (As-Is)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전환 후 (To-Be)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개선 효과</w:t>
            </w:r>
          </w:p>
        </w:tc>
      </w:tr>
      <w:tr>
        <w:tc>
          <w:tcPr>
            <w:tcW w:type="dxa" w:w="2160"/>
          </w:tcPr>
          <w:p>
            <w:r>
              <w:t>연간 인프라 비용</w:t>
            </w:r>
          </w:p>
        </w:tc>
        <w:tc>
          <w:tcPr>
            <w:tcW w:type="dxa" w:w="2160"/>
          </w:tcPr>
          <w:p>
            <w:r>
              <w:t>180억 원</w:t>
            </w:r>
          </w:p>
        </w:tc>
        <w:tc>
          <w:tcPr>
            <w:tcW w:type="dxa" w:w="2160"/>
          </w:tcPr>
          <w:p>
            <w:r>
              <w:t>117억 원 (3년 평균)</w:t>
            </w:r>
          </w:p>
        </w:tc>
        <w:tc>
          <w:tcPr>
            <w:tcW w:type="dxa" w:w="2160"/>
          </w:tcPr>
          <w:p>
            <w:r>
              <w:t>35% 절감</w:t>
            </w:r>
          </w:p>
        </w:tc>
      </w:tr>
      <w:tr>
        <w:tc>
          <w:tcPr>
            <w:tcW w:type="dxa" w:w="2160"/>
          </w:tcPr>
          <w:p>
            <w:r>
              <w:t>서버 프로비저닝</w:t>
            </w:r>
          </w:p>
        </w:tc>
        <w:tc>
          <w:tcPr>
            <w:tcW w:type="dxa" w:w="2160"/>
          </w:tcPr>
          <w:p>
            <w:r>
              <w:t>2~4주</w:t>
            </w:r>
          </w:p>
        </w:tc>
        <w:tc>
          <w:tcPr>
            <w:tcW w:type="dxa" w:w="2160"/>
          </w:tcPr>
          <w:p>
            <w:r>
              <w:t>30분 이내</w:t>
            </w:r>
          </w:p>
        </w:tc>
        <w:tc>
          <w:tcPr>
            <w:tcW w:type="dxa" w:w="2160"/>
          </w:tcPr>
          <w:p>
            <w:r>
              <w:t>98% 단축</w:t>
            </w:r>
          </w:p>
        </w:tc>
      </w:tr>
      <w:tr>
        <w:tc>
          <w:tcPr>
            <w:tcW w:type="dxa" w:w="2160"/>
          </w:tcPr>
          <w:p>
            <w:r>
              <w:t>비계획 다운타임</w:t>
            </w:r>
          </w:p>
        </w:tc>
        <w:tc>
          <w:tcPr>
            <w:tcW w:type="dxa" w:w="2160"/>
          </w:tcPr>
          <w:p>
            <w:r>
              <w:t>연 127시간</w:t>
            </w:r>
          </w:p>
        </w:tc>
        <w:tc>
          <w:tcPr>
            <w:tcW w:type="dxa" w:w="2160"/>
          </w:tcPr>
          <w:p>
            <w:r>
              <w:t>연 8.76시간 이내</w:t>
            </w:r>
          </w:p>
        </w:tc>
        <w:tc>
          <w:tcPr>
            <w:tcW w:type="dxa" w:w="2160"/>
          </w:tcPr>
          <w:p>
            <w:r>
              <w:t>93% 감소</w:t>
            </w:r>
          </w:p>
        </w:tc>
      </w:tr>
      <w:tr>
        <w:tc>
          <w:tcPr>
            <w:tcW w:type="dxa" w:w="2160"/>
          </w:tcPr>
          <w:p>
            <w:r>
              <w:t>DR RPO/RTO</w:t>
            </w:r>
          </w:p>
        </w:tc>
        <w:tc>
          <w:tcPr>
            <w:tcW w:type="dxa" w:w="2160"/>
          </w:tcPr>
          <w:p>
            <w:r>
              <w:t>1시간/4시간</w:t>
            </w:r>
          </w:p>
        </w:tc>
        <w:tc>
          <w:tcPr>
            <w:tcW w:type="dxa" w:w="2160"/>
          </w:tcPr>
          <w:p>
            <w:r>
              <w:t>5분/30분</w:t>
            </w:r>
          </w:p>
        </w:tc>
        <w:tc>
          <w:tcPr>
            <w:tcW w:type="dxa" w:w="2160"/>
          </w:tcPr>
          <w:p>
            <w:r>
              <w:t>92%/87% 개선</w:t>
            </w:r>
          </w:p>
        </w:tc>
      </w:tr>
      <w:tr>
        <w:tc>
          <w:tcPr>
            <w:tcW w:type="dxa" w:w="2160"/>
          </w:tcPr>
          <w:p>
            <w:r>
              <w:t>배포 주기</w:t>
            </w:r>
          </w:p>
        </w:tc>
        <w:tc>
          <w:tcPr>
            <w:tcW w:type="dxa" w:w="2160"/>
          </w:tcPr>
          <w:p>
            <w:r>
              <w:t>월 1회</w:t>
            </w:r>
          </w:p>
        </w:tc>
        <w:tc>
          <w:tcPr>
            <w:tcW w:type="dxa" w:w="2160"/>
          </w:tcPr>
          <w:p>
            <w:r>
              <w:t>일 10회+</w:t>
            </w:r>
          </w:p>
        </w:tc>
        <w:tc>
          <w:tcPr>
            <w:tcW w:type="dxa" w:w="2160"/>
          </w:tcPr>
          <w:p>
            <w:r>
              <w:t>CI/CD 자동화</w:t>
            </w:r>
          </w:p>
        </w:tc>
      </w:tr>
      <w:tr>
        <w:tc>
          <w:tcPr>
            <w:tcW w:type="dxa" w:w="2160"/>
          </w:tcPr>
          <w:p>
            <w:r>
              <w:t>보안 패치</w:t>
            </w:r>
          </w:p>
        </w:tc>
        <w:tc>
          <w:tcPr>
            <w:tcW w:type="dxa" w:w="2160"/>
          </w:tcPr>
          <w:p>
            <w:r>
              <w:t>분기 1회 (수동)</w:t>
            </w:r>
          </w:p>
        </w:tc>
        <w:tc>
          <w:tcPr>
            <w:tcW w:type="dxa" w:w="2160"/>
          </w:tcPr>
          <w:p>
            <w:r>
              <w:t>자동 (7일 이내)</w:t>
            </w:r>
          </w:p>
        </w:tc>
        <w:tc>
          <w:tcPr>
            <w:tcW w:type="dxa" w:w="2160"/>
          </w:tcPr>
          <w:p>
            <w:r>
              <w:t>보안 강화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