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클라우드 인프라 운영 위탁(MSP) 계약서</w:t>
      </w:r>
    </w:p>
    <w:p>
      <w:pPr>
        <w:spacing w:after="80" w:line="320" w:lineRule="exact"/>
      </w:pPr>
      <w:r>
        <w:rPr>
          <w:b w:val="0"/>
          <w:sz w:val="20"/>
        </w:rPr>
        <w:t>계약번호: TN-MSP-2025-0012</w:t>
      </w:r>
    </w:p>
    <w:p>
      <w:pPr>
        <w:spacing w:after="80" w:line="320" w:lineRule="exact"/>
      </w:pPr>
      <w:r>
        <w:rPr>
          <w:b w:val="0"/>
          <w:sz w:val="20"/>
        </w:rPr>
        <w:t>주식회사 테크노바(이하 "갑" 또는 "위탁자")과 클라우드원 주식회사(이하 "을" 또는 "수탁자")은 아래 클라우드 인프라 운영 위탁에 관하여 다음과 같이 계약을 체결한다.</w:t>
      </w:r>
    </w:p>
    <w:p>
      <w:r>
        <w:br w:type="page"/>
      </w:r>
    </w:p>
    <w:p>
      <w:pPr>
        <w:pStyle w:val="Heading2"/>
      </w:pPr>
      <w:r>
        <w:rPr>
          <w:color w:val="1A1A2E"/>
        </w:rPr>
        <w:t>제1조 (목적)</w:t>
      </w:r>
    </w:p>
    <w:p>
      <w:pPr>
        <w:spacing w:after="80" w:line="320" w:lineRule="exact"/>
      </w:pPr>
      <w:r>
        <w:rPr>
          <w:b w:val="0"/>
          <w:sz w:val="20"/>
        </w:rPr>
        <w:t>본 계약은 "갑"이 사용하는 클라우드 인프라(AWS)의 설계, 구축, 운영, 최적화 및 보안 관리를 "을"에게 위탁하고, 이에 따른 서비스 범위, 수준, 대가, 양 당사자의 권리·의무 등을 정함을 목적으로 한다.</w:t>
      </w:r>
    </w:p>
    <w:p>
      <w:pPr>
        <w:pStyle w:val="Heading2"/>
      </w:pPr>
      <w:r>
        <w:rPr>
          <w:color w:val="1A1A2E"/>
        </w:rPr>
        <w:t>제2조 (정의)</w:t>
      </w:r>
    </w:p>
    <w:p>
      <w:pPr>
        <w:spacing w:after="80" w:line="320" w:lineRule="exact"/>
      </w:pPr>
      <w:r>
        <w:rPr>
          <w:b w:val="0"/>
          <w:sz w:val="20"/>
        </w:rPr>
        <w:t>1. "클라우드 인프라"라 함은 "갑"의 AWS 계정에서 운영되는 모든 리소스(EC2, RDS, S3, EKS, Lambda, CloudFront 등)를 말한다.</w:t>
        <w:br/>
        <w:t>2. "MSP 서비스"라 함은 "을"이 제공하는 클라우드 인프라 관리 서비스 일체를 말한다.</w:t>
        <w:br/>
        <w:t>3. "SLA"라 함은 서비스 수준 합의(Service Level Agreement)를 말한다.</w:t>
        <w:br/>
        <w:t>4. "인프라 장애"라 함은 "갑"의 서비스 가용성에 영향을 미치는 클라우드 리소스의 비정상 상태를 말한다.</w:t>
        <w:br/>
        <w:t>5. "변경 요청"이라 함은 인프라 구성의 추가, 변경, 삭제에 관한 공식 요청을 말한다.</w:t>
        <w:br/>
        <w:t>6. "FinOps"라 함은 클라우드 비용 최적화를 위한 재무 운영 프랙티스를 말한다.</w:t>
      </w:r>
    </w:p>
    <w:p>
      <w:pPr>
        <w:pStyle w:val="Heading2"/>
      </w:pPr>
      <w:r>
        <w:rPr>
          <w:color w:val="1A1A2E"/>
        </w:rPr>
        <w:t>제3조 (서비스 범위)</w:t>
      </w:r>
    </w:p>
    <w:p>
      <w:pPr>
        <w:spacing w:after="80" w:line="320" w:lineRule="exact"/>
      </w:pPr>
      <w:r>
        <w:rPr>
          <w:b w:val="0"/>
          <w:sz w:val="20"/>
        </w:rPr>
        <w:t>① "을"이 제공하는 MSP 서비스의 범위는 다음과 같다.</w:t>
        <w:br/>
        <w:br/>
        <w:t>[기본 서비스]</w:t>
        <w:br/>
        <w:t>1. 인프라 모니터링: 24/7/365 실시간 모니터링 (CPU, 메모리, 디스크, 네트워크, 애플리케이션)</w:t>
        <w:br/>
        <w:t>2. 장애 대응: 장애 탐지, 초기 대응, 에스컬레이션, 복구</w:t>
        <w:br/>
        <w:t>3. 변경 관리: 인프라 변경 요청 접수, 실행, 검증</w:t>
        <w:br/>
        <w:t>4. 패치 관리: OS, 미들웨어 보안 패치 적용 (월 1회 정기 + 긴급)</w:t>
        <w:br/>
        <w:t>5. 백업/복구: 일일 백업 실행 및 검증, 복구 테스트 (분기 1회)</w:t>
        <w:br/>
        <w:t>6. 보안 운영: 보안 그룹/ACL 관리, WAF 룰 관리, 취약점 스캔 (월 1회)</w:t>
        <w:br/>
        <w:t>7. 리포팅: 일간/주간/월간 운영 리포트, 경영진 대시보드</w:t>
        <w:br/>
        <w:br/>
        <w:t>[확장 서비스]</w:t>
        <w:br/>
        <w:t>8. 아키텍처 설계/컨설팅: 신규 서비스 인프라 설계, 마이그레이션 지원</w:t>
        <w:br/>
        <w:t>9. FinOps: 비용 분석, 최적화 권고, RI/SP 구매 대행, 비용 리포트</w:t>
        <w:br/>
        <w:t>10. IaC(Infrastructure as Code): Terraform 기반 인프라 코드 관리</w:t>
        <w:br/>
        <w:t>11. DevOps 지원: CI/CD 파이프라인 구성, 컨테이너 오케스트레이션(EKS)</w:t>
        <w:br/>
        <w:t>12. DR(재해복구): DR 아키텍처 설계, DR 훈련 (반기 1회)</w:t>
        <w:br/>
        <w:br/>
        <w:t>② 다음은 서비스 범위에서 제외한다.</w:t>
        <w:br/>
        <w:t>1. 애플리케이션 코드 레벨의 개발 및 디버깅</w:t>
        <w:br/>
        <w:t>2. "갑"의 온프레미스 인프라</w:t>
        <w:br/>
        <w:t>3. AWS 이외의 클라우드 서비스 (Azure, GCP 등)</w:t>
        <w:br/>
        <w:t>4. 엔드유저 지원 (직원 PC, 네트워크 등)</w:t>
      </w:r>
    </w:p>
    <w:p>
      <w:pPr>
        <w:pStyle w:val="Heading2"/>
      </w:pPr>
      <w:r>
        <w:rPr>
          <w:color w:val="1A1A2E"/>
        </w:rPr>
        <w:t>제4조 (인프라 현황)</w:t>
      </w:r>
    </w:p>
    <w:p>
      <w:pPr>
        <w:spacing w:after="80" w:line="320" w:lineRule="exact"/>
      </w:pPr>
      <w:r>
        <w:rPr>
          <w:b w:val="0"/>
          <w:sz w:val="20"/>
        </w:rPr>
        <w:t>"갑"의 현재 클라우드 인프라 현황은 다음과 같다.</w:t>
      </w:r>
    </w:p>
    <w:p>
      <w:pPr>
        <w:pStyle w:val="Heading2"/>
      </w:pPr>
      <w:r>
        <w:rPr>
          <w:color w:val="1A1A2E"/>
        </w:rPr>
        <w:t>제5조 (서비스 수준 합의, SLA)</w:t>
      </w:r>
    </w:p>
    <w:p>
      <w:pPr>
        <w:spacing w:after="80" w:line="320" w:lineRule="exact"/>
      </w:pPr>
      <w:r>
        <w:rPr>
          <w:b w:val="0"/>
          <w:sz w:val="20"/>
        </w:rPr>
        <w:t>① "을"은 다음의 서비스 수준을 보장한다.</w:t>
        <w:br/>
        <w:br/>
        <w:t>[가용성 SLA]</w:t>
      </w:r>
    </w:p>
    <w:p>
      <w:pPr>
        <w:pStyle w:val="Heading2"/>
      </w:pPr>
      <w:r>
        <w:rPr>
          <w:color w:val="1A1A2E"/>
        </w:rPr>
        <w:t>제6조 (운영 체계)</w:t>
      </w:r>
    </w:p>
    <w:p>
      <w:pPr>
        <w:spacing w:after="80" w:line="320" w:lineRule="exact"/>
      </w:pPr>
      <w:r>
        <w:rPr>
          <w:b w:val="0"/>
          <w:sz w:val="20"/>
        </w:rPr>
        <w:t>① "을"의 운영 조직은 다음과 같다.</w:t>
        <w:br/>
        <w:br/>
        <w:t>1. 전담 인력:</w:t>
        <w:br/>
        <w:t>- Cloud Architect 1명 (시니어, 전담)</w:t>
        <w:br/>
        <w:t>- Cloud Engineer 3명 (전담, 3교대)</w:t>
        <w:br/>
        <w:t>- Security Engineer 1명 (전담)</w:t>
        <w:br/>
        <w:t>- FinOps Analyst 1명 (공유, 주 2일 전담)</w:t>
        <w:br/>
        <w:t>- 총 6명 (FTE 기준 5.4명)</w:t>
        <w:br/>
        <w:br/>
        <w:t>2. 운영 프로세스:</w:t>
        <w:br/>
        <w:t>- ITIL v4 프레임워크 기반 운영</w:t>
        <w:br/>
        <w:t>- 인시던트 관리: 탐지 → 분류 → 대응 → 해결 → RCA</w:t>
        <w:br/>
        <w:t>- 변경 관리: 요청 → 영향 분석 → 승인 → 실행 → 검증</w:t>
        <w:br/>
        <w:t>- 문제 관리: RCA → 재발방지 → 나지식기반(KB) 등록</w:t>
        <w:br/>
        <w:br/>
        <w:t>3. 커뮤니케이션:</w:t>
        <w:br/>
        <w:t>- 일간 리포트: 매일 09:00 이메일</w:t>
        <w:br/>
        <w:t>- 주간 회의: 매주 월요일 10:00 (30분)</w:t>
        <w:br/>
        <w:t>- 월간 리뷰: 매월 첫째 주 수요일 14:00 (1시간)</w:t>
        <w:br/>
        <w:t>- 긴급 연락: 24/7 핫라인 (직통 전화 + Slack #ops-emergency)</w:t>
        <w:br/>
        <w:br/>
        <w:t>4. 도구:</w:t>
        <w:br/>
        <w:t>- 모니터링: Datadog (APM, Infrastructure, Logs)</w:t>
        <w:br/>
        <w:t>- 알림: PagerDuty</w:t>
        <w:br/>
        <w:t>- 티켓팅: ServiceNow</w:t>
        <w:br/>
        <w:t>- IaC: Terraform + Terraform Cloud</w:t>
        <w:br/>
        <w:t>- CI/CD: GitHub Actions</w:t>
        <w:br/>
        <w:t>- 비용: AWS Cost Explorer + CloudHealth</w:t>
      </w:r>
    </w:p>
    <w:p>
      <w:pPr>
        <w:pStyle w:val="Heading2"/>
      </w:pPr>
      <w:r>
        <w:rPr>
          <w:color w:val="1A1A2E"/>
        </w:rPr>
        <w:t>제7조 (변경 관리)</w:t>
      </w:r>
    </w:p>
    <w:p>
      <w:pPr>
        <w:spacing w:after="80" w:line="320" w:lineRule="exact"/>
      </w:pPr>
      <w:r>
        <w:rPr>
          <w:b w:val="0"/>
          <w:sz w:val="20"/>
        </w:rPr>
        <w:t>① 인프라 변경은 다음 분류에 따라 처리한다.</w:t>
      </w:r>
    </w:p>
    <w:p>
      <w:pPr>
        <w:pStyle w:val="Heading2"/>
      </w:pPr>
      <w:r>
        <w:rPr>
          <w:color w:val="1A1A2E"/>
        </w:rPr>
        <w:t>제8조 (보안)</w:t>
      </w:r>
    </w:p>
    <w:p>
      <w:pPr>
        <w:spacing w:after="80" w:line="320" w:lineRule="exact"/>
      </w:pPr>
      <w:r>
        <w:rPr>
          <w:b w:val="0"/>
          <w:sz w:val="20"/>
        </w:rPr>
        <w:t>① "을"은 다음의 보안 조치를 수행한다.</w:t>
        <w:br/>
        <w:t>1. 접근 관리: IAM 최소 권한 원칙, MFA 필수, 루트 계정 사용 금지</w:t>
        <w:br/>
        <w:t>2. 네트워크 보안: VPC 설계, Security Group/NACL 관리, Private Subnet 격리</w:t>
        <w:br/>
        <w:t>3. 암호화: 전송 중 TLS 1.3, 저장 시 AES-256 (KMS 관리)</w:t>
        <w:br/>
        <w:t>4. 취약점 관리: 월 1회 취약점 스캔 (Amazon Inspector), 분기 1회 모의침투 테스트</w:t>
        <w:br/>
        <w:t>5. 로그 관리: CloudTrail, VPC Flow Logs, WAF Logs → SIEM 연동 (90일 보관)</w:t>
        <w:br/>
        <w:t>6. 사고 대응: 보안 사고 탐지 시 1시간 내 "갑"에게 통보</w:t>
        <w:br/>
        <w:br/>
        <w:t>② "을"의 엔지니어는 "갑"의 정보보호 정책을 준수하며, 보안 서약서에 서명한다.</w:t>
        <w:br/>
        <w:t>③ "을"은 다음 보안 인증을 유지한다: ISO 27001, SOC 2 Type II, CSA STAR</w:t>
        <w:br/>
        <w:t>④ "갑"은 연 1회 "을"의 보안 감사를 실시할 수 있다.</w:t>
      </w:r>
    </w:p>
    <w:p>
      <w:pPr>
        <w:pStyle w:val="Heading2"/>
      </w:pPr>
      <w:r>
        <w:rPr>
          <w:color w:val="1A1A2E"/>
        </w:rPr>
        <w:t>제9조 (FinOps 및 비용 최적화)</w:t>
      </w:r>
    </w:p>
    <w:p>
      <w:pPr>
        <w:spacing w:after="80" w:line="320" w:lineRule="exact"/>
      </w:pPr>
      <w:r>
        <w:rPr>
          <w:b w:val="0"/>
          <w:sz w:val="20"/>
        </w:rPr>
        <w:t>① "을"은 다음의 FinOps 서비스를 제공한다.</w:t>
        <w:br/>
        <w:t>1. 월간 비용 분석 리포트: 서비스별, 팀별, 환경별 비용 분석</w:t>
        <w:br/>
        <w:t>2. 비용 최적화 권고: 미사용 리소스, 사이징 최적화, 스팟 인스턴스 활용</w:t>
        <w:br/>
        <w:t>3. RI/SP 구매 대행: Reserved Instance, Savings Plans 구매 전략 수립 및 대행</w:t>
        <w:br/>
        <w:t>4. 비용 이상 탐지: 일별 비용 변동 모니터링, 이상 발생 시 즉시 알림</w:t>
        <w:br/>
        <w:t>5. 태깅 관리: 비용 배분을 위한 리소스 태깅 표준 수립 및 적용</w:t>
        <w:br/>
        <w:br/>
        <w:t>② 비용 최적화 성과에 대한 인센티브:</w:t>
        <w:br/>
        <w:t>- 연간 클라우드 비용이 전년 대비 절감된 경우, 절감액의 10%를 성과 보너스로 "을"에게 지급</w:t>
        <w:br/>
        <w:t>- 절감액 산정: 동일 워크로드 기준 단가 비교 (성장에 따른 자연 증가분 제외)</w:t>
        <w:br/>
        <w:br/>
        <w:t>③ 현재 "갑"의 월간 AWS 비용 현황:</w:t>
      </w:r>
    </w:p>
    <w:p>
      <w:pPr>
        <w:pStyle w:val="Heading2"/>
      </w:pPr>
      <w:r>
        <w:rPr>
          <w:color w:val="1A1A2E"/>
        </w:rPr>
        <w:t>제10조 (계약 대금)</w:t>
      </w:r>
    </w:p>
    <w:p>
      <w:pPr>
        <w:spacing w:after="80" w:line="320" w:lineRule="exact"/>
      </w:pPr>
      <w:r>
        <w:rPr>
          <w:b w:val="0"/>
          <w:sz w:val="20"/>
        </w:rPr>
        <w:t>① 월간 MSP 서비스 대금은 다음과 같다.</w:t>
      </w:r>
    </w:p>
    <w:p>
      <w:pPr>
        <w:pStyle w:val="Heading2"/>
      </w:pPr>
      <w:r>
        <w:rPr>
          <w:color w:val="1A1A2E"/>
        </w:rPr>
        <w:t>제11조 (계약 기간)</w:t>
      </w:r>
    </w:p>
    <w:p>
      <w:pPr>
        <w:spacing w:after="80" w:line="320" w:lineRule="exact"/>
      </w:pPr>
      <w:r>
        <w:rPr>
          <w:b w:val="0"/>
          <w:sz w:val="20"/>
        </w:rPr>
        <w:t>① 본 계약의 기간은 2025년 4월 1일부터 2026년 3월 31일까지 1년간으로 한다.</w:t>
        <w:br/>
        <w:t>② 계약 만료 60일 전까지 일방이 서면으로 해지 의사를 통보하지 않는 한, 동일 조건으로 1년씩 자동 갱신한다.</w:t>
        <w:br/>
        <w:t>③ 자동 갱신 시 서비스 대금은 전년 대비 5% 이내에서 조정할 수 있다.</w:t>
      </w:r>
    </w:p>
    <w:p>
      <w:pPr>
        <w:pStyle w:val="Heading2"/>
      </w:pPr>
      <w:r>
        <w:rPr>
          <w:color w:val="1A1A2E"/>
        </w:rPr>
        <w:t>제12조 (대금 지급)</w:t>
      </w:r>
    </w:p>
    <w:p>
      <w:pPr>
        <w:spacing w:after="80" w:line="320" w:lineRule="exact"/>
      </w:pPr>
      <w:r>
        <w:rPr>
          <w:b w:val="0"/>
          <w:sz w:val="20"/>
        </w:rPr>
        <w:t>① 서비스 대금은 월 후불로 지급하며, "을"이 익월 5일까지 세금계산서를 발행하면, "갑"은 발행일로부터 14일 이내에 지급한다.</w:t>
        <w:br/>
        <w:t>② 변경 관리 중 "긴급 변경" 및 "대형 변경"에 대해서는 별도 정산한다 (별첨 단가표 적용).</w:t>
        <w:br/>
        <w:t>③ RI/SP 구매 대금은 "갑"이 직접 AWS에 지급하며, "을"의 서비스 대금에 포함하지 않는다.</w:t>
      </w:r>
    </w:p>
    <w:p>
      <w:pPr>
        <w:pStyle w:val="Heading2"/>
      </w:pPr>
      <w:r>
        <w:rPr>
          <w:color w:val="1A1A2E"/>
        </w:rPr>
        <w:t>제13조 (인력 관리)</w:t>
      </w:r>
    </w:p>
    <w:p>
      <w:pPr>
        <w:spacing w:after="80" w:line="320" w:lineRule="exact"/>
      </w:pPr>
      <w:r>
        <w:rPr>
          <w:b w:val="0"/>
          <w:sz w:val="20"/>
        </w:rPr>
        <w:t>① "을"은 별첨 인력 명단의 전담 인력을 계약 기간 동안 배치한다.</w:t>
        <w:br/>
        <w:t>② 전담 Cloud Architect 및 Security Engineer는 "갑"의 사전 서면 동의 없이 교체할 수 없다.</w:t>
        <w:br/>
        <w:t>③ 핵심 인력 교체 시, 동등 이상의 역량을 갖춘 대체 인력을 제안하고, 30일간의 인수인계 기간을 보장한다.</w:t>
        <w:br/>
        <w:t>④ "갑"은 "을"의 투입 인력이 서비스 수행에 부적합하다고 판단되는 경우, 합리적 사유를 제시하여 교체를 요구할 수 있다.</w:t>
      </w:r>
    </w:p>
    <w:p>
      <w:pPr>
        <w:pStyle w:val="Heading2"/>
      </w:pPr>
      <w:r>
        <w:rPr>
          <w:color w:val="1A1A2E"/>
        </w:rPr>
        <w:t>제14조 (지식재산권 및 산출물)</w:t>
      </w:r>
    </w:p>
    <w:p>
      <w:pPr>
        <w:spacing w:after="80" w:line="320" w:lineRule="exact"/>
      </w:pPr>
      <w:r>
        <w:rPr>
          <w:b w:val="0"/>
          <w:sz w:val="20"/>
        </w:rPr>
        <w:t>① "을"이 본 계약 수행 과정에서 작성한 산출물(아키텍처 문서, IaC 코드, 운영 매뉴얼, 대시보드 등)의 소유권은 "갑"에게 귀속된다.</w:t>
        <w:br/>
        <w:t>② "을"의 기존 지식재산(자체 개발 모니터링 도구, 스크립트 등)은 "을"에게 유보되며, "갑"에게 계약 기간 동안 사용 라이선스를 부여한다.</w:t>
        <w:br/>
        <w:t>③ Terraform 코드는 "갑"의 Git 저장소에 관리하며, 계약 종료 시 "갑"이 독립적으로 운영할 수 있도록 문서화한다.</w:t>
      </w:r>
    </w:p>
    <w:p>
      <w:pPr>
        <w:pStyle w:val="Heading2"/>
      </w:pPr>
      <w:r>
        <w:rPr>
          <w:color w:val="1A1A2E"/>
        </w:rPr>
        <w:t>제15조 (비밀유지)</w:t>
      </w:r>
    </w:p>
    <w:p>
      <w:pPr>
        <w:spacing w:after="80" w:line="320" w:lineRule="exact"/>
      </w:pPr>
      <w:r>
        <w:rPr>
          <w:b w:val="0"/>
          <w:sz w:val="20"/>
        </w:rPr>
        <w:t>① 양측은 본 계약의 이행 과정에서 알게 된 상대방의 비밀정보를 5년간 보호한다.</w:t>
        <w:br/>
        <w:t>② "을"의 투입 인력은 "갑"의 인프라 구성, 보안 설정, 비즈니스 데이터 등에 접근하게 되므로, 개인별 비밀유지서약서에 서명한다.</w:t>
        <w:br/>
        <w:t>③ "을"은 "갑"의 데이터를 본 서비스 제공 목적 외 사용하지 않으며, 계약 종료 시 보유한 "갑"의 데이터를 지체 없이 파기한다.</w:t>
      </w:r>
    </w:p>
    <w:p>
      <w:pPr>
        <w:pStyle w:val="Heading2"/>
      </w:pPr>
      <w:r>
        <w:rPr>
          <w:color w:val="1A1A2E"/>
        </w:rPr>
        <w:t>제16조 (손해배상)</w:t>
      </w:r>
    </w:p>
    <w:p>
      <w:pPr>
        <w:spacing w:after="80" w:line="320" w:lineRule="exact"/>
      </w:pPr>
      <w:r>
        <w:rPr>
          <w:b w:val="0"/>
          <w:sz w:val="20"/>
        </w:rPr>
        <w:t>① 일방의 귀책사유로 상대방에게 손해가 발생한 경우, 직접적이고 현실적인 손해를 배상한다.</w:t>
        <w:br/>
        <w:t>② 손해배상의 총 한도는 직전 12개월간 "갑"이 지급한 서비스 대금 총액으로 한다.</w:t>
        <w:br/>
        <w:t>③ 다만, "을"의 고의 또는 중과실, 비밀유지 위반, 데이터 유출에 대해서는 한도 적용을 배제한다.</w:t>
      </w:r>
    </w:p>
    <w:p>
      <w:pPr>
        <w:pStyle w:val="Heading2"/>
      </w:pPr>
      <w:r>
        <w:rPr>
          <w:color w:val="1A1A2E"/>
        </w:rPr>
        <w:t>제17조 (계약 해지 및 전환)</w:t>
      </w:r>
    </w:p>
    <w:p>
      <w:pPr>
        <w:spacing w:after="80" w:line="320" w:lineRule="exact"/>
      </w:pPr>
      <w:r>
        <w:rPr>
          <w:b w:val="0"/>
          <w:sz w:val="20"/>
        </w:rPr>
        <w:t>① 해지 사유:</w:t>
        <w:br/>
        <w:t>1. 상대방의 중요 의무 위반 + 30일 내 미시정</w:t>
        <w:br/>
        <w:t>2. SLA 미달이 3개월 연속 발생</w:t>
        <w:br/>
        <w:t>3. 상대방의 파산/회생절차</w:t>
        <w:br/>
        <w:t>4. "을"의 보안 인증 상실</w:t>
        <w:br/>
        <w:br/>
        <w:t>② 해지 시 전환(Transition) 지원:</w:t>
        <w:br/>
        <w:t>- "을"은 해지 통보일로부터 최대 3개월간 전환 지원 서비스를 제공한다.</w:t>
        <w:br/>
        <w:t>- 전환 지원 내용: 운영 지식 이전, 문서화, 후임 MSP 또는 "갑" 내부팀 교육</w:t>
        <w:br/>
        <w:t>- 전환 기간 중에도 기본 서비스는 정상 제공한다.</w:t>
        <w:br/>
        <w:t>- 전환 지원 비용: 월 서비스 대금의 50%</w:t>
        <w:br/>
        <w:br/>
        <w:t>③ Terraform 코드, 운영 매뉴얼, 대시보드 등 모든 산출물을 "갑"에게 인도한다.</w:t>
      </w:r>
    </w:p>
    <w:p>
      <w:pPr>
        <w:pStyle w:val="Heading2"/>
      </w:pPr>
      <w:r>
        <w:rPr>
          <w:color w:val="1A1A2E"/>
        </w:rPr>
        <w:t>제18조 (불가항력)</w:t>
      </w:r>
    </w:p>
    <w:p>
      <w:pPr>
        <w:spacing w:after="80" w:line="320" w:lineRule="exact"/>
      </w:pPr>
      <w:r>
        <w:rPr>
          <w:b w:val="0"/>
          <w:sz w:val="20"/>
        </w:rPr>
        <w:t>천재지변, AWS 글로벌 장애, 정부 규제 등 양측의 통제 범위를 벗어난 사유에 의한 서비스 중단은 SLA 위반으로 간주하지 않는다. 다만, "을"은 불가항력 발생 시 즉시 "갑"에게 통보하고 영향을 최소화하기 위한 합리적 노력을 기울여야 한다.</w:t>
      </w:r>
    </w:p>
    <w:p>
      <w:pPr>
        <w:pStyle w:val="Heading2"/>
      </w:pPr>
      <w:r>
        <w:rPr>
          <w:color w:val="1A1A2E"/>
        </w:rPr>
        <w:t>제19조 (일반조항)</w:t>
      </w:r>
    </w:p>
    <w:p>
      <w:pPr>
        <w:spacing w:after="80" w:line="320" w:lineRule="exact"/>
      </w:pPr>
      <w:r>
        <w:rPr>
          <w:b w:val="0"/>
          <w:sz w:val="20"/>
        </w:rPr>
        <w:t>① 완전 합의, 수정(서면), 양도 금지, 분리 가능성, 준거법(대한민국), 분쟁해결(서울중앙지방법원) 등 일반 조항을 적용한다.</w:t>
        <w:br/>
        <w:t>② 본 계약과 별첨의 내용이 상충하는 경우, 본 계약을 우선 적용한다.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리소스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수량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사양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비용(월)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EC2 (프로덕션)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m6i.xlarge~8xlarge 혼합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2,800만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EC2 (스테이징)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m6i.large~xlarge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600만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RDS (PostgreSQL)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db.r6g.2xlarge, Multi-AZ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1,200만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ElastiCache (Redis)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cache.r6g.xlarge, Cluster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400만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클러스터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프로덕션 + 스테이징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800만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80TB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문서, 백업, 로그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200만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CloudFront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5TB/월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100만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기타 (Lambda, SQS, etc)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300만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6,400만 원/월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SLA 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측정 방식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SLA 크레딧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인프라 가용성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99.95%/월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Datadog Uptime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미달 시 월 대금 10~50%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장애 탐지 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5분 이내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모니터링 알림 기준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장애 대응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15분 이내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티켓 접수~착수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초과 시 건당 100만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장애 복구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4시간 이내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서비스 정상화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초과 시 시간당 200만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 장애 대응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30분 이내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티켓 접수~착수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 장애 복구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8시간 이내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서비스 정상화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변경 요청 처리 (일반)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2영업일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요청~완료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패치 적용 (긴급)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CVE 공개~적용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월간 리포트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익월 5영업일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제출 기한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백업 성공률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일일 백업 기준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분류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정의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예시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승인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리드타임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표준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사전 정의된 저위험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EC2 스케일업, SG 룰 추가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자동 승인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일반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영향 분석이 필요한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RDS 버전 업그레이드, VPC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"갑" PM 승인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2영업일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긴급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장애 대응 등 긴급한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 패치, 핫픽스 배포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사후 승인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즉시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대형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아키텍처 수준의 대규모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K8s 버전 업그레이드, DR 전환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"갑" CTO 승인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5영업일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월 비용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최적화 여지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3,400만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RI/SP 적용 시 30% 절감 가능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1,200만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 적용 시 25% 절감 가능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ElastiCache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사이징 최적화 가능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스팟 인스턴스 활용 가능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수명주기 정책 적용 가능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6,400만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예상 절감: 월 1,500~2,000만 원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월 대금(만 원)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기본 서비스 (24/7 운영)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인력 5.4 FTE 포함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확장 서비스 (아키텍처/FinOps)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Architect + FinOps Analyst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도구 라이선스 (Datadog, PagerDuty 등)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"을" 라이선스 공유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월 합계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부가세 별도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연간 합계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57,600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5.76억 원</w:t>
            </w:r>
          </w:p>
        </w:tc>
      </w:tr>
    </w:tbl>
    <w:p/>
    <w:p>
      <w:pPr>
        <w:pStyle w:val="Heading1"/>
      </w:pPr>
      <w:r>
        <w:rPr>
          <w:color w:val="1A1A2E"/>
        </w:rPr>
        <w:t>서명</w:t>
      </w:r>
    </w:p>
    <w:p>
      <w:pPr>
        <w:spacing w:after="80" w:line="320" w:lineRule="exact"/>
      </w:pPr>
      <w:r>
        <w:rPr>
          <w:b w:val="0"/>
          <w:sz w:val="20"/>
        </w:rPr>
        <w:t>2025년  3월  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"갑" 주식회사 테크노바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"을" 클라우드원 주식회사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소재지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서울특별시 강남구 테헤란로 152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서울특별시 서초구 강남대로 327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대표이사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박진우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정우석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br/>
        <w:t>별첨 1. 인프라 상세 현황서</w:t>
        <w:br/>
        <w:t>별첨 2. SLA 상세 정의서</w:t>
        <w:br/>
        <w:t>별첨 3. 변경 관리 절차서</w:t>
        <w:br/>
        <w:t>별첨 4. 추가 작업 단가표</w:t>
        <w:br/>
        <w:t>별첨 5. 전담 인력 명단 및 이력서</w:t>
        <w:br/>
        <w:t>별첨 6. 보안 서약서</w:t>
        <w:br/>
        <w:t>별첨 7. 비상 연락망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