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2025년 1분기 기술 부채 분석 보고서</w:t>
      </w:r>
    </w:p>
    <w:p>
      <w:pPr>
        <w:jc w:val="right"/>
      </w:pPr>
      <w:r>
        <w:t>플랫폼개발팀 | 작성일: 2025년 3월 10일 | 내부용</w:t>
      </w:r>
    </w:p>
    <w:p>
      <w:pPr>
        <w:pStyle w:val="Heading2"/>
      </w:pPr>
      <w:r>
        <w:rPr>
          <w:color w:val="1A1A2E"/>
        </w:rPr>
        <w:t>1. 개요</w:t>
      </w:r>
    </w:p>
    <w:p>
      <w:r>
        <w:t>본 보고서는 AutoFlow 플랫폼의 기술 부채 현황을 정량적으로 분석하고, 우선순위별 해소 계획을 수립하기 위해 작성되었다. SonarQube, Snyk, GitHub CodeQL 등의 정적 분석 도구와 수동 코드 리뷰 결과를 종합하였다.</w:t>
      </w:r>
    </w:p>
    <w:p>
      <w:pPr>
        <w:pStyle w:val="Heading2"/>
      </w:pPr>
      <w:r>
        <w:rPr>
          <w:color w:val="1A1A2E"/>
        </w:rPr>
        <w:t>2. 기술 부채 현황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지표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현재 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목표 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심각도</w:t>
            </w:r>
          </w:p>
        </w:tc>
      </w:tr>
      <w:tr>
        <w:tc>
          <w:tcPr>
            <w:tcW w:type="dxa" w:w="1728"/>
          </w:tcPr>
          <w:p>
            <w:r>
              <w:t>SonarQube 기술 부채</w:t>
            </w:r>
          </w:p>
        </w:tc>
        <w:tc>
          <w:tcPr>
            <w:tcW w:type="dxa" w:w="1728"/>
          </w:tcPr>
          <w:p>
            <w:r>
              <w:t>87일</w:t>
            </w:r>
          </w:p>
        </w:tc>
        <w:tc>
          <w:tcPr>
            <w:tcW w:type="dxa" w:w="1728"/>
          </w:tcPr>
          <w:p>
            <w:r>
              <w:t>30일 이하</w:t>
            </w:r>
          </w:p>
        </w:tc>
        <w:tc>
          <w:tcPr>
            <w:tcW w:type="dxa" w:w="1728"/>
          </w:tcPr>
          <w:p>
            <w:r>
              <w:t>-57일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코드 커버리지 (Backend)</w:t>
            </w:r>
          </w:p>
        </w:tc>
        <w:tc>
          <w:tcPr>
            <w:tcW w:type="dxa" w:w="1728"/>
          </w:tcPr>
          <w:p>
            <w:r>
              <w:t>68.3%</w:t>
            </w:r>
          </w:p>
        </w:tc>
        <w:tc>
          <w:tcPr>
            <w:tcW w:type="dxa" w:w="1728"/>
          </w:tcPr>
          <w:p>
            <w:r>
              <w:t>80%+</w:t>
            </w:r>
          </w:p>
        </w:tc>
        <w:tc>
          <w:tcPr>
            <w:tcW w:type="dxa" w:w="1728"/>
          </w:tcPr>
          <w:p>
            <w:r>
              <w:t>-11.7%p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코드 커버리지 (Frontend)</w:t>
            </w:r>
          </w:p>
        </w:tc>
        <w:tc>
          <w:tcPr>
            <w:tcW w:type="dxa" w:w="1728"/>
          </w:tcPr>
          <w:p>
            <w:r>
              <w:t>42.1%</w:t>
            </w:r>
          </w:p>
        </w:tc>
        <w:tc>
          <w:tcPr>
            <w:tcW w:type="dxa" w:w="1728"/>
          </w:tcPr>
          <w:p>
            <w:r>
              <w:t>70%+</w:t>
            </w:r>
          </w:p>
        </w:tc>
        <w:tc>
          <w:tcPr>
            <w:tcW w:type="dxa" w:w="1728"/>
          </w:tcPr>
          <w:p>
            <w:r>
              <w:t>-27.9%p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코드 중복률</w:t>
            </w:r>
          </w:p>
        </w:tc>
        <w:tc>
          <w:tcPr>
            <w:tcW w:type="dxa" w:w="1728"/>
          </w:tcPr>
          <w:p>
            <w:r>
              <w:t>7.2%</w:t>
            </w:r>
          </w:p>
        </w:tc>
        <w:tc>
          <w:tcPr>
            <w:tcW w:type="dxa" w:w="1728"/>
          </w:tcPr>
          <w:p>
            <w:r>
              <w:t>3% 이하</w:t>
            </w:r>
          </w:p>
        </w:tc>
        <w:tc>
          <w:tcPr>
            <w:tcW w:type="dxa" w:w="1728"/>
          </w:tcPr>
          <w:p>
            <w:r>
              <w:t>+4.2%p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순환 복잡도 &gt; 20인 함수</w:t>
            </w:r>
          </w:p>
        </w:tc>
        <w:tc>
          <w:tcPr>
            <w:tcW w:type="dxa" w:w="1728"/>
          </w:tcPr>
          <w:p>
            <w:r>
              <w:t>34개</w:t>
            </w:r>
          </w:p>
        </w:tc>
        <w:tc>
          <w:tcPr>
            <w:tcW w:type="dxa" w:w="1728"/>
          </w:tcPr>
          <w:p>
            <w:r>
              <w:t>0개</w:t>
            </w:r>
          </w:p>
        </w:tc>
        <w:tc>
          <w:tcPr>
            <w:tcW w:type="dxa" w:w="1728"/>
          </w:tcPr>
          <w:p>
            <w:r>
              <w:t>-34개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의존성 취약점 (High)</w:t>
            </w:r>
          </w:p>
        </w:tc>
        <w:tc>
          <w:tcPr>
            <w:tcW w:type="dxa" w:w="1728"/>
          </w:tcPr>
          <w:p>
            <w:r>
              <w:t>7건</w:t>
            </w:r>
          </w:p>
        </w:tc>
        <w:tc>
          <w:tcPr>
            <w:tcW w:type="dxa" w:w="1728"/>
          </w:tcPr>
          <w:p>
            <w:r>
              <w:t>0건</w:t>
            </w:r>
          </w:p>
        </w:tc>
        <w:tc>
          <w:tcPr>
            <w:tcW w:type="dxa" w:w="1728"/>
          </w:tcPr>
          <w:p>
            <w:r>
              <w:t>-7건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의존성 취약점 (Medium)</w:t>
            </w:r>
          </w:p>
        </w:tc>
        <w:tc>
          <w:tcPr>
            <w:tcW w:type="dxa" w:w="1728"/>
          </w:tcPr>
          <w:p>
            <w:r>
              <w:t>23건</w:t>
            </w:r>
          </w:p>
        </w:tc>
        <w:tc>
          <w:tcPr>
            <w:tcW w:type="dxa" w:w="1728"/>
          </w:tcPr>
          <w:p>
            <w:r>
              <w:t>5건 이하</w:t>
            </w:r>
          </w:p>
        </w:tc>
        <w:tc>
          <w:tcPr>
            <w:tcW w:type="dxa" w:w="1728"/>
          </w:tcPr>
          <w:p>
            <w:r>
              <w:t>-18건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미사용 코드 (Dead Code)</w:t>
            </w:r>
          </w:p>
        </w:tc>
        <w:tc>
          <w:tcPr>
            <w:tcW w:type="dxa" w:w="1728"/>
          </w:tcPr>
          <w:p>
            <w:r>
              <w:t>약 12,000줄</w:t>
            </w:r>
          </w:p>
        </w:tc>
        <w:tc>
          <w:tcPr>
            <w:tcW w:type="dxa" w:w="1728"/>
          </w:tcPr>
          <w:p>
            <w:r>
              <w:t>0줄</w:t>
            </w:r>
          </w:p>
        </w:tc>
        <w:tc>
          <w:tcPr>
            <w:tcW w:type="dxa" w:w="1728"/>
          </w:tcPr>
          <w:p>
            <w:r>
              <w:t>-12,000줄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문서화율 (API)</w:t>
            </w:r>
          </w:p>
        </w:tc>
        <w:tc>
          <w:tcPr>
            <w:tcW w:type="dxa" w:w="1728"/>
          </w:tcPr>
          <w:p>
            <w:r>
              <w:t>61%</w:t>
            </w:r>
          </w:p>
        </w:tc>
        <w:tc>
          <w:tcPr>
            <w:tcW w:type="dxa" w:w="1728"/>
          </w:tcPr>
          <w:p>
            <w:r>
              <w:t>90%+</w:t>
            </w:r>
          </w:p>
        </w:tc>
        <w:tc>
          <w:tcPr>
            <w:tcW w:type="dxa" w:w="1728"/>
          </w:tcPr>
          <w:p>
            <w:r>
              <w:t>-29%p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Python 타입 힌트 커버리지</w:t>
            </w:r>
          </w:p>
        </w:tc>
        <w:tc>
          <w:tcPr>
            <w:tcW w:type="dxa" w:w="1728"/>
          </w:tcPr>
          <w:p>
            <w:r>
              <w:t>34%</w:t>
            </w:r>
          </w:p>
        </w:tc>
        <w:tc>
          <w:tcPr>
            <w:tcW w:type="dxa" w:w="1728"/>
          </w:tcPr>
          <w:p>
            <w:r>
              <w:t>80%+</w:t>
            </w:r>
          </w:p>
        </w:tc>
        <w:tc>
          <w:tcPr>
            <w:tcW w:type="dxa" w:w="1728"/>
          </w:tcPr>
          <w:p>
            <w:r>
              <w:t>-46%p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pPr>
        <w:pStyle w:val="Heading2"/>
      </w:pPr>
      <w:r>
        <w:rPr>
          <w:color w:val="1A1A2E"/>
        </w:rPr>
        <w:t>3. 주요 기술 부채 상세 분석</w:t>
      </w:r>
    </w:p>
    <w:p>
      <w:pPr>
        <w:pStyle w:val="Heading3"/>
      </w:pPr>
      <w:r>
        <w:rPr>
          <w:color w:val="1A1A2E"/>
        </w:rPr>
        <w:t>3.1 [Critical] 의존성 취약점 — 즉시 패치 필요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패키지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취약점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CVSS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영향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패치 버전</w:t>
            </w:r>
          </w:p>
        </w:tc>
      </w:tr>
      <w:tr>
        <w:tc>
          <w:tcPr>
            <w:tcW w:type="dxa" w:w="1440"/>
          </w:tcPr>
          <w:p>
            <w:r>
              <w:t>fastapi</w:t>
            </w:r>
          </w:p>
        </w:tc>
        <w:tc>
          <w:tcPr>
            <w:tcW w:type="dxa" w:w="1440"/>
          </w:tcPr>
          <w:p>
            <w:r>
              <w:t>0.104.1</w:t>
            </w:r>
          </w:p>
        </w:tc>
        <w:tc>
          <w:tcPr>
            <w:tcW w:type="dxa" w:w="1440"/>
          </w:tcPr>
          <w:p>
            <w:r>
              <w:t>CVE-2024-XXXX</w:t>
              <w:br/>
              <w:t>Request Smuggling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API 우회 공격 가능</w:t>
            </w:r>
          </w:p>
        </w:tc>
        <w:tc>
          <w:tcPr>
            <w:tcW w:type="dxa" w:w="1440"/>
          </w:tcPr>
          <w:p>
            <w:r>
              <w:t>0.109.0+</w:t>
            </w:r>
          </w:p>
        </w:tc>
      </w:tr>
      <w:tr>
        <w:tc>
          <w:tcPr>
            <w:tcW w:type="dxa" w:w="1440"/>
          </w:tcPr>
          <w:p>
            <w:r>
              <w:t>pydantic</w:t>
            </w:r>
          </w:p>
        </w:tc>
        <w:tc>
          <w:tcPr>
            <w:tcW w:type="dxa" w:w="1440"/>
          </w:tcPr>
          <w:p>
            <w:r>
              <w:t>2.5.2</w:t>
            </w:r>
          </w:p>
        </w:tc>
        <w:tc>
          <w:tcPr>
            <w:tcW w:type="dxa" w:w="1440"/>
          </w:tcPr>
          <w:p>
            <w:r>
              <w:t>CVE-2025-XXXX</w:t>
              <w:br/>
              <w:t>ReDoS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서비스 거부 가능</w:t>
            </w:r>
          </w:p>
        </w:tc>
        <w:tc>
          <w:tcPr>
            <w:tcW w:type="dxa" w:w="1440"/>
          </w:tcPr>
          <w:p>
            <w:r>
              <w:t>2.6.1+</w:t>
            </w:r>
          </w:p>
        </w:tc>
      </w:tr>
      <w:tr>
        <w:tc>
          <w:tcPr>
            <w:tcW w:type="dxa" w:w="1440"/>
          </w:tcPr>
          <w:p>
            <w:r>
              <w:t>pillow</w:t>
            </w:r>
          </w:p>
        </w:tc>
        <w:tc>
          <w:tcPr>
            <w:tcW w:type="dxa" w:w="1440"/>
          </w:tcPr>
          <w:p>
            <w:r>
              <w:t>10.1.0</w:t>
            </w:r>
          </w:p>
        </w:tc>
        <w:tc>
          <w:tcPr>
            <w:tcW w:type="dxa" w:w="1440"/>
          </w:tcPr>
          <w:p>
            <w:r>
              <w:t>CVE-2024-YYYY</w:t>
              <w:br/>
              <w:t>Buffer Overflow</w:t>
            </w:r>
          </w:p>
        </w:tc>
        <w:tc>
          <w:tcPr>
            <w:tcW w:type="dxa" w:w="1440"/>
          </w:tcPr>
          <w:p>
            <w:r>
              <w:t>9.8</w:t>
            </w:r>
          </w:p>
        </w:tc>
        <w:tc>
          <w:tcPr>
            <w:tcW w:type="dxa" w:w="1440"/>
          </w:tcPr>
          <w:p>
            <w:r>
              <w:t>원격 코드 실행</w:t>
            </w:r>
          </w:p>
        </w:tc>
        <w:tc>
          <w:tcPr>
            <w:tcW w:type="dxa" w:w="1440"/>
          </w:tcPr>
          <w:p>
            <w:r>
              <w:t>10.3.0+</w:t>
            </w:r>
          </w:p>
        </w:tc>
      </w:tr>
      <w:tr>
        <w:tc>
          <w:tcPr>
            <w:tcW w:type="dxa" w:w="1440"/>
          </w:tcPr>
          <w:p>
            <w:r>
              <w:t>sqlalchemy</w:t>
            </w:r>
          </w:p>
        </w:tc>
        <w:tc>
          <w:tcPr>
            <w:tcW w:type="dxa" w:w="1440"/>
          </w:tcPr>
          <w:p>
            <w:r>
              <w:t>2.0.23</w:t>
            </w:r>
          </w:p>
        </w:tc>
        <w:tc>
          <w:tcPr>
            <w:tcW w:type="dxa" w:w="1440"/>
          </w:tcPr>
          <w:p>
            <w:r>
              <w:t>CVE-2024-ZZZZ</w:t>
              <w:br/>
              <w:t>SQL Injection (edge case)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특정 조건 SQL 인젝션</w:t>
            </w:r>
          </w:p>
        </w:tc>
        <w:tc>
          <w:tcPr>
            <w:tcW w:type="dxa" w:w="1440"/>
          </w:tcPr>
          <w:p>
            <w:r>
              <w:t>2.0.28+</w:t>
            </w:r>
          </w:p>
        </w:tc>
      </w:tr>
      <w:tr>
        <w:tc>
          <w:tcPr>
            <w:tcW w:type="dxa" w:w="1440"/>
          </w:tcPr>
          <w:p>
            <w:r>
              <w:t>axios</w:t>
            </w:r>
          </w:p>
        </w:tc>
        <w:tc>
          <w:tcPr>
            <w:tcW w:type="dxa" w:w="1440"/>
          </w:tcPr>
          <w:p>
            <w:r>
              <w:t>1.6.2</w:t>
            </w:r>
          </w:p>
        </w:tc>
        <w:tc>
          <w:tcPr>
            <w:tcW w:type="dxa" w:w="1440"/>
          </w:tcPr>
          <w:p>
            <w:r>
              <w:t>CVE-2024-AAAA</w:t>
              <w:br/>
              <w:t>SSRF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서버사이드 요청 위조</w:t>
            </w:r>
          </w:p>
        </w:tc>
        <w:tc>
          <w:tcPr>
            <w:tcW w:type="dxa" w:w="1440"/>
          </w:tcPr>
          <w:p>
            <w:r>
              <w:t>1.6.8+</w:t>
            </w:r>
          </w:p>
        </w:tc>
      </w:tr>
      <w:tr>
        <w:tc>
          <w:tcPr>
            <w:tcW w:type="dxa" w:w="1440"/>
          </w:tcPr>
          <w:p>
            <w:r>
              <w:t>react-router-dom</w:t>
            </w:r>
          </w:p>
        </w:tc>
        <w:tc>
          <w:tcPr>
            <w:tcW w:type="dxa" w:w="1440"/>
          </w:tcPr>
          <w:p>
            <w:r>
              <w:t>6.20.0</w:t>
            </w:r>
          </w:p>
        </w:tc>
        <w:tc>
          <w:tcPr>
            <w:tcW w:type="dxa" w:w="1440"/>
          </w:tcPr>
          <w:p>
            <w:r>
              <w:t>CVE-2025-BBBB</w:t>
              <w:br/>
              <w:t>Open Redirect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피싱 공격 이용 가능</w:t>
            </w:r>
          </w:p>
        </w:tc>
        <w:tc>
          <w:tcPr>
            <w:tcW w:type="dxa" w:w="1440"/>
          </w:tcPr>
          <w:p>
            <w:r>
              <w:t>6.22.0+</w:t>
            </w:r>
          </w:p>
        </w:tc>
      </w:tr>
      <w:tr>
        <w:tc>
          <w:tcPr>
            <w:tcW w:type="dxa" w:w="1440"/>
          </w:tcPr>
          <w:p>
            <w:r>
              <w:t>vite</w:t>
            </w:r>
          </w:p>
        </w:tc>
        <w:tc>
          <w:tcPr>
            <w:tcW w:type="dxa" w:w="1440"/>
          </w:tcPr>
          <w:p>
            <w:r>
              <w:t>5.0.7</w:t>
            </w:r>
          </w:p>
        </w:tc>
        <w:tc>
          <w:tcPr>
            <w:tcW w:type="dxa" w:w="1440"/>
          </w:tcPr>
          <w:p>
            <w:r>
              <w:t>CVE-2024-CCCC</w:t>
              <w:br/>
              <w:t>Path Traversal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소스코드 노출 위험</w:t>
            </w:r>
          </w:p>
        </w:tc>
        <w:tc>
          <w:tcPr>
            <w:tcW w:type="dxa" w:w="1440"/>
          </w:tcPr>
          <w:p>
            <w:r>
              <w:t>5.0.13+</w:t>
            </w:r>
          </w:p>
        </w:tc>
      </w:tr>
    </w:tbl>
    <w:p/>
    <w:p>
      <w:pPr>
        <w:pStyle w:val="Heading3"/>
      </w:pPr>
      <w:r>
        <w:rPr>
          <w:color w:val="1A1A2E"/>
        </w:rPr>
        <w:t>3.2 [High] 순환 복잡도 &gt; 20인 함수 (상위 10건)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파일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함수명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복잡도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문제점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리팩토링 방안</w:t>
            </w:r>
          </w:p>
        </w:tc>
      </w:tr>
      <w:tr>
        <w:tc>
          <w:tcPr>
            <w:tcW w:type="dxa" w:w="1440"/>
          </w:tcPr>
          <w:p>
            <w:r>
              <w:t>document_agent.py</w:t>
            </w:r>
          </w:p>
        </w:tc>
        <w:tc>
          <w:tcPr>
            <w:tcW w:type="dxa" w:w="1440"/>
          </w:tcPr>
          <w:p>
            <w:r>
              <w:t>_handle_doc_search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조건 분기 과다</w:t>
              <w:br/>
              <w:t>에러 처리 중첩</w:t>
            </w:r>
          </w:p>
        </w:tc>
        <w:tc>
          <w:tcPr>
            <w:tcW w:type="dxa" w:w="1440"/>
          </w:tcPr>
          <w:p>
            <w:r>
              <w:t>전략 패턴으로 분리</w:t>
              <w:br/>
              <w:t>에러 핸들러 통합</w:t>
            </w:r>
          </w:p>
        </w:tc>
      </w:tr>
      <w:tr>
        <w:tc>
          <w:tcPr>
            <w:tcW w:type="dxa" w:w="1440"/>
          </w:tcPr>
          <w:p>
            <w:r>
              <w:t>orchestrator.py</w:t>
            </w:r>
          </w:p>
        </w:tc>
        <w:tc>
          <w:tcPr>
            <w:tcW w:type="dxa" w:w="1440"/>
          </w:tcPr>
          <w:p>
            <w:r>
              <w:t>route_to_agent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intent별 분기문</w:t>
              <w:br/>
              <w:t>하드코딩된 매핑</w:t>
            </w:r>
          </w:p>
        </w:tc>
        <w:tc>
          <w:tcPr>
            <w:tcW w:type="dxa" w:w="1440"/>
          </w:tcPr>
          <w:p>
            <w:r>
              <w:t>라우팅 테이블 분리</w:t>
              <w:br/>
              <w:t>데코레이터 패턴</w:t>
            </w:r>
          </w:p>
        </w:tc>
      </w:tr>
      <w:tr>
        <w:tc>
          <w:tcPr>
            <w:tcW w:type="dxa" w:w="1440"/>
          </w:tcPr>
          <w:p>
            <w:r>
              <w:t>chat.py</w:t>
            </w:r>
          </w:p>
        </w:tc>
        <w:tc>
          <w:tcPr>
            <w:tcW w:type="dxa" w:w="1440"/>
          </w:tcPr>
          <w:p>
            <w:r>
              <w:t>event_generator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스트리밍 로직 + 비즈니스</w:t>
              <w:br/>
              <w:t>로직 혼재</w:t>
            </w:r>
          </w:p>
        </w:tc>
        <w:tc>
          <w:tcPr>
            <w:tcW w:type="dxa" w:w="1440"/>
          </w:tcPr>
          <w:p>
            <w:r>
              <w:t>핸들러별 분리</w:t>
              <w:br/>
              <w:t>async generator 체이닝</w:t>
            </w:r>
          </w:p>
        </w:tc>
      </w:tr>
      <w:tr>
        <w:tc>
          <w:tcPr>
            <w:tcW w:type="dxa" w:w="1440"/>
          </w:tcPr>
          <w:p>
            <w:r>
              <w:t>sheets_service.py</w:t>
            </w:r>
          </w:p>
        </w:tc>
        <w:tc>
          <w:tcPr>
            <w:tcW w:type="dxa" w:w="1440"/>
          </w:tcPr>
          <w:p>
            <w:r>
              <w:t>export_project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포맷팅 + 데이터 변환</w:t>
              <w:br/>
              <w:t>+ API 호출 혼재</w:t>
            </w:r>
          </w:p>
        </w:tc>
        <w:tc>
          <w:tcPr>
            <w:tcW w:type="dxa" w:w="1440"/>
          </w:tcPr>
          <w:p>
            <w:r>
              <w:t>Builder 패턴 적용</w:t>
              <w:br/>
              <w:t>단계별 함수 분리</w:t>
            </w:r>
          </w:p>
        </w:tc>
      </w:tr>
      <w:tr>
        <w:tc>
          <w:tcPr>
            <w:tcW w:type="dxa" w:w="1440"/>
          </w:tcPr>
          <w:p>
            <w:r>
              <w:t>judgment_agent.py</w:t>
            </w:r>
          </w:p>
        </w:tc>
        <w:tc>
          <w:tcPr>
            <w:tcW w:type="dxa" w:w="1440"/>
          </w:tcPr>
          <w:p>
            <w:r>
              <w:t>_parse_llm_response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JSON 파싱 + 검증</w:t>
              <w:br/>
              <w:t>+ 보정 로직 혼합</w:t>
            </w:r>
          </w:p>
        </w:tc>
        <w:tc>
          <w:tcPr>
            <w:tcW w:type="dxa" w:w="1440"/>
          </w:tcPr>
          <w:p>
            <w:r>
              <w:t>파서/검증자/보정기</w:t>
              <w:br/>
              <w:t>3단계 파이프라인</w:t>
            </w:r>
          </w:p>
        </w:tc>
      </w:tr>
    </w:tbl>
    <w:p/>
    <w:p>
      <w:pPr>
        <w:pStyle w:val="Heading3"/>
      </w:pPr>
      <w:r>
        <w:rPr>
          <w:color w:val="1A1A2E"/>
        </w:rPr>
        <w:t>3.3 [High] 프론트엔드 테스트 부재</w:t>
      </w:r>
    </w:p>
    <w:p>
      <w:r>
        <w:t>현재 프론트엔드 테스트 커버리지는 42.1%이며, 대부분 유틸리티 함수 단위 테스트이다. 핵심 컴포넌트(ChatWindow, DocumentDetail, ScheduleBoard 등)에 대한 통합 테스트가 전무하며, E2E 테스트(Cypress/Playwright)도 미구축 상태이다.</w:t>
        <w:br/>
        <w:br/>
        <w:t>영향:</w:t>
        <w:br/>
        <w:t xml:space="preserve">  - 리팩토링 시 사이드 이펙트 감지 불가 → 프로덕션 장애로 이어질 위험</w:t>
        <w:br/>
        <w:t xml:space="preserve">  - 새 기능 개발 시 회귀 테스트 수동 수행 → 배포 주기 지연</w:t>
        <w:br/>
        <w:t xml:space="preserve">  - 코드 리뷰 시 동작 확인 불가 → 리뷰 품질 저하</w:t>
        <w:br/>
        <w:br/>
        <w:t>해소 계획:</w:t>
        <w:br/>
        <w:t xml:space="preserve">  - 2분기: 핵심 컴포넌트 20개에 대한 React Testing Library 테스트 작성</w:t>
        <w:br/>
        <w:t xml:space="preserve">  - 3분기: Playwright 기반 E2E 테스트 시나리오 30개 구축</w:t>
        <w:br/>
        <w:t xml:space="preserve">  - CI/CD: PR 머지 조건에 커버리지 60% 이상 강제</w:t>
      </w:r>
    </w:p>
    <w:p>
      <w:pPr>
        <w:pStyle w:val="Heading3"/>
      </w:pPr>
      <w:r>
        <w:rPr>
          <w:color w:val="1A1A2E"/>
        </w:rPr>
        <w:t>3.4 [Medium] 백엔드 아키텍처 개선 필요 사항</w:t>
      </w:r>
    </w:p>
    <w:p>
      <w:r>
        <w:t>① API 응답 포맷 비표준화: 엔드포인트별로 응답 구조가 다름 → 프론트엔드에서 어댑터 레이어 필요</w:t>
        <w:br/>
        <w:t xml:space="preserve">  - 해소: 통합 응답 스키마(ResponseWrapper) 도입, 점진적 마이그레이션</w:t>
        <w:br/>
        <w:br/>
        <w:t>② 에러 핸들링 비일관: 일부는 HTTPException, 일부는 try/except + 수동 응답</w:t>
        <w:br/>
        <w:t xml:space="preserve">  - 해소: 글로벌 에러 핸들러 + 커스텀 예외 클래스 체계 구축</w:t>
        <w:br/>
        <w:br/>
        <w:t>③ 환경 설정 분산: os.getenv() 직접 호출이 곳곳에 산재</w:t>
        <w:br/>
        <w:t xml:space="preserve">  - 해소: Pydantic Settings 기반 중앙 집중 설정 관리 (app/config.py 확장)</w:t>
        <w:br/>
        <w:br/>
        <w:t>④ DB 마이그레이션: startup 시 ALTER TABLE 직접 실행 → Alembic 미사용</w:t>
        <w:br/>
        <w:t xml:space="preserve">  - 해소: Alembic 마이그레이션으로 전환, startup DDL 제거</w:t>
        <w:br/>
        <w:br/>
        <w:t>⑤ 비동기 처리: 문서 분석, Qdrant 인덱싱이 요청 스레드에서 동기 실행 → 응답 지연</w:t>
        <w:br/>
        <w:t xml:space="preserve">  - 해소: Background Tasks 또는 Celery/ARQ 기반 비동기 처리로 전환</w:t>
      </w:r>
    </w:p>
    <w:p>
      <w:pPr>
        <w:pStyle w:val="Heading2"/>
      </w:pPr>
      <w:r>
        <w:rPr>
          <w:color w:val="1A1A2E"/>
        </w:rPr>
        <w:t>4. 해소 우선순위 및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우선순위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예상 공수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목표 완료</w:t>
            </w:r>
          </w:p>
        </w:tc>
      </w:tr>
      <w:tr>
        <w:tc>
          <w:tcPr>
            <w:tcW w:type="dxa" w:w="1728"/>
          </w:tcPr>
          <w:p>
            <w:r>
              <w:t>P0 (즉시)</w:t>
            </w:r>
          </w:p>
        </w:tc>
        <w:tc>
          <w:tcPr>
            <w:tcW w:type="dxa" w:w="1728"/>
          </w:tcPr>
          <w:p>
            <w:r>
              <w:t>의존성 취약점 7건 패치</w:t>
            </w:r>
          </w:p>
        </w:tc>
        <w:tc>
          <w:tcPr>
            <w:tcW w:type="dxa" w:w="1728"/>
          </w:tcPr>
          <w:p>
            <w:r>
              <w:t>3일</w:t>
            </w:r>
          </w:p>
        </w:tc>
        <w:tc>
          <w:tcPr>
            <w:tcW w:type="dxa" w:w="1728"/>
          </w:tcPr>
          <w:p>
            <w:r>
              <w:t>DevOps팀</w:t>
            </w:r>
          </w:p>
        </w:tc>
        <w:tc>
          <w:tcPr>
            <w:tcW w:type="dxa" w:w="1728"/>
          </w:tcPr>
          <w:p>
            <w:r>
              <w:t>2025-03-14</w:t>
            </w:r>
          </w:p>
        </w:tc>
      </w:tr>
      <w:tr>
        <w:tc>
          <w:tcPr>
            <w:tcW w:type="dxa" w:w="1728"/>
          </w:tcPr>
          <w:p>
            <w:r>
              <w:t>P0 (즉시)</w:t>
            </w:r>
          </w:p>
        </w:tc>
        <w:tc>
          <w:tcPr>
            <w:tcW w:type="dxa" w:w="1728"/>
          </w:tcPr>
          <w:p>
            <w:r>
              <w:t>fastapi + pydantic 업그레이드</w:t>
            </w:r>
          </w:p>
        </w:tc>
        <w:tc>
          <w:tcPr>
            <w:tcW w:type="dxa" w:w="1728"/>
          </w:tcPr>
          <w:p>
            <w:r>
              <w:t>5일</w:t>
            </w:r>
          </w:p>
        </w:tc>
        <w:tc>
          <w:tcPr>
            <w:tcW w:type="dxa" w:w="1728"/>
          </w:tcPr>
          <w:p>
            <w:r>
              <w:t>백엔드팀</w:t>
            </w:r>
          </w:p>
        </w:tc>
        <w:tc>
          <w:tcPr>
            <w:tcW w:type="dxa" w:w="1728"/>
          </w:tcPr>
          <w:p>
            <w:r>
              <w:t>2025-03-17</w:t>
            </w:r>
          </w:p>
        </w:tc>
      </w:tr>
      <w:tr>
        <w:tc>
          <w:tcPr>
            <w:tcW w:type="dxa" w:w="1728"/>
          </w:tcPr>
          <w:p>
            <w:r>
              <w:t>P1 (2주)</w:t>
            </w:r>
          </w:p>
        </w:tc>
        <w:tc>
          <w:tcPr>
            <w:tcW w:type="dxa" w:w="1728"/>
          </w:tcPr>
          <w:p>
            <w:r>
              <w:t>순환 복잡도 상위 5건 리팩토링</w:t>
            </w:r>
          </w:p>
        </w:tc>
        <w:tc>
          <w:tcPr>
            <w:tcW w:type="dxa" w:w="1728"/>
          </w:tcPr>
          <w:p>
            <w:r>
              <w:t>10일</w:t>
            </w:r>
          </w:p>
        </w:tc>
        <w:tc>
          <w:tcPr>
            <w:tcW w:type="dxa" w:w="1728"/>
          </w:tcPr>
          <w:p>
            <w:r>
              <w:t>백엔드팀</w:t>
            </w:r>
          </w:p>
        </w:tc>
        <w:tc>
          <w:tcPr>
            <w:tcW w:type="dxa" w:w="1728"/>
          </w:tcPr>
          <w:p>
            <w:r>
              <w:t>2025-03-28</w:t>
            </w:r>
          </w:p>
        </w:tc>
      </w:tr>
      <w:tr>
        <w:tc>
          <w:tcPr>
            <w:tcW w:type="dxa" w:w="1728"/>
          </w:tcPr>
          <w:p>
            <w:r>
              <w:t>P1 (2주)</w:t>
            </w:r>
          </w:p>
        </w:tc>
        <w:tc>
          <w:tcPr>
            <w:tcW w:type="dxa" w:w="1728"/>
          </w:tcPr>
          <w:p>
            <w:r>
              <w:t>통합 응답 스키마 도입</w:t>
            </w:r>
          </w:p>
        </w:tc>
        <w:tc>
          <w:tcPr>
            <w:tcW w:type="dxa" w:w="1728"/>
          </w:tcPr>
          <w:p>
            <w:r>
              <w:t>5일</w:t>
            </w:r>
          </w:p>
        </w:tc>
        <w:tc>
          <w:tcPr>
            <w:tcW w:type="dxa" w:w="1728"/>
          </w:tcPr>
          <w:p>
            <w:r>
              <w:t>백엔드팀</w:t>
            </w:r>
          </w:p>
        </w:tc>
        <w:tc>
          <w:tcPr>
            <w:tcW w:type="dxa" w:w="1728"/>
          </w:tcPr>
          <w:p>
            <w:r>
              <w:t>2025-03-28</w:t>
            </w:r>
          </w:p>
        </w:tc>
      </w:tr>
      <w:tr>
        <w:tc>
          <w:tcPr>
            <w:tcW w:type="dxa" w:w="1728"/>
          </w:tcPr>
          <w:p>
            <w:r>
              <w:t>P2 (1개월)</w:t>
            </w:r>
          </w:p>
        </w:tc>
        <w:tc>
          <w:tcPr>
            <w:tcW w:type="dxa" w:w="1728"/>
          </w:tcPr>
          <w:p>
            <w:r>
              <w:t>프론트엔드 핵심 컴포넌트 테스트</w:t>
            </w:r>
          </w:p>
        </w:tc>
        <w:tc>
          <w:tcPr>
            <w:tcW w:type="dxa" w:w="1728"/>
          </w:tcPr>
          <w:p>
            <w:r>
              <w:t>20일</w:t>
            </w:r>
          </w:p>
        </w:tc>
        <w:tc>
          <w:tcPr>
            <w:tcW w:type="dxa" w:w="1728"/>
          </w:tcPr>
          <w:p>
            <w:r>
              <w:t>프론트엔드팀</w:t>
            </w:r>
          </w:p>
        </w:tc>
        <w:tc>
          <w:tcPr>
            <w:tcW w:type="dxa" w:w="1728"/>
          </w:tcPr>
          <w:p>
            <w:r>
              <w:t>2025-04-14</w:t>
            </w:r>
          </w:p>
        </w:tc>
      </w:tr>
      <w:tr>
        <w:tc>
          <w:tcPr>
            <w:tcW w:type="dxa" w:w="1728"/>
          </w:tcPr>
          <w:p>
            <w:r>
              <w:t>P2 (1개월)</w:t>
            </w:r>
          </w:p>
        </w:tc>
        <w:tc>
          <w:tcPr>
            <w:tcW w:type="dxa" w:w="1728"/>
          </w:tcPr>
          <w:p>
            <w:r>
              <w:t>Alembic 마이그레이션 전환</w:t>
            </w:r>
          </w:p>
        </w:tc>
        <w:tc>
          <w:tcPr>
            <w:tcW w:type="dxa" w:w="1728"/>
          </w:tcPr>
          <w:p>
            <w:r>
              <w:t>7일</w:t>
            </w:r>
          </w:p>
        </w:tc>
        <w:tc>
          <w:tcPr>
            <w:tcW w:type="dxa" w:w="1728"/>
          </w:tcPr>
          <w:p>
            <w:r>
              <w:t>백엔드팀</w:t>
            </w:r>
          </w:p>
        </w:tc>
        <w:tc>
          <w:tcPr>
            <w:tcW w:type="dxa" w:w="1728"/>
          </w:tcPr>
          <w:p>
            <w:r>
              <w:t>2025-04-07</w:t>
            </w:r>
          </w:p>
        </w:tc>
      </w:tr>
      <w:tr>
        <w:tc>
          <w:tcPr>
            <w:tcW w:type="dxa" w:w="1728"/>
          </w:tcPr>
          <w:p>
            <w:r>
              <w:t>P3 (분기)</w:t>
            </w:r>
          </w:p>
        </w:tc>
        <w:tc>
          <w:tcPr>
            <w:tcW w:type="dxa" w:w="1728"/>
          </w:tcPr>
          <w:p>
            <w:r>
              <w:t>문서 분석 비동기 처리 전환</w:t>
            </w:r>
          </w:p>
        </w:tc>
        <w:tc>
          <w:tcPr>
            <w:tcW w:type="dxa" w:w="1728"/>
          </w:tcPr>
          <w:p>
            <w:r>
              <w:t>15일</w:t>
            </w:r>
          </w:p>
        </w:tc>
        <w:tc>
          <w:tcPr>
            <w:tcW w:type="dxa" w:w="1728"/>
          </w:tcPr>
          <w:p>
            <w:r>
              <w:t>백엔드+AI팀</w:t>
            </w:r>
          </w:p>
        </w:tc>
        <w:tc>
          <w:tcPr>
            <w:tcW w:type="dxa" w:w="1728"/>
          </w:tcPr>
          <w:p>
            <w:r>
              <w:t>2025-06-30</w:t>
            </w:r>
          </w:p>
        </w:tc>
      </w:tr>
      <w:tr>
        <w:tc>
          <w:tcPr>
            <w:tcW w:type="dxa" w:w="1728"/>
          </w:tcPr>
          <w:p>
            <w:r>
              <w:t>P3 (분기)</w:t>
            </w:r>
          </w:p>
        </w:tc>
        <w:tc>
          <w:tcPr>
            <w:tcW w:type="dxa" w:w="1728"/>
          </w:tcPr>
          <w:p>
            <w:r>
              <w:t>E2E 테스트 프레임워크 구축</w:t>
            </w:r>
          </w:p>
        </w:tc>
        <w:tc>
          <w:tcPr>
            <w:tcW w:type="dxa" w:w="1728"/>
          </w:tcPr>
          <w:p>
            <w:r>
              <w:t>15일</w:t>
            </w:r>
          </w:p>
        </w:tc>
        <w:tc>
          <w:tcPr>
            <w:tcW w:type="dxa" w:w="1728"/>
          </w:tcPr>
          <w:p>
            <w:r>
              <w:t>프론트엔드+QA</w:t>
            </w:r>
          </w:p>
        </w:tc>
        <w:tc>
          <w:tcPr>
            <w:tcW w:type="dxa" w:w="1728"/>
          </w:tcPr>
          <w:p>
            <w:r>
              <w:t>2025-06-30</w:t>
            </w:r>
          </w:p>
        </w:tc>
      </w:tr>
    </w:tbl>
    <w:p/>
    <w:p>
      <w:pPr>
        <w:pStyle w:val="Heading2"/>
      </w:pPr>
      <w:r>
        <w:rPr>
          <w:color w:val="1A1A2E"/>
        </w:rPr>
        <w:t>5. 기술 부채 KPI</w:t>
      </w:r>
    </w:p>
    <w:p>
      <w:r>
        <w:t>분기별 기술 부채 KPI를 측정하여 CTO에게 보고한다.</w:t>
        <w:br/>
        <w:br/>
        <w:t xml:space="preserve">  - SonarQube 기술 부채: 분기당 20% 이상 감소</w:t>
        <w:br/>
        <w:t xml:space="preserve">  - 의존성 취약점 High: 항시 0건 유지</w:t>
        <w:br/>
        <w:t xml:space="preserve">  - 코드 커버리지: 분기당 5%p 이상 향상</w:t>
        <w:br/>
        <w:t xml:space="preserve">  - 순환 복잡도 &gt; 20 함수: 분기당 50% 이상 감소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