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33110" cy="21717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33110" cy="217170"/>
                <wp:effectExtent b="0" l="0" r="0" t="0"/>
                <wp:wrapNone/>
                <wp:docPr id="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21기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 데이터 수집 및 저장 수집 데이터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33110" cy="21717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33110" cy="217170"/>
                <wp:effectExtent b="0" l="0" r="0" t="0"/>
                <wp:wrapNone/>
                <wp:docPr id="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9852639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24464951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55998017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535906051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수집 데이터 보고서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544262716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26.02.25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92449976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https://github.com/skn21-final-1team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96628985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773580110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우재현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42764081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프로젝트 개요</w:t>
          </w:r>
        </w:sdtContent>
      </w:sdt>
    </w:p>
    <w:p w:rsidR="00000000" w:rsidDel="00000000" w:rsidP="00000000" w:rsidRDefault="00000000" w:rsidRPr="00000000" w14:paraId="00000012">
      <w:pPr>
        <w:shd w:fill="ffffff" w:val="clear"/>
        <w:spacing w:after="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28537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사용자의 브라우저 북마크/URL을 지식 베이스로 활용하는 오픈소스 RAG(검색 증강 생성) 서비스로 단순 링크 저장을 넘어, 저장된 웹 콘텐츠를 분석하고 근거 기반으로 답변하는 지능형 도우미 구축합니다.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124466435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수집 데이터 개요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8.1045572628232"/>
        <w:gridCol w:w="1486.5548865215378"/>
        <w:gridCol w:w="2483.746984312383"/>
        <w:gridCol w:w="1680.453349980869"/>
        <w:gridCol w:w="1846.65203294601"/>
        <w:tblGridChange w:id="0">
          <w:tblGrid>
            <w:gridCol w:w="1528.1045572628232"/>
            <w:gridCol w:w="1486.5548865215378"/>
            <w:gridCol w:w="2483.746984312383"/>
            <w:gridCol w:w="1680.453349980869"/>
            <w:gridCol w:w="1846.65203294601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181299287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데이터명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25283873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수집 대상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116378250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수집 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59602642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사용 예정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171521024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출처/저작권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390122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웹 페이지 추출 텍스트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5237467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사용자가 입력한 웹페이지 URL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2258319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NotebookLM 벤치마킹을 위한 사용자 맞춤형 문서 기반 QA, 텍스트 청킹(Chunking) 및 임베딩(Embedding)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6153386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웹페이지 텍스트 추출, Markdown 변환, 청킹 및 벡터화 전처리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6796684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사용자가 입력한 불특정 웹사이트이며, 각 웹사이트의 저작권 정책에 따름</w:t>
                </w:r>
              </w:sdtContent>
            </w:sdt>
          </w:p>
        </w:tc>
      </w:tr>
    </w:tbl>
    <w:p w:rsidR="00000000" w:rsidDel="00000000" w:rsidP="00000000" w:rsidRDefault="00000000" w:rsidRPr="00000000" w14:paraId="00000021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-59160057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수집 방법 및 자동화 절차</w:t>
            <w:br w:type="textWrapping"/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247947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수집 방식</w:t>
            <w:br w:type="textWrapping"/>
          </w:r>
        </w:sdtContent>
      </w:sdt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9964880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웹 크롤링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4989203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입력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571657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수집 도구 또는 스크립트 설명: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6231754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사용한 언어/라이브러리: Python / urllib.robotparser(robots.txt 확인), trafilatura(정적크롤링), BeautifulSoup(DuckDuckGo 우회 크롤링), playwright(동적 크롤링 및 렌더링)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3672274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자동화 여부 및 주기: 실제 유저가 URL을 입력할 때마다 실시간으로 자동화된 파이프라인 실행</w:t>
            <w:br w:type="textWrapping"/>
          </w:r>
        </w:sdtContent>
      </w:sdt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3071649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오류 발생 시 예외 처리 전략:</w:t>
          </w:r>
        </w:sdtContent>
      </w:sdt>
    </w:p>
    <w:p w:rsidR="00000000" w:rsidDel="00000000" w:rsidP="00000000" w:rsidRDefault="00000000" w:rsidRPr="00000000" w14:paraId="0000002A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8091978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1. 대상 웹페이지의 robots.txt를 우선 확인하여 수집 가능 여부 판별.</w:t>
          </w:r>
        </w:sdtContent>
      </w:sdt>
    </w:p>
    <w:p w:rsidR="00000000" w:rsidDel="00000000" w:rsidP="00000000" w:rsidRDefault="00000000" w:rsidRPr="00000000" w14:paraId="0000002B">
      <w:pPr>
        <w:spacing w:after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7693189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 trafilatura를 통한 1차 정적 크롤링 시도 (Google 검색 문서 등 차단이 예상되는 경우 DuckDuckGo 엔진과 BeautifulSoup을 활용해 우회 접근).</w:t>
          </w:r>
        </w:sdtContent>
      </w:sdt>
    </w:p>
    <w:p w:rsidR="00000000" w:rsidDel="00000000" w:rsidP="00000000" w:rsidRDefault="00000000" w:rsidRPr="00000000" w14:paraId="0000002C">
      <w:pPr>
        <w:spacing w:after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0965247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 1차 크롤링 결과, 추출된 텍스트가 일정 글자 수 미만일 경우 동적 웹페이지로 간주하여 playwright를 통한 2차 크롤링(렌더링 후 추출) 진행.</w:t>
          </w:r>
        </w:sdtContent>
      </w:sdt>
    </w:p>
    <w:p w:rsidR="00000000" w:rsidDel="00000000" w:rsidP="00000000" w:rsidRDefault="00000000" w:rsidRPr="00000000" w14:paraId="0000002D">
      <w:pPr>
        <w:spacing w:after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7076786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 추출된 텍스트 내에 가비지(Garbage) 데이터 패턴(예: unusual traffic, captcha, access denied, 404, 로그인 필요 등)이 정규식으로 감지될 경우 실패 처리 및 수집 중단.</w:t>
          </w:r>
        </w:sdtContent>
      </w:sdt>
    </w:p>
    <w:p w:rsidR="00000000" w:rsidDel="00000000" w:rsidP="00000000" w:rsidRDefault="00000000" w:rsidRPr="00000000" w14:paraId="0000002E">
      <w:pPr>
        <w:spacing w:after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0267644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  흐름도</w:t>
          </w:r>
        </w:sdtContent>
      </w:sdt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334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84926227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4.1 데이터 양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6108182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수집 데이터 건수: </w:t>
          </w:r>
        </w:sdtContent>
      </w:sdt>
      <w:sdt>
        <w:sdtPr>
          <w:id w:val="205145060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highlight w:val="white"/>
              <w:rtl w:val="0"/>
            </w:rPr>
            <w:t xml:space="preserve">실시간 적재 예정이며 현재 테스트 단계로 약 140개 데이터를 진행했습니다.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079431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추출된 고품질 데이터 건수 (필터링 후 기준): </w:t>
          </w:r>
        </w:sdtContent>
      </w:sdt>
      <w:sdt>
        <w:sdtPr>
          <w:id w:val="192190311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highlight w:val="white"/>
              <w:rtl w:val="0"/>
            </w:rPr>
            <w:t xml:space="preserve">필터링(가비지 텍스트 제거) 통과 및 Markdown 변환 성공 건수 기준 집계하며, 현재 테스트 단계로 약 100개의 데이터를 가지고 있습니다.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40848141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4.2 저장 위치 및 포맷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1961257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경로: 현재 runpod에 postgreSQL DB서버에 저장 중이며, 배포단계에서 AWS RDS로 이전합니다.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5106424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포맷:  Markdown텍스트 형태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6860467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인코딩: httpx의 response.txt을 통해 http 응답의 Content-Type헤더에 charset이 있으면 해당 인코딩을 사용하며, 누락 시 UTF-8로 간주하여 진행합니다.</w:t>
          </w:r>
        </w:sdtContent>
      </w:sdt>
    </w:p>
    <w:p w:rsidR="00000000" w:rsidDel="00000000" w:rsidP="00000000" w:rsidRDefault="00000000" w:rsidRPr="00000000" w14:paraId="00000038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-144266103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5. 데이터 품질 및 정합성 관리 방안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4412257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중복 제거 기준: 웹페이지 갱신을 대비하여 중복 제거 하지 않습니다.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1913594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표준화 전략: 마크다운 텍스트의 공백, html, 제목, 리스트, 코드펜스, 테이블, 빈줄을 정규식으로 정규화하여 청킹 전 노이즈 제거</w:t>
            <w:br w:type="textWrapping"/>
          </w:r>
        </w:sdtContent>
      </w:sdt>
    </w:p>
    <w:sectPr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f0WpS4wqsXXsu8YS6SWJpmR+g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4AGohChRzdWdnZXN0Lm1qYTIwZDFibWFrZhIJ7Jqw7J6s7ZiEaiEKFHN1Z2dlc3Quc3htNjdmOHUxdTE0EgnsmrDsnqztmIRqIQoUc3VnZ2VzdC5kZjRjNmFvem42MzcSCeyasOyerO2YhGohChRzdWdnZXN0LjV5YmQ3MzJneHZ4ZRIJ7Jqw7J6s7ZiEaiEKFHN1Z2dlc3QuZ3R1bmkxY2FqaGh6EgnsmrDsnqztmIRqIQoUc3VnZ2VzdC4xcHAzMGZwNzU0MHkSCeyasOyerO2YhGohChRzdWdnZXN0LjI3aXhnMXJwMHpybhIJ7Jqw7J6s7ZiEciExSkdwakpHN2RBbTgtSDBDNWxiaktVSUlNQ1BfdGNDQ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