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-363373</wp:posOffset>
                </wp:positionH>
                <wp:positionV relativeFrom="page">
                  <wp:posOffset>-57852</wp:posOffset>
                </wp:positionV>
                <wp:extent cx="8453438" cy="7249802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119275" y="155075"/>
                          <a:ext cx="8453438" cy="7249802"/>
                          <a:chOff x="1119275" y="155075"/>
                          <a:chExt cx="8453450" cy="7249850"/>
                        </a:xfrm>
                      </wpg:grpSpPr>
                      <wpg:grpSp>
                        <wpg:cNvGrpSpPr/>
                        <wpg:grpSpPr>
                          <a:xfrm>
                            <a:off x="1119281" y="155099"/>
                            <a:ext cx="8453438" cy="7249802"/>
                            <a:chOff x="2249325" y="1227825"/>
                            <a:chExt cx="5784900" cy="49657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249325" y="1227825"/>
                              <a:ext cx="5784900" cy="4965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 flipH="1" rot="10800000">
                              <a:off x="2274750" y="1253250"/>
                              <a:ext cx="5734050" cy="4914900"/>
                            </a:xfrm>
                            <a:prstGeom prst="rect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F8FAFD"/>
                              </a:solidFill>
                              <a:prstDash val="solid"/>
                              <a:miter lim="8000"/>
                              <a:headEnd len="sm" w="sm" type="none"/>
                              <a:tailEnd len="sm" w="sm" type="none"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-363373</wp:posOffset>
                </wp:positionH>
                <wp:positionV relativeFrom="page">
                  <wp:posOffset>-57852</wp:posOffset>
                </wp:positionV>
                <wp:extent cx="8453438" cy="7249802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53438" cy="72498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9925.000000000004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tblGridChange w:id="0">
          <w:tblGrid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</w:tblGrid>
        </w:tblGridChange>
      </w:tblGrid>
      <w:tr>
        <w:trPr>
          <w:cantSplit w:val="0"/>
          <w:trHeight w:val="1297.91015625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 xml:space="preserve">SK 네트웍스 Family AI 00기 : _____팀 </w:t>
            </w:r>
          </w:p>
          <w:p w:rsidR="00000000" w:rsidDel="00000000" w:rsidP="00000000" w:rsidRDefault="00000000" w:rsidRPr="00000000" w14:paraId="00000003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머신러닝 / 딥러닝 학습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 xml:space="preserve"> 결과서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margin" w:horzAnchor="margin" w:tblpXSpec="center" w:tblpYSpec="bottom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b57d0" w:space="0" w:sz="18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산출물 단계</w:t>
            </w:r>
          </w:p>
        </w:tc>
        <w:tc>
          <w:tcPr>
            <w:tcBorders>
              <w:top w:color="0b57d0" w:space="0" w:sz="18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데이터 전처리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제출 일자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2026. 4. 18.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깃허브 경로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18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작성 팀원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18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000</w:t>
            </w:r>
          </w:p>
        </w:tc>
      </w:tr>
    </w:tbl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5.000000000004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tblGridChange w:id="0">
          <w:tblGrid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머신러닝 / 딥러닝 모델 학습 (ML / DL Training)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numPr>
          <w:ilvl w:val="0"/>
          <w:numId w:val="3"/>
        </w:numPr>
        <w:spacing w:line="276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개요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76" w:lineRule="auto"/>
        <w:ind w:left="720" w:hanging="360"/>
        <w:rPr>
          <w:rFonts w:ascii="Malgun Gothic" w:cs="Malgun Gothic" w:eastAsia="Malgun Gothic" w:hAnsi="Malgun Gothic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목표 : EMS A-clean 1시간 전력 소비 target에 대해 LSTM, SVR, XGBoost 모델군을 비교하고 target별 최저 RMSE 모델을 정리한다.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276" w:lineRule="auto"/>
        <w:ind w:left="720" w:hanging="360"/>
        <w:rPr>
          <w:rFonts w:ascii="Malgun Gothic" w:cs="Malgun Gothic" w:eastAsia="Malgun Gothic" w:hAnsi="Malgun Gothic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문제 정의 : 직전 24시간 전력값과 시간대 주기 정보만 사용해 다음 시간의 설비군 전력 소비량을 예측한다.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276" w:lineRule="auto"/>
        <w:ind w:left="720" w:hanging="360"/>
        <w:rPr>
          <w:rFonts w:ascii="Malgun Gothic" w:cs="Malgun Gothic" w:eastAsia="Malgun Gothic" w:hAnsi="Malgun Gothic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사용 프레임워크 : scikit-learn, XGBoost, PyTorch, pandas, numpy, joblib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line="240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모델 선정 및 비교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ind w:left="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2.1 후보 모델 목록</w:t>
      </w:r>
      <w:r w:rsidDel="00000000" w:rsidR="00000000" w:rsidRPr="00000000">
        <w:rPr>
          <w:rtl w:val="0"/>
        </w:rPr>
      </w:r>
    </w:p>
    <w:tbl>
      <w:tblPr>
        <w:tblStyle w:val="Table4"/>
        <w:tblW w:w="9345.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5"/>
        <w:gridCol w:w="1725"/>
        <w:gridCol w:w="1560"/>
        <w:gridCol w:w="1485"/>
        <w:gridCol w:w="3000"/>
        <w:tblGridChange w:id="0">
          <w:tblGrid>
            <w:gridCol w:w="1575"/>
            <w:gridCol w:w="1725"/>
            <w:gridCol w:w="1560"/>
            <w:gridCol w:w="1485"/>
            <w:gridCol w:w="3000"/>
          </w:tblGrid>
        </w:tblGridChange>
      </w:tblGrid>
      <w:tr>
        <w:trPr>
          <w:cantSplit w:val="0"/>
          <w:trHeight w:val="457.69335937499994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유형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모델명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선정 근거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학습 데이터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비고</w:t>
            </w:r>
          </w:p>
        </w:tc>
      </w:tr>
      <w:tr>
        <w:trPr>
          <w:cantSplit w:val="0"/>
          <w:trHeight w:val="492.9240234374999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Baseline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Last-value / seasonal naive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시계열 예측 기준선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A-clean 1h target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별도 후보군 보고서에서 비교</w:t>
            </w:r>
          </w:p>
        </w:tc>
      </w:tr>
      <w:tr>
        <w:trPr>
          <w:cantSplit w:val="0"/>
          <w:trHeight w:val="447.9240234374999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ML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SVR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Huang et al. 2022 비교 모델군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직전 24시간 lag + 시간 주기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linear/RBF 탐색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ML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XGBoost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비선형 관계와 계절 패턴 포착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직전 24시간 lag + 시간 주기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n_estimators·depth·lr 탐색</w:t>
            </w:r>
          </w:p>
        </w:tc>
      </w:tr>
      <w:tr>
        <w:trPr>
          <w:cantSplit w:val="0"/>
          <w:trHeight w:val="432.9240234374999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DL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LSTM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24시간 순차 흐름 모델링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전력값 sequence + 시간 주기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hidden 32/64 비교</w:t>
            </w:r>
          </w:p>
        </w:tc>
      </w:tr>
      <w:tr>
        <w:trPr>
          <w:cantSplit w:val="0"/>
          <w:trHeight w:val="446.976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평가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Target별 independent model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설비군별 패턴 차이 반영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4개 A-clean target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공통 split 사용</w:t>
            </w:r>
          </w:p>
        </w:tc>
      </w:tr>
      <w:tr>
        <w:trPr>
          <w:cantSplit w:val="0"/>
          <w:trHeight w:val="446.976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보고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Huang 2022 benchmark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논문 방식 대응 산출물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2022 비교·2023 평가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report.md 기준</w:t>
            </w:r>
          </w:p>
        </w:tc>
      </w:tr>
    </w:tbl>
    <w:p w:rsidR="00000000" w:rsidDel="00000000" w:rsidP="00000000" w:rsidRDefault="00000000" w:rsidRPr="00000000" w14:paraId="00000051">
      <w:pPr>
        <w:spacing w:line="276" w:lineRule="auto"/>
        <w:ind w:left="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2.2 모델 비교 기준</w:t>
      </w:r>
    </w:p>
    <w:tbl>
      <w:tblPr>
        <w:tblStyle w:val="Table5"/>
        <w:tblW w:w="8940.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45"/>
        <w:gridCol w:w="2145"/>
        <w:gridCol w:w="2505"/>
        <w:gridCol w:w="2145"/>
        <w:tblGridChange w:id="0">
          <w:tblGrid>
            <w:gridCol w:w="2145"/>
            <w:gridCol w:w="2145"/>
            <w:gridCol w:w="2505"/>
            <w:gridCol w:w="21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비교 지표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산출식 / 측정 대상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목표값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비고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RMSE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오차 제곱 평균의 제곱근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2022 RMSE 최소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모델 비교 1차 기준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MAE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절대오차 평균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낮을수록 우수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해석 보조 지표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R²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설명력 지표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1에 가까울수록 우수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2023 별도 연도 평가 포함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결측 검증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실측·예측 표시 결측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0건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학습 표본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non-gateway 학습 행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33,240행 또는 sampling 기준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SVR RBF는 sample 제한 적용</w:t>
            </w:r>
          </w:p>
        </w:tc>
      </w:tr>
    </w:tbl>
    <w:p w:rsidR="00000000" w:rsidDel="00000000" w:rsidP="00000000" w:rsidRDefault="00000000" w:rsidRPr="00000000" w14:paraId="0000006B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2.3 실험 파이프라인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학습 조건 및 성능 결과</w:t>
      </w:r>
    </w:p>
    <w:p w:rsidR="00000000" w:rsidDel="00000000" w:rsidP="00000000" w:rsidRDefault="00000000" w:rsidRPr="00000000" w14:paraId="0000006E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3.1 실험 결과 비교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line="276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 xml:space="preserve">최종 선정 방식 : 2022 RMSE 기준으로 target별 최저 모델을 선정하고, 2023년을 별도 연도 평가로 보고한다.</w:t>
      </w:r>
      <w:r w:rsidDel="00000000" w:rsidR="00000000" w:rsidRPr="00000000">
        <w:rPr>
          <w:rtl w:val="0"/>
        </w:rPr>
      </w:r>
    </w:p>
    <w:tbl>
      <w:tblPr>
        <w:tblStyle w:val="Table6"/>
        <w:tblW w:w="9105.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5"/>
        <w:gridCol w:w="1335"/>
        <w:gridCol w:w="1305"/>
        <w:gridCol w:w="1845"/>
        <w:gridCol w:w="1515"/>
        <w:gridCol w:w="1770"/>
        <w:tblGridChange w:id="0">
          <w:tblGrid>
            <w:gridCol w:w="1335"/>
            <w:gridCol w:w="1335"/>
            <w:gridCol w:w="1305"/>
            <w:gridCol w:w="1845"/>
            <w:gridCol w:w="1515"/>
            <w:gridCol w:w="1770"/>
          </w:tblGrid>
        </w:tblGridChange>
      </w:tblGrid>
      <w:tr>
        <w:trPr>
          <w:cantSplit w:val="0"/>
          <w:trHeight w:val="566.9291338582677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파라미터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값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탐색 범위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선정 근거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적용 모델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비고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seq_len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24시간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직전 하루 부하 흐름 반영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LSTM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hidden_size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32 또는 64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32, 64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target별 2022 RMSE 비교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LSTM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kernel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linear / RBF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linear, RBF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부하 패턴 선형성 비교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SVR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서버 전원 linear 우수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C / epsilon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target별 상이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C=1~10, ε=0.02~0.1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2022 RMSE 기준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SVR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n_estimators/depth/lr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300 / 5 / 0.06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후보 grid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국소 냉방·환기 최저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XGBoost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3.2 과적합 · 과소적합 관리 및 개선 방향</w:t>
      </w:r>
      <w:r w:rsidDel="00000000" w:rsidR="00000000" w:rsidRPr="00000000">
        <w:rPr>
          <w:rtl w:val="0"/>
        </w:rPr>
      </w:r>
    </w:p>
    <w:tbl>
      <w:tblPr>
        <w:tblStyle w:val="Table7"/>
        <w:tblW w:w="9345.0" w:type="dxa"/>
        <w:jc w:val="left"/>
        <w:tblInd w:w="566.9291338582677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5"/>
        <w:gridCol w:w="1350"/>
        <w:gridCol w:w="2670"/>
        <w:gridCol w:w="3840"/>
        <w:tblGridChange w:id="0">
          <w:tblGrid>
            <w:gridCol w:w="1485"/>
            <w:gridCol w:w="1350"/>
            <w:gridCol w:w="2670"/>
            <w:gridCol w:w="384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구분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실험 #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설정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결과 및 비고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중앙 냉방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EXP-01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LSTM h32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2022 RMSE 6,963.95 / 2023 RMSE 4,974.17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중앙 냉방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EXP-02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SVR linear C10 ε0.1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2022 RMSE 7,630.31 / 2023 RMSE 5,333.52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중앙 냉방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EXP-03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XGBoost n300 depth5 lr0.06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2022 RMSE 6,976.94 / 2023 RMSE 5,221.53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국소 냉방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EXP-04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XGBoost n300 depth5 lr0.06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2022 RMSE 1,739.83 / 2023 RMSE 1,922.54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국소 냉방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EXP-05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LSTM h64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2022 RMSE 1,774.69 / 2023 RMSE 1,896.24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서버 전원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EXP-06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SVR linear C1 ε0.1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2022 RMSE 1,444.62 / 2023 RMSE 1,782.56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서버 전원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EXP-07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LSTM h32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2022 RMSE 1,470.42 / 2023 RMSE 1,921.86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환기 계통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EXP-08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XGBoost n300 depth5 lr0.06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2022 RMSE 3,041.69 / 2023 RMSE 3,957.79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환기 계통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EXP-09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SVR RBF sample8000 C5 ε0.02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2022 RMSE 3,508.89 / 2023 RMSE 4,241.36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EXP-10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학습 구간 실측만 표시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그래프에서 2018–2021 예측선 미표시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개선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EXP-11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target별 모델군 분리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단일 모델 강제보다 target별 최저 조합 사용</w:t>
            </w:r>
          </w:p>
        </w:tc>
      </w:tr>
    </w:tbl>
    <w:p w:rsidR="00000000" w:rsidDel="00000000" w:rsidP="00000000" w:rsidRDefault="00000000" w:rsidRPr="00000000" w14:paraId="000000C6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spacing w:line="276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변경 이력 및 적용 전략</w:t>
      </w: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1200"/>
        <w:gridCol w:w="2895"/>
        <w:gridCol w:w="1890"/>
        <w:gridCol w:w="1530"/>
        <w:tblGridChange w:id="0">
          <w:tblGrid>
            <w:gridCol w:w="1485"/>
            <w:gridCol w:w="1200"/>
            <w:gridCol w:w="2895"/>
            <w:gridCol w:w="1890"/>
            <w:gridCol w:w="15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변경일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변경자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변경내용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영향 받는 항목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비고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2026.05.20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4팀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Huang 2022 방식 LSTM·SVR·XGBoost 비교 결과 반영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모델 학습 결과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report.md 기준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2026.05.20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4팀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2022 RMSE 기준 target별 최저 모델과 2023 평가 지표 정리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성능표·해석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A-clean 4개 target</w:t>
            </w:r>
          </w:p>
        </w:tc>
      </w:tr>
    </w:tbl>
    <w:p w:rsidR="00000000" w:rsidDel="00000000" w:rsidP="00000000" w:rsidRDefault="00000000" w:rsidRPr="00000000" w14:paraId="000000D7">
      <w:pPr>
        <w:spacing w:line="276" w:lineRule="auto"/>
        <w:rPr>
          <w:rFonts w:ascii="Malgun Gothic" w:cs="Malgun Gothic" w:eastAsia="Malgun Gothic" w:hAnsi="Malgun Gothic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4" w:w="11909" w:orient="portrait"/>
      <w:pgMar w:bottom="1559.0551181102364" w:top="1275.5905511811025" w:left="992.1259842519686" w:right="992.1259842519686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8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aJE1uf+rDBOBLG8mMVUjYSiGXw==">CgMxLjA4AHIhMWlGWk5TQ0xlcE9yY0FESWZ2OEFPOThPVG1uVEJDSFM0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