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algun Gothic" w:hAnsi="Malgun Gothic" w:eastAsia="Malgun Gothic"/>
          <w:b/>
          <w:color w:val="1F3A5F"/>
          <w:sz w:val="48"/>
        </w:rPr>
        <w:t>전세계약 위험 진단 보고서</w:t>
      </w:r>
    </w:p>
    <w:p>
      <w:pPr>
        <w:jc w:val="center"/>
      </w:pPr>
      <w:r>
        <w:rPr>
          <w:rFonts w:ascii="Malgun Gothic" w:hAnsi="Malgun Gothic" w:eastAsia="Malgun Gothic"/>
          <w:b w:val="0"/>
          <w:color w:val="2F6690"/>
          <w:sz w:val="26"/>
        </w:rPr>
        <w:t>계약 전 위험 확인 및 특약 보완 검토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DECEC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B42318"/>
                <w:sz w:val="22"/>
              </w:rPr>
              <w:t>종합 진단: CRITICAL · 80 / 100</w:t>
            </w:r>
          </w:p>
          <w:p>
            <w:pPr>
              <w:spacing w:line="288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본 계약은 특약 문구와 계약서 외 필수 확인 항목에서 중요한 위험이 확인됩니다. 계약 전 특약 수정과 등기부·소유자·체납 여부 확인을 완료한 뒤 진행 여부를 결정하는 것이 바람직합니다.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F4F6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18"/>
              </w:rPr>
              <w:t>대상 주소</w:t>
            </w:r>
          </w:p>
        </w:tc>
        <w:tc>
          <w:tcPr>
            <w:tcW w:type="dxa" w:w="652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서울특별시 종로구 청운동 12-3</w:t>
            </w:r>
          </w:p>
        </w:tc>
      </w:tr>
      <w:tr>
        <w:tc>
          <w:tcPr>
            <w:tcW w:type="dxa" w:w="2268"/>
            <w:shd w:fill="F4F6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18"/>
              </w:rPr>
              <w:t>주택 유형</w:t>
            </w:r>
          </w:p>
        </w:tc>
        <w:tc>
          <w:tcPr>
            <w:tcW w:type="dxa" w:w="652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연립다세대</w:t>
            </w:r>
          </w:p>
        </w:tc>
      </w:tr>
      <w:tr>
        <w:tc>
          <w:tcPr>
            <w:tcW w:type="dxa" w:w="2268"/>
            <w:shd w:fill="F4F6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18"/>
              </w:rPr>
              <w:t>보증금</w:t>
            </w:r>
          </w:p>
        </w:tc>
        <w:tc>
          <w:tcPr>
            <w:tcW w:type="dxa" w:w="652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20,000만원</w:t>
            </w:r>
          </w:p>
        </w:tc>
      </w:tr>
      <w:tr>
        <w:tc>
          <w:tcPr>
            <w:tcW w:type="dxa" w:w="2268"/>
            <w:shd w:fill="F4F6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18"/>
              </w:rPr>
              <w:t>계약 기간</w:t>
            </w:r>
          </w:p>
        </w:tc>
        <w:tc>
          <w:tcPr>
            <w:tcW w:type="dxa" w:w="652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2025-03-01 ~ 2027-03-01</w:t>
            </w:r>
          </w:p>
        </w:tc>
      </w:tr>
      <w:tr>
        <w:tc>
          <w:tcPr>
            <w:tcW w:type="dxa" w:w="2268"/>
            <w:shd w:fill="F4F6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18"/>
              </w:rPr>
              <w:t>진단 기준</w:t>
            </w:r>
          </w:p>
        </w:tc>
        <w:tc>
          <w:tcPr>
            <w:tcW w:type="dxa" w:w="652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계약서 mock 입력, RAG/LLM 기반 특약 분석 결과</w:t>
            </w:r>
          </w:p>
        </w:tc>
      </w:tr>
    </w:tbl>
    <w:p/>
    <w:p>
      <w:pPr>
        <w:spacing w:line="300" w:lineRule="auto" w:after="120"/>
      </w:pPr>
      <w:r>
        <w:rPr>
          <w:rFonts w:ascii="Malgun Gothic" w:hAnsi="Malgun Gothic" w:eastAsia="Malgun Gothic"/>
          <w:b w:val="0"/>
          <w:sz w:val="21"/>
        </w:rPr>
        <w:t>본 보고서는 법률 자문이 아니라 계약 전 위험 확인을 돕기 위한 참고 자료입니다.</w:t>
      </w:r>
    </w:p>
    <w:p>
      <w:r>
        <w:br w:type="page"/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1. 종합 진단 결과</w:t>
      </w:r>
    </w:p>
    <w:p>
      <w:pPr>
        <w:spacing w:line="300" w:lineRule="auto" w:after="120"/>
      </w:pPr>
      <w:r>
        <w:rPr>
          <w:rFonts w:ascii="Malgun Gothic" w:hAnsi="Malgun Gothic" w:eastAsia="Malgun Gothic"/>
          <w:b w:val="0"/>
          <w:sz w:val="21"/>
        </w:rPr>
        <w:t>본 계약은 종합 위험 점수 80점 / 100점으로, 위험 등급은 CRITICAL로 평가됩니다. 시세 비교상 보증금은 주변 매매가 대비 과도하게 높게 산정되지는 않았으나, 계약서만으로는 확인할 수 없는 권리관계와 임대인 신원, 세금 체납 여부 등 핵심 확인 항목이 남아 있습니다.</w:t>
      </w:r>
    </w:p>
    <w:p>
      <w:pPr>
        <w:spacing w:line="300" w:lineRule="auto" w:after="120"/>
      </w:pPr>
      <w:r>
        <w:rPr>
          <w:rFonts w:ascii="Malgun Gothic" w:hAnsi="Malgun Gothic" w:eastAsia="Malgun Gothic"/>
          <w:b w:val="0"/>
          <w:sz w:val="21"/>
        </w:rPr>
        <w:t>또한 특약 중 일부는 임차인에게 수리비 부담을 과도하게 전가할 가능성이 있어 계약 전 수정 또는 보완이 필요합니다.</w:t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2. 계약 개요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F4F6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18"/>
              </w:rPr>
              <w:t>임대인</w:t>
            </w:r>
          </w:p>
        </w:tc>
        <w:tc>
          <w:tcPr>
            <w:tcW w:type="dxa" w:w="652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홍길동</w:t>
            </w:r>
          </w:p>
        </w:tc>
      </w:tr>
      <w:tr>
        <w:tc>
          <w:tcPr>
            <w:tcW w:type="dxa" w:w="2268"/>
            <w:shd w:fill="F4F6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18"/>
              </w:rPr>
              <w:t>임차인</w:t>
            </w:r>
          </w:p>
        </w:tc>
        <w:tc>
          <w:tcPr>
            <w:tcW w:type="dxa" w:w="652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김철수</w:t>
            </w:r>
          </w:p>
        </w:tc>
      </w:tr>
      <w:tr>
        <w:tc>
          <w:tcPr>
            <w:tcW w:type="dxa" w:w="2268"/>
            <w:shd w:fill="F4F6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18"/>
              </w:rPr>
              <w:t>주소</w:t>
            </w:r>
          </w:p>
        </w:tc>
        <w:tc>
          <w:tcPr>
            <w:tcW w:type="dxa" w:w="652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서울특별시 종로구 청운동 12-3</w:t>
            </w:r>
          </w:p>
        </w:tc>
      </w:tr>
      <w:tr>
        <w:tc>
          <w:tcPr>
            <w:tcW w:type="dxa" w:w="2268"/>
            <w:shd w:fill="F4F6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18"/>
              </w:rPr>
              <w:t>주택 유형</w:t>
            </w:r>
          </w:p>
        </w:tc>
        <w:tc>
          <w:tcPr>
            <w:tcW w:type="dxa" w:w="652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연립다세대</w:t>
            </w:r>
          </w:p>
        </w:tc>
      </w:tr>
      <w:tr>
        <w:tc>
          <w:tcPr>
            <w:tcW w:type="dxa" w:w="2268"/>
            <w:shd w:fill="F4F6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18"/>
              </w:rPr>
              <w:t>전용면적</w:t>
            </w:r>
          </w:p>
        </w:tc>
        <w:tc>
          <w:tcPr>
            <w:tcW w:type="dxa" w:w="652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52.3㎡</w:t>
            </w:r>
          </w:p>
        </w:tc>
      </w:tr>
      <w:tr>
        <w:tc>
          <w:tcPr>
            <w:tcW w:type="dxa" w:w="2268"/>
            <w:shd w:fill="F4F6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18"/>
              </w:rPr>
              <w:t>보증금</w:t>
            </w:r>
          </w:p>
        </w:tc>
        <w:tc>
          <w:tcPr>
            <w:tcW w:type="dxa" w:w="652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20,000만원</w:t>
            </w:r>
          </w:p>
        </w:tc>
      </w:tr>
      <w:tr>
        <w:tc>
          <w:tcPr>
            <w:tcW w:type="dxa" w:w="2268"/>
            <w:shd w:fill="F4F6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18"/>
              </w:rPr>
              <w:t>월세</w:t>
            </w:r>
          </w:p>
        </w:tc>
        <w:tc>
          <w:tcPr>
            <w:tcW w:type="dxa" w:w="652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0만원</w:t>
            </w:r>
          </w:p>
        </w:tc>
      </w:tr>
      <w:tr>
        <w:tc>
          <w:tcPr>
            <w:tcW w:type="dxa" w:w="2268"/>
            <w:shd w:fill="F4F6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18"/>
              </w:rPr>
              <w:t>계약 시작일</w:t>
            </w:r>
          </w:p>
        </w:tc>
        <w:tc>
          <w:tcPr>
            <w:tcW w:type="dxa" w:w="652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2025-03-01</w:t>
            </w:r>
          </w:p>
        </w:tc>
      </w:tr>
      <w:tr>
        <w:tc>
          <w:tcPr>
            <w:tcW w:type="dxa" w:w="2268"/>
            <w:shd w:fill="F4F6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18"/>
              </w:rPr>
              <w:t>계약 종료일</w:t>
            </w:r>
          </w:p>
        </w:tc>
        <w:tc>
          <w:tcPr>
            <w:tcW w:type="dxa" w:w="652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2027-03-01</w:t>
            </w:r>
          </w:p>
        </w:tc>
      </w:tr>
    </w:tbl>
    <w:p/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3. 시세 및 전세가율 분석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96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3A5F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81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3A5F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96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입력 보증금</w:t>
            </w:r>
          </w:p>
        </w:tc>
        <w:tc>
          <w:tcPr>
            <w:tcW w:type="dxa" w:w="481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20,000만원</w:t>
            </w:r>
          </w:p>
        </w:tc>
      </w:tr>
      <w:tr>
        <w:tc>
          <w:tcPr>
            <w:tcW w:type="dxa" w:w="396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주변 전세 중위값</w:t>
            </w:r>
          </w:p>
        </w:tc>
        <w:tc>
          <w:tcPr>
            <w:tcW w:type="dxa" w:w="481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60,000만원</w:t>
            </w:r>
          </w:p>
        </w:tc>
      </w:tr>
      <w:tr>
        <w:tc>
          <w:tcPr>
            <w:tcW w:type="dxa" w:w="396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주변 매매 중위값</w:t>
            </w:r>
          </w:p>
        </w:tc>
        <w:tc>
          <w:tcPr>
            <w:tcW w:type="dxa" w:w="481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127,000만원</w:t>
            </w:r>
          </w:p>
        </w:tc>
      </w:tr>
      <w:tr>
        <w:tc>
          <w:tcPr>
            <w:tcW w:type="dxa" w:w="396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추정 전세가율</w:t>
            </w:r>
          </w:p>
        </w:tc>
        <w:tc>
          <w:tcPr>
            <w:tcW w:type="dxa" w:w="481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약 15.75%</w:t>
            </w:r>
          </w:p>
        </w:tc>
      </w:tr>
      <w:tr>
        <w:tc>
          <w:tcPr>
            <w:tcW w:type="dxa" w:w="396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비교 전세 사례 수</w:t>
            </w:r>
          </w:p>
        </w:tc>
        <w:tc>
          <w:tcPr>
            <w:tcW w:type="dxa" w:w="481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13건</w:t>
            </w:r>
          </w:p>
        </w:tc>
      </w:tr>
      <w:tr>
        <w:tc>
          <w:tcPr>
            <w:tcW w:type="dxa" w:w="396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비교 매매 사례 수</w:t>
            </w:r>
          </w:p>
        </w:tc>
        <w:tc>
          <w:tcPr>
            <w:tcW w:type="dxa" w:w="481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11건</w:t>
            </w:r>
          </w:p>
        </w:tc>
      </w:tr>
      <w:tr>
        <w:tc>
          <w:tcPr>
            <w:tcW w:type="dxa" w:w="396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분석 신뢰도</w:t>
            </w:r>
          </w:p>
        </w:tc>
        <w:tc>
          <w:tcPr>
            <w:tcW w:type="dxa" w:w="4819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MEDIUM</w:t>
            </w:r>
          </w:p>
        </w:tc>
      </w:tr>
    </w:tbl>
    <w:p/>
    <w:p>
      <w:pPr>
        <w:spacing w:line="300" w:lineRule="auto" w:after="120"/>
      </w:pPr>
      <w:r>
        <w:rPr>
          <w:rFonts w:ascii="Malgun Gothic" w:hAnsi="Malgun Gothic" w:eastAsia="Malgun Gothic"/>
          <w:b w:val="0"/>
          <w:sz w:val="21"/>
        </w:rPr>
        <w:t>입력 보증금 기준 추정 전세가율은 약 15.75%로 계산되어, 시세 대비 보증금 과다 위험은 낮게 나타납니다. 다만 비교 데이터 수가 제한적이며, 실제 계약 안전성은 등기부 권리관계, 선순위 권리, 체납 여부 등에 따라 달라질 수 있습니다.</w:t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4. 주요 위험 항목</w:t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2F6690"/>
          <w:sz w:val="24"/>
        </w:rPr>
        <w:t>4.1 특약 위험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4E5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3A5F"/>
                <w:sz w:val="22"/>
              </w:rPr>
              <w:t xml:space="preserve">시설물 수리비 부담 책임 명확성  </w:t>
            </w:r>
            <w:r>
              <w:rPr>
                <w:rFonts w:ascii="Malgun Gothic" w:hAnsi="Malgun Gothic" w:eastAsia="Malgun Gothic"/>
                <w:b/>
                <w:color w:val="B54708"/>
                <w:sz w:val="19"/>
              </w:rPr>
              <w:t>[MEDIUM / +10]</w:t>
            </w:r>
          </w:p>
          <w:p>
            <w:r>
              <w:rPr>
                <w:rFonts w:ascii="Malgun Gothic" w:hAnsi="Malgun Gothic" w:eastAsia="Malgun Gothic"/>
                <w:b w:val="0"/>
                <w:color w:val="666666"/>
                <w:sz w:val="19"/>
              </w:rPr>
              <w:t>문제 조항: 임차인은 시설물 수리비를 전액 부담한다.</w:t>
            </w:r>
          </w:p>
          <w:p>
            <w:pPr>
              <w:spacing w:line="283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해당 조항은 임차인에게 시설물 수리비 전액을 부담시키는 내용입니다. 일반적인 소모품 교체나 임차인의 고의·과실로 인한 수리는 임차인이 부담할 수 있으나, 건물의 주요 구조부, 노후 설비, 통상 사용으로 인한 손모까지 임차인에게 전가될 경우 분쟁이 발생할 수 있습니다.</w:t>
            </w:r>
          </w:p>
          <w:p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권장 조치: 임대인과 임차인의 수리 책임 범위를 명확히 구분하는 수정이 필요합니다.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3A5F"/>
                <w:sz w:val="22"/>
              </w:rPr>
              <w:t xml:space="preserve">권리 변동 제한 조항  </w:t>
            </w:r>
            <w:r>
              <w:rPr>
                <w:rFonts w:ascii="Malgun Gothic" w:hAnsi="Malgun Gothic" w:eastAsia="Malgun Gothic"/>
                <w:b/>
                <w:color w:val="B54708"/>
                <w:sz w:val="19"/>
              </w:rPr>
              <w:t>[LOW / +5]</w:t>
            </w:r>
          </w:p>
          <w:p>
            <w:r>
              <w:rPr>
                <w:rFonts w:ascii="Malgun Gothic" w:hAnsi="Malgun Gothic" w:eastAsia="Malgun Gothic"/>
                <w:b w:val="0"/>
                <w:color w:val="666666"/>
                <w:sz w:val="19"/>
              </w:rPr>
              <w:t>문제 조항: 임대인은 잔금일 다음날까지 근저당권 등 권리변동을 하지 않는다.</w:t>
            </w:r>
          </w:p>
          <w:p>
            <w:pPr>
              <w:spacing w:line="283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해당 조항은 임대인이 잔금일 다음날까지 근저당권 등 권리변동을 하지 않겠다는 내용으로, 임차인 보호에 도움이 되는 방어적 특약입니다.</w:t>
            </w:r>
          </w:p>
          <w:p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권장 조치: 대항력 확보 시점, 보증금 반환 조건, 권리변동 금지 기간을 더 명확히 연결하면 계약 안정성을 높일 수 있습니다.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color w:val="2F6690"/>
          <w:sz w:val="24"/>
        </w:rPr>
        <w:t>4.2 누락된 방어 특약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4E5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3A5F"/>
                <w:sz w:val="22"/>
              </w:rPr>
              <w:t xml:space="preserve">임대인의 유지보수 의무 명시 필요  </w:t>
            </w:r>
            <w:r>
              <w:rPr>
                <w:rFonts w:ascii="Malgun Gothic" w:hAnsi="Malgun Gothic" w:eastAsia="Malgun Gothic"/>
                <w:b/>
                <w:color w:val="B54708"/>
                <w:sz w:val="19"/>
              </w:rPr>
              <w:t>[MEDIUM / +10]</w:t>
            </w:r>
          </w:p>
          <w:p>
            <w:pPr>
              <w:spacing w:line="283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현재 특약은 시설물 수리비 부담을 임차인에게 두고 있으나, 임대인이 부담해야 할 주요 시설물 유지보수 의무가 명확히 드러나지 않습니다.</w:t>
            </w:r>
          </w:p>
          <w:p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권장 조치: 건물 구조, 주요 설비, 노후화로 인한 하자에 대해서는 임대인의 책임 범위를 별도로 명시하는 것이 필요합니다.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4E5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3A5F"/>
                <w:sz w:val="22"/>
              </w:rPr>
              <w:t xml:space="preserve">보증금 반환 조건 명시 필요  </w:t>
            </w:r>
            <w:r>
              <w:rPr>
                <w:rFonts w:ascii="Malgun Gothic" w:hAnsi="Malgun Gothic" w:eastAsia="Malgun Gothic"/>
                <w:b/>
                <w:color w:val="B54708"/>
                <w:sz w:val="19"/>
              </w:rPr>
              <w:t>[MEDIUM / +10]</w:t>
            </w:r>
          </w:p>
          <w:p>
            <w:pPr>
              <w:spacing w:line="283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시설물 수리비 부담과 보증금 반환 조건이 명확히 분리되어 있지 않습니다. 수리비 정산 문제를 이유로 보증금 반환이 지연되지 않도록 해야 합니다.</w:t>
            </w:r>
          </w:p>
          <w:p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권장 조치: 반환 시점과 정산 절차를 구체적으로 정하는 것이 바람직합니다.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color w:val="2F6690"/>
          <w:sz w:val="24"/>
        </w:rPr>
        <w:t>4.3 계약서만으로 확인 불가한 필수 항목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DECEC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3A5F"/>
                <w:sz w:val="22"/>
              </w:rPr>
              <w:t xml:space="preserve">등기부 권리관계 확인 필요  </w:t>
            </w:r>
            <w:r>
              <w:rPr>
                <w:rFonts w:ascii="Malgun Gothic" w:hAnsi="Malgun Gothic" w:eastAsia="Malgun Gothic"/>
                <w:b/>
                <w:color w:val="B42318"/>
                <w:sz w:val="19"/>
              </w:rPr>
              <w:t>[HIGH / +20]</w:t>
            </w:r>
          </w:p>
          <w:p>
            <w:pPr>
              <w:spacing w:line="283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계약서만으로는 근저당권, 압류, 가압류, 신탁 등 권리관계를 확인할 수 없습니다.</w:t>
            </w:r>
          </w:p>
          <w:p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권장 조치: 계약 직전 등기부등본 갑구와 을구를 확인해야 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DECEC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3A5F"/>
                <w:sz w:val="22"/>
              </w:rPr>
              <w:t xml:space="preserve">임대인과 소유자 일치 확인 필요  </w:t>
            </w:r>
            <w:r>
              <w:rPr>
                <w:rFonts w:ascii="Malgun Gothic" w:hAnsi="Malgun Gothic" w:eastAsia="Malgun Gothic"/>
                <w:b/>
                <w:color w:val="B42318"/>
                <w:sz w:val="19"/>
              </w:rPr>
              <w:t>[HIGH / +15]</w:t>
            </w:r>
          </w:p>
          <w:p>
            <w:pPr>
              <w:spacing w:line="283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계약서상 임대인이 실제 등기부상 소유자인지 확인해야 합니다.</w:t>
            </w:r>
          </w:p>
          <w:p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권장 조치: 임대인의 신분증, 등기부 소유자 정보, 대리 계약 시 위임장과 인감증명서를 대조해야 합니다.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4E5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3A5F"/>
                <w:sz w:val="22"/>
              </w:rPr>
              <w:t xml:space="preserve">체납 세금 확인 필요  </w:t>
            </w:r>
            <w:r>
              <w:rPr>
                <w:rFonts w:ascii="Malgun Gothic" w:hAnsi="Malgun Gothic" w:eastAsia="Malgun Gothic"/>
                <w:b/>
                <w:color w:val="B54708"/>
                <w:sz w:val="19"/>
              </w:rPr>
              <w:t>[MEDIUM / +10]</w:t>
            </w:r>
          </w:p>
          <w:p>
            <w:pPr>
              <w:spacing w:line="283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국세 또는 지방세 체납은 보증금 회수 위험과 연결될 수 있습니다.</w:t>
            </w:r>
          </w:p>
          <w:p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권장 조치: 임대인에게 납세증명서 등 관련 확인 자료를 요청하는 것이 필요합니다.</w:t>
            </w:r>
          </w:p>
        </w:tc>
      </w:tr>
    </w:tbl>
    <w:p/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5. 권장 수정 문구</w:t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2F6690"/>
          <w:sz w:val="24"/>
        </w:rPr>
        <w:t>5.1 시설물 수리비 조항 수정안</w:t>
      </w:r>
    </w:p>
    <w:p>
      <w:pPr>
        <w:spacing w:line="300" w:lineRule="auto" w:after="120"/>
      </w:pPr>
      <w:r>
        <w:rPr>
          <w:rFonts w:ascii="Malgun Gothic" w:hAnsi="Malgun Gothic" w:eastAsia="Malgun Gothic"/>
          <w:b w:val="0"/>
          <w:sz w:val="21"/>
        </w:rPr>
        <w:t>기존 조항: 임차인은 시설물 수리비를 전액 부담한다.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2F6690"/>
                <w:sz w:val="22"/>
              </w:rPr>
              <w:t>권장 수정안</w:t>
            </w:r>
          </w:p>
          <w:p>
            <w:pPr>
              <w:spacing w:line="288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임차인의 고의 또는 과실로 발생한 경미한 수리비는 임차인이 부담한다. 다만 건물의 주요 구조부, 노후 설비, 통상적인 사용으로 인한 손모 및 임차인의 귀책 사유 없이 발생한 하자는 임대인이 수리 책임을 부담한다.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color w:val="2F6690"/>
          <w:sz w:val="24"/>
        </w:rPr>
        <w:t>5.2 보증금 반환 조건 보완안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2F6690"/>
                <w:sz w:val="22"/>
              </w:rPr>
              <w:t>권장 추가 조항</w:t>
            </w:r>
          </w:p>
          <w:p>
            <w:pPr>
              <w:spacing w:line="288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임대인은 임대차계약 종료일에 목적물 인도와 동시에 보증금을 반환한다. 임대인은 다음 임차인의 입주 여부, 임대인의 자금 사정, 수리비 정산 지연 등을 이유로 보증금 반환을 부당하게 지연할 수 없다.</w:t>
            </w:r>
          </w:p>
        </w:tc>
      </w:tr>
    </w:tbl>
    <w:p/>
    <w:p>
      <w:pPr>
        <w:spacing w:before="200" w:after="120"/>
      </w:pPr>
      <w:r>
        <w:rPr>
          <w:rFonts w:ascii="Malgun Gothic" w:hAnsi="Malgun Gothic" w:eastAsia="Malgun Gothic"/>
          <w:b/>
          <w:color w:val="2F6690"/>
          <w:sz w:val="24"/>
        </w:rPr>
        <w:t>5.3 권리변동 금지 조항 보완안</w:t>
      </w:r>
    </w:p>
    <w:p>
      <w:pPr>
        <w:spacing w:line="300" w:lineRule="auto" w:after="120"/>
      </w:pPr>
      <w:r>
        <w:rPr>
          <w:rFonts w:ascii="Malgun Gothic" w:hAnsi="Malgun Gothic" w:eastAsia="Malgun Gothic"/>
          <w:b w:val="0"/>
          <w:sz w:val="21"/>
        </w:rPr>
        <w:t>기존 조항: 임대인은 잔금일 다음날까지 근저당권 등 권리변동을 하지 않는다.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2F6690"/>
                <w:sz w:val="22"/>
              </w:rPr>
              <w:t>권장 보완안</w:t>
            </w:r>
          </w:p>
          <w:p>
            <w:pPr>
              <w:spacing w:line="288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임대인은 계약 체결일로부터 임차인의 전입신고 및 확정일자 효력이 발생하는 날까지 근저당권, 압류, 가압류, 신탁등기 등 임차인의 대항력 또는 우선변제권을 해칠 수 있는 권리변동을 하지 않는다.</w:t>
            </w:r>
          </w:p>
        </w:tc>
      </w:tr>
    </w:tbl>
    <w:p/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6. 계약 전 필수 확인 사항</w:t>
      </w:r>
    </w:p>
    <w:p>
      <w:pPr>
        <w:spacing w:after="60"/>
        <w:ind w:left="198" w:hanging="113"/>
      </w:pPr>
      <w:r>
        <w:rPr>
          <w:rFonts w:ascii="Malgun Gothic" w:hAnsi="Malgun Gothic" w:eastAsia="Malgun Gothic"/>
          <w:b w:val="0"/>
          <w:color w:val="2F6690"/>
          <w:sz w:val="21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계약 직전 등기부등본 갑구·을구 최신본 확인</w:t>
      </w:r>
    </w:p>
    <w:p>
      <w:pPr>
        <w:spacing w:after="60"/>
        <w:ind w:left="198" w:hanging="113"/>
      </w:pPr>
      <w:r>
        <w:rPr>
          <w:rFonts w:ascii="Malgun Gothic" w:hAnsi="Malgun Gothic" w:eastAsia="Malgun Gothic"/>
          <w:b w:val="0"/>
          <w:color w:val="2F6690"/>
          <w:sz w:val="21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임대인 신분증과 등기부상 소유자 일치 여부 확인</w:t>
      </w:r>
    </w:p>
    <w:p>
      <w:pPr>
        <w:spacing w:after="60"/>
        <w:ind w:left="198" w:hanging="113"/>
      </w:pPr>
      <w:r>
        <w:rPr>
          <w:rFonts w:ascii="Malgun Gothic" w:hAnsi="Malgun Gothic" w:eastAsia="Malgun Gothic"/>
          <w:b w:val="0"/>
          <w:color w:val="2F6690"/>
          <w:sz w:val="21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대리인 계약 시 위임장, 인감증명서, 소유자 직접 확인</w:t>
      </w:r>
    </w:p>
    <w:p>
      <w:pPr>
        <w:spacing w:after="60"/>
        <w:ind w:left="198" w:hanging="113"/>
      </w:pPr>
      <w:r>
        <w:rPr>
          <w:rFonts w:ascii="Malgun Gothic" w:hAnsi="Malgun Gothic" w:eastAsia="Malgun Gothic"/>
          <w:b w:val="0"/>
          <w:color w:val="2F6690"/>
          <w:sz w:val="21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국세 및 지방세 체납 여부 확인</w:t>
      </w:r>
    </w:p>
    <w:p>
      <w:pPr>
        <w:spacing w:after="60"/>
        <w:ind w:left="198" w:hanging="113"/>
      </w:pPr>
      <w:r>
        <w:rPr>
          <w:rFonts w:ascii="Malgun Gothic" w:hAnsi="Malgun Gothic" w:eastAsia="Malgun Gothic"/>
          <w:b w:val="0"/>
          <w:color w:val="2F6690"/>
          <w:sz w:val="21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보증금 반환 조건과 수리비 정산 절차 명확화</w:t>
      </w:r>
    </w:p>
    <w:p>
      <w:pPr>
        <w:spacing w:after="60"/>
        <w:ind w:left="198" w:hanging="113"/>
      </w:pPr>
      <w:r>
        <w:rPr>
          <w:rFonts w:ascii="Malgun Gothic" w:hAnsi="Malgun Gothic" w:eastAsia="Malgun Gothic"/>
          <w:b w:val="0"/>
          <w:color w:val="2F6690"/>
          <w:sz w:val="21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시설물 수리 책임 범위 특약 수정</w:t>
      </w:r>
    </w:p>
    <w:p>
      <w:pPr>
        <w:spacing w:after="60"/>
        <w:ind w:left="198" w:hanging="113"/>
      </w:pPr>
      <w:r>
        <w:rPr>
          <w:rFonts w:ascii="Malgun Gothic" w:hAnsi="Malgun Gothic" w:eastAsia="Malgun Gothic"/>
          <w:b w:val="0"/>
          <w:color w:val="2F6690"/>
          <w:sz w:val="21"/>
        </w:rPr>
        <w:t xml:space="preserve">• </w:t>
      </w:r>
      <w:r>
        <w:rPr>
          <w:rFonts w:ascii="Malgun Gothic" w:hAnsi="Malgun Gothic" w:eastAsia="Malgun Gothic"/>
          <w:b w:val="0"/>
          <w:sz w:val="20"/>
        </w:rPr>
        <w:t>전입신고 및 확정일자 취득 가능 일정 확인</w:t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7. 참고 근거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85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3A5F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402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3A5F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1701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3A5F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문서 유형</w:t>
            </w:r>
          </w:p>
        </w:tc>
        <w:tc>
          <w:tcPr>
            <w:tcW w:type="dxa" w:w="2835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3A5F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관련 작업</w:t>
            </w:r>
          </w:p>
        </w:tc>
      </w:tr>
      <w:tr>
        <w:tc>
          <w:tcPr>
            <w:tcW w:type="dxa" w:w="85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전세계약 특약 점검 기준</w:t>
            </w:r>
          </w:p>
        </w:tc>
        <w:tc>
          <w:tcPr>
            <w:tcW w:type="dxa" w:w="1701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checklist</w:t>
            </w:r>
          </w:p>
        </w:tc>
        <w:tc>
          <w:tcPr>
            <w:tcW w:type="dxa" w:w="2835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special_clause_analysis</w:t>
            </w:r>
          </w:p>
        </w:tc>
      </w:tr>
      <w:tr>
        <w:tc>
          <w:tcPr>
            <w:tcW w:type="dxa" w:w="85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3402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계약 전 필수 확인 서류</w:t>
            </w:r>
          </w:p>
        </w:tc>
        <w:tc>
          <w:tcPr>
            <w:tcW w:type="dxa" w:w="1701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checklist</w:t>
            </w:r>
          </w:p>
        </w:tc>
        <w:tc>
          <w:tcPr>
            <w:tcW w:type="dxa" w:w="2835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required_check_analysis</w:t>
            </w:r>
          </w:p>
        </w:tc>
      </w:tr>
      <w:tr>
        <w:tc>
          <w:tcPr>
            <w:tcW w:type="dxa" w:w="85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전세계약 위험 안내 리포트 작성 기준</w:t>
            </w:r>
          </w:p>
        </w:tc>
        <w:tc>
          <w:tcPr>
            <w:tcW w:type="dxa" w:w="1701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guide</w:t>
            </w:r>
          </w:p>
        </w:tc>
        <w:tc>
          <w:tcPr>
            <w:tcW w:type="dxa" w:w="2835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report_generation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8. 최종 의견</w:t>
      </w:r>
    </w:p>
    <w:p>
      <w:pPr>
        <w:spacing w:line="300" w:lineRule="auto" w:after="120"/>
      </w:pPr>
      <w:r>
        <w:rPr>
          <w:rFonts w:ascii="Malgun Gothic" w:hAnsi="Malgun Gothic" w:eastAsia="Malgun Gothic"/>
          <w:b w:val="0"/>
          <w:sz w:val="21"/>
        </w:rPr>
        <w:t>본 계약은 시세 측면에서는 즉시 고위험으로 보이지 않지만, 특약 문구와 계약서 외 확인 항목에서 중요한 위험이 확인됩니다. 특히 시설물 수리비 전액 부담 조항은 임차인에게 불리하게 작용할 수 있으므로 수정이 필요합니다.</w:t>
      </w:r>
    </w:p>
    <w:p>
      <w:pPr>
        <w:spacing w:line="300" w:lineRule="auto" w:after="120"/>
      </w:pPr>
      <w:r>
        <w:rPr>
          <w:rFonts w:ascii="Malgun Gothic" w:hAnsi="Malgun Gothic" w:eastAsia="Malgun Gothic"/>
          <w:b w:val="0"/>
          <w:sz w:val="21"/>
        </w:rPr>
        <w:t>또한 계약 전 등기부 권리관계, 소유자 일치 여부, 체납 세금을 확인하지 않으면 보증금 회수 위험을 정확히 판단할 수 없습니다. 따라서 본 계약은 현재 상태 그대로 진행하기보다, 특약 수정과 필수 서류 확인을 완료한 뒤 진행 여부를 결정하는 것이 바람직합니다.</w:t>
      </w:r>
    </w:p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7"/>
      </w:rPr>
      <w:t>전세계약 위험 진단 보고서 · 계약 전 참고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