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 </w:t>
      </w:r>
      <w:r w:rsidDel="00000000" w:rsidR="00000000" w:rsidRPr="00000000">
        <w:rPr>
          <w:b w:val="0"/>
          <w:bCs w:val="0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-363373</wp:posOffset>
                </wp:positionH>
                <wp:positionV relativeFrom="page">
                  <wp:posOffset>-57852</wp:posOffset>
                </wp:positionV>
                <wp:extent cx="8453438" cy="7249802"/>
                <wp:effectExtent b="0" l="0" r="0" t="0"/>
                <wp:wrapNone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119275" y="155075"/>
                          <a:ext cx="8453438" cy="7249802"/>
                          <a:chOff x="1119275" y="155075"/>
                          <a:chExt cx="8453450" cy="7249850"/>
                        </a:xfrm>
                      </wpg:grpSpPr>
                      <wpg:grpSp>
                        <wpg:cNvGrpSpPr/>
                        <wpg:grpSpPr>
                          <a:xfrm>
                            <a:off x="1119281" y="155099"/>
                            <a:ext cx="8453438" cy="7249802"/>
                            <a:chOff x="2249325" y="1227825"/>
                            <a:chExt cx="5784900" cy="496575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2249325" y="1227825"/>
                              <a:ext cx="5784900" cy="49657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4" name="Shape 4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 flipH="1" rot="10800000">
                              <a:off x="2274750" y="1253250"/>
                              <a:ext cx="5734050" cy="4914900"/>
                            </a:xfrm>
                            <a:prstGeom prst="rect">
                              <a:avLst/>
                            </a:prstGeom>
                            <a:noFill/>
                            <a:ln cap="flat" cmpd="sng" w="25400">
                              <a:solidFill>
                                <a:srgbClr val="F8FAFD"/>
                              </a:solidFill>
                              <a:prstDash val="solid"/>
                              <a:miter lim="80"/>
                              <a:headEnd len="sm" w="sm" type="none"/>
                              <a:tailEnd len="sm" w="sm" type="none"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-363373</wp:posOffset>
                </wp:positionH>
                <wp:positionV relativeFrom="page">
                  <wp:posOffset>-57852</wp:posOffset>
                </wp:positionV>
                <wp:extent cx="8453438" cy="7249802"/>
                <wp:effectExtent b="0" l="0" r="0" t="0"/>
                <wp:wrapNone/>
                <wp:docPr id="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53438" cy="7249802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tbl>
      <w:tblPr>
        <w:tblStyle w:val="Table1"/>
        <w:tblW w:w="9925.000000000004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tblGridChange w:id="0">
          <w:tblGrid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</w:tblGrid>
        </w:tblGridChange>
      </w:tblGrid>
      <w:tr>
        <w:trPr>
          <w:cantSplit w:val="0"/>
          <w:trHeight w:val="1297.91015625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line="276" w:lineRule="auto"/>
              <w:rPr>
                <w:rFonts w:ascii="Malgun Gothic" w:cs="Malgun Gothic" w:eastAsia="Malgun Gothic" w:hAnsi="Malgun Gothic"/>
                <w:b w:val="0"/>
                <w:bCs w:val="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40"/>
                <w:szCs w:val="40"/>
                <w:rtl w:val="0"/>
              </w:rPr>
              <w:t xml:space="preserve">SK 네트웍스 Family AI 29기 : 2팀</w:t>
              <w:br w:type="textWrapping"/>
            </w:r>
            <w:r w:rsidDel="00000000" w:rsidR="00000000" w:rsidRPr="00000000">
              <w:rPr>
                <w:rFonts w:ascii="Malgun Gothic" w:cs="Malgun Gothic" w:eastAsia="Malgun Gothic" w:hAnsi="Malgun Gothic"/>
                <w:sz w:val="36"/>
                <w:szCs w:val="36"/>
                <w:rtl w:val="0"/>
              </w:rPr>
              <w:t xml:space="preserve">개발된 LLM 연동 웹 애플리케이션 </w:t>
            </w: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36"/>
                <w:szCs w:val="36"/>
                <w:rtl w:val="0"/>
              </w:rPr>
              <w:t xml:space="preserve">문서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E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margin" w:horzAnchor="margin" w:tblpXSpec="center" w:tblpYSpec="bottom"/>
        <w:tblW w:w="9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0"/>
        <w:gridCol w:w="6750"/>
        <w:tblGridChange w:id="0">
          <w:tblGrid>
            <w:gridCol w:w="2250"/>
            <w:gridCol w:w="67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b57d0" w:space="0" w:sz="18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산출물 단계</w:t>
            </w:r>
          </w:p>
        </w:tc>
        <w:tc>
          <w:tcPr>
            <w:tcBorders>
              <w:top w:color="0b57d0" w:space="0" w:sz="18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모델배포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제출 일자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2026. 8. 28.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깃허브 경로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https://github.com/SKNETWORKS-FAMILY-AICAMP/SKN29-FINAL-2TEAM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18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서비스 주소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18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https://halil-ai.site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작성 팀원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000</w:t>
            </w:r>
          </w:p>
        </w:tc>
      </w:tr>
    </w:tbl>
    <w:p w:rsidR="00000000" w:rsidDel="00000000" w:rsidP="00000000" w:rsidRDefault="00000000" w:rsidRPr="00000000" w14:paraId="00000018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76" w:lineRule="auto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25.000000000004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tblGridChange w:id="0">
          <w:tblGrid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</w:tblGrid>
        </w:tblGridChange>
      </w:tblGrid>
      <w:tr>
        <w:trPr>
          <w:cantSplit w:val="0"/>
          <w:trHeight w:val="427.9101562499998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Malgun Gothic" w:cs="Malgun Gothic" w:eastAsia="Malgun Gothic" w:hAnsi="Malgun Gothic"/>
                <w:b w:val="0"/>
                <w:bCs w:val="0"/>
                <w:sz w:val="16"/>
                <w:szCs w:val="16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>1. </w:t>
            </w:r>
            <w:r w:rsidDel="00000000" w:rsidR="00000000" w:rsidRPr="00000000">
              <w:rPr>
                <w:rFonts w:ascii="Malgun Gothic" w:cs="Malgun Gothic" w:eastAsia="Malgun Gothic" w:hAnsi="Malgun Gothic"/>
                <w:sz w:val="34"/>
                <w:szCs w:val="34"/>
                <w:rtl w:val="0"/>
              </w:rPr>
              <w:t xml:space="preserve"> 핵심 서비스 요구사항 충족도 평가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spacing w:after="240" w:before="240" w:lineRule="auto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>1주차 산출물 「요구사항 정의서」의 기능·비기능 요구사항 가운데, 배포된 서비스에서 실제로 동작하는 항목을 확인했다. 2026-08-08 멘토링 이후 제품 범위가 「업무 분배 서비스」에서 「비개발자용 Agent Platform」으로 바뀌었으므로, 정의서의 ID는 그대로 쓰되 범위가 바뀐 항목은 그 사실을 함께 적는다. 확인 기준은 배포본(https://halil-ai.site)과 저장소 코드다.</w:t>
      </w:r>
    </w:p>
    <w:tbl>
      <w:tblPr>
        <w:tblStyle w:val="Table4"/>
        <w:tblW w:w="9675.0" w:type="dxa"/>
        <w:jc w:val="left"/>
        <w:tblBorders>
          <w:top w:color="808080" w:space="0" w:sz="6" w:val="single"/>
          <w:left w:color="808080" w:space="0" w:sz="6" w:val="single"/>
          <w:bottom w:color="808080" w:space="0" w:sz="6" w:val="single"/>
          <w:right w:color="808080" w:space="0" w:sz="6" w:val="single"/>
          <w:insideH w:color="808080" w:space="0" w:sz="6" w:val="single"/>
          <w:insideV w:color="808080" w:space="0" w:sz="6" w:val="single"/>
        </w:tblBorders>
        <w:tblLayout w:type="fixed"/>
        <w:tblLook w:val="0600"/>
      </w:tblPr>
      <w:tblGrid>
        <w:gridCol w:w="915"/>
        <w:gridCol w:w="2070"/>
        <w:gridCol w:w="5175"/>
        <w:gridCol w:w="1515"/>
        <w:tblGridChange w:id="0">
          <w:tblGrid>
            <w:gridCol w:w="915"/>
            <w:gridCol w:w="2070"/>
            <w:gridCol w:w="5175"/>
            <w:gridCol w:w="1515"/>
          </w:tblGrid>
        </w:tblGridChange>
      </w:tblGrid>
      <w:tr>
        <w:trPr>
          <w:cantSplit w:val="0"/>
          <w:trHeight w:val="525.8203125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shd w:fill="cfe2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ID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shd w:fill="cfe2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기능 요구사항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shd w:fill="cfe2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구현 내용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shd w:fill="cfe2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충족 여부(P/F)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FR-DOC-002·003·004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문서 원본 수집과 구조 보존 파싱, Block·Chunk 분할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Drive 원문을 S3에 보존하고, RunPod GPU 워커(runpod_worker/pipeline.py)가 docling 2.117로 PDF·DOCX를 구조를 살려 파싱한 뒤 HybridChunker로 나눈다. 임베딩은 google/embeddinggemma-300m(768차원)이며 PostgreSQL + pgvector에 적재한다.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P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FR-EXT-001·003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기준 문서 기반 구조화 업무 추출과 출력 검증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services/task_extraction/service.py가 스키마 수준에서 근거 참조를 강제한다(evidence_refs 최소 1개). 인용 번호가 실제 근거와 어긋나면 그 업무만 탈락시키고 나머지 결과는 유지한다. 2026-08-28부터 이 파이프라인은 채팅 도구가 아니라 팀마다 심는 「업무 추출 에이전트」가 부른다.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P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FR-EXT-004 · FR-PM-003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사람이 확인한 뒤에만 확정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부수효과가 있는 내장 도구 15종(업무 등록·수정, Jira 등록, 문서 만들기·변환, PDF 편집, 표 변환, 시각화, 스킬 등록 등)은 확인 카드를 띄우고 승인 전에는 실행되지 않는다. 팀이 연결한 외부 MCP 쓰기 도구도 같은 게이트를 탄다.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P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FR-JIR-002·004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Jira 업무 조회와 반영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jira_get_issues로 담당자·상태·일정·공수를 읽고, 등록은 우리 DB에 먼저 남긴 뒤 jira_create_issues가 승인 후에 쓴다. 페이지네이션과 재시도는 커넥터(apps/connectors)가 처리한다.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P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FR-HR-001·002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인사 기준정보 사용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조직·직원 데이터는 mock_hr 스키마에 두고 읽기 전용 어댑터로만 읽는다. 애플리케이션 코드에 쓰기 경로가 없다. 데이터는 비식별 합성 데이터다.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P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FR-LOAD-001~003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근무용량·현재 할당량·부하율 계산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services/workload/calculator.py가 DB도 모델도 부르지 않는 순수 함수로 계산하고 workload_report 도구가 노출한다. 근거가 없는 버퍼 계수는 곱하지 않으며, 부재는 조회 기간으로 잘라서 뺀다.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P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NFR-SEC-001 · NFR-PRV-001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자격증명 보호와 최소 권한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비밀값은 .env에만 두고 저장소에는 값이 빈 .env.example만 추적한다. 운영자 콘솔은 일반 로그인과 토큰 salt가 분리돼 있고 매 요청마다 권한과 계정 상태를 다시 확인한다. 외부 관측 플랫폼으로 나가는 사본은 전송 직전에 마스킹한다.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P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NFR-OBS-001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실행 관측과 감사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agent_run·tool_call에 무엇을 언제 돌렸고 어떤 도구가 실패했는지 요약만 남긴다. 대화 내용과 문서 원문은 남기지 않는다. 실행 흐름과 비용 추세는 Langfuse로 본다 — 2026-08-24부터 관측 플랫폼은 Langfuse 하나다.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P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FR-ASG-001~004 · FR-VAL-001~004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업무 분배 추천 Agent와 검증 Agent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2026-08-08 피벗으로 범위에서 빠졌다. 고정된 추천 엔진을 두는 대신 팀이 빌더로 에이전트를 조립하는 구조가 됐고, 부하 계산·팀원 조회·부재 조회 도구가 그 재료로 남아 있다. 자동 추천과 검증 Agent 자체는 구현하지 않았다.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해당 없음(범위 변경)</w:t>
            </w:r>
          </w:p>
        </w:tc>
      </w:tr>
    </w:tbl>
    <w:p w:rsidR="00000000" w:rsidDel="00000000" w:rsidP="00000000" w:rsidRDefault="00000000" w:rsidRPr="00000000" w14:paraId="0000003C">
      <w:pPr>
        <w:pStyle w:val="Heading2"/>
        <w:keepNext w:val="0"/>
        <w:keepLines w:val="0"/>
        <w:spacing w:after="80" w:lineRule="auto"/>
        <w:rPr>
          <w:rFonts w:ascii="Malgun Gothic" w:cs="Malgun Gothic" w:eastAsia="Malgun Gothic" w:hAnsi="Malgun Gothic"/>
          <w:b w:val="1"/>
          <w:bCs w:val="1"/>
          <w:sz w:val="34"/>
          <w:szCs w:val="34"/>
        </w:rPr>
      </w:pPr>
      <w:bookmarkStart w:colFirst="0" w:colLast="0" w:name="_heading=h.hef3k7coofly" w:id="0"/>
      <w:bookmarkEnd w:id="0"/>
      <w:r w:rsidDel="00000000" w:rsidR="00000000" w:rsidRPr="00000000">
        <w:rPr>
          <w:rtl w:val="0"/>
        </w:rPr>
      </w:r>
    </w:p>
    <w:tbl>
      <w:tblPr>
        <w:tblStyle w:val="Table5"/>
        <w:tblW w:w="9925.000000000004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tblGridChange w:id="0">
          <w:tblGrid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</w:tblGrid>
        </w:tblGridChange>
      </w:tblGrid>
      <w:tr>
        <w:trPr>
          <w:cantSplit w:val="0"/>
          <w:trHeight w:val="427.9101562499998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rFonts w:ascii="Malgun Gothic" w:cs="Malgun Gothic" w:eastAsia="Malgun Gothic" w:hAnsi="Malgun Gothic"/>
                <w:b w:val="0"/>
                <w:bCs w:val="0"/>
                <w:sz w:val="16"/>
                <w:szCs w:val="16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>2. 시스템 아키텍처 연동 및 안정성 검증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B">
      <w:pPr>
        <w:pStyle w:val="Heading2"/>
        <w:keepNext w:val="0"/>
        <w:keepLines w:val="0"/>
        <w:spacing w:after="80" w:lineRule="auto"/>
        <w:rPr>
          <w:rFonts w:ascii="Malgun Gothic" w:cs="Malgun Gothic" w:eastAsia="Malgun Gothic" w:hAnsi="Malgun Gothic"/>
          <w:b w:val="0"/>
          <w:bCs w:val="0"/>
          <w:color w:val="0000ff"/>
          <w:sz w:val="22"/>
          <w:szCs w:val="22"/>
        </w:rPr>
      </w:pPr>
      <w:bookmarkStart w:colFirst="0" w:colLast="0" w:name="_heading=h.94yw1a1ohjo" w:id="1"/>
      <w:bookmarkEnd w:id="1"/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sz w:val="22"/>
          <w:szCs w:val="22"/>
          <w:rtl w:val="0"/>
        </w:rPr>
        <w:t xml:space="preserve">프론트엔드부터 백엔드, 에이전트 실행 코어, 외부 인프라까지 배포된 상태에서 실제로 이어져 있는지 진단한다.</w:t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spacing w:after="0" w:before="24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통합 연동성 (Full-Stack Data Flow)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1"/>
          <w:numId w:val="3"/>
        </w:numPr>
        <w:spacing w:after="0" w:before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평가 기준: React 19 + Vite 프론트엔드 - Caddy(TLS 종단) - Django 5.2 + DRF - services/agent_runtime - psycopg 3 직접 SQL - PostgreSQL + pgvector 사이에서 데이터가 끊기지 않고 전달되는가.</w:t>
      </w:r>
    </w:p>
    <w:p w:rsidR="00000000" w:rsidDel="00000000" w:rsidP="00000000" w:rsidRDefault="00000000" w:rsidRPr="00000000" w14:paraId="0000004E">
      <w:pPr>
        <w:numPr>
          <w:ilvl w:val="1"/>
          <w:numId w:val="3"/>
        </w:numPr>
        <w:spacing w:after="0" w:before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확인 결과: 채팅은 application/x-ndjson 스트리밍으로 실행 이벤트를 한 줄씩 흘린다(apps/chat/api_views.py). 2026-08-28 배포본 확인에서 https://halil-ai.site 는 200, https://api.halil-ai.site/api/health/ 는 200이며 본문이 database.status=ok · people=ready · vector=ready 를 함께 보고했다(응답 0.1초).</w:t>
      </w:r>
    </w:p>
    <w:p w:rsidR="00000000" w:rsidDel="00000000" w:rsidP="00000000" w:rsidRDefault="00000000" w:rsidRPr="00000000" w14:paraId="0000004F">
      <w:pPr>
        <w:numPr>
          <w:ilvl w:val="0"/>
          <w:numId w:val="3"/>
        </w:numPr>
        <w:spacing w:after="0" w:before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에이전트 실행과 위임 (Deep Agents 런타임)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1"/>
          <w:numId w:val="3"/>
        </w:numPr>
        <w:spacing w:after="0" w:before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평가 기준: 실행 루프의 반복 상한, 서브 에이전트 위임 경계, 동시 실행 제어가 실제로 걸려 있는가.</w:t>
      </w:r>
    </w:p>
    <w:p w:rsidR="00000000" w:rsidDel="00000000" w:rsidP="00000000" w:rsidRDefault="00000000" w:rsidRPr="00000000" w14:paraId="00000051">
      <w:pPr>
        <w:numPr>
          <w:ilvl w:val="1"/>
          <w:numId w:val="3"/>
        </w:numPr>
        <w:spacing w:after="0" w:before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확인 결과: deepagents 0.7.5 · LangGraph 1.2.11 위에서 돌며 내장 도구는 32종이다(2026-08-28에 파일·데이터·계산·시각화 도구 10종이 늘었다). 새 팀의 기본 어시스턴트는 그중 22종으로 시작한다. 모델 호출 상한은 에이전트별 max_iterations(기본 10)와 전역 상한 50 중 작은 값이고, 위임은 1단계로 제한돼 자식이 다시 자식을 갖지 못한다. 한 단계에서 동시에 도는 도구 호출은 4개로 묶고 초과분은 버리지 않고 대기시킨다.</w:t>
      </w:r>
    </w:p>
    <w:p w:rsidR="00000000" w:rsidDel="00000000" w:rsidP="00000000" w:rsidRDefault="00000000" w:rsidRPr="00000000" w14:paraId="00000052">
      <w:pPr>
        <w:numPr>
          <w:ilvl w:val="0"/>
          <w:numId w:val="3"/>
        </w:numPr>
        <w:spacing w:after="0" w:before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외부 시스템 연동 (커넥터·MCP)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1"/>
          <w:numId w:val="3"/>
        </w:numPr>
        <w:spacing w:after="0" w:before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평가 기준: Google Drive·Jira OAuth 연동과 팀이 연결한 MCP 서버 호출의 안정성.</w:t>
      </w:r>
    </w:p>
    <w:p w:rsidR="00000000" w:rsidDel="00000000" w:rsidP="00000000" w:rsidRDefault="00000000" w:rsidRPr="00000000" w14:paraId="00000054">
      <w:pPr>
        <w:numPr>
          <w:ilvl w:val="1"/>
          <w:numId w:val="3"/>
        </w:numPr>
        <w:spacing w:after="240" w:before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확인 결과: MCP 주소는 등록할 때와 호출 직전에 각각 검사한다(services/mcp/security.py). 이름이 가리키는 주소가 하나라도 사설·루프백이면 막으며, 호출 직전 재검사는 등록 때 공인 IP를 주고 호출 때 사설 IP를 주는 DNS 리바인딩을 막기 위한 것이다. 호출 timeout은 480초로 두어 gunicorn 워커 timeout 600초보다 먼저 끊는다.</w:t>
      </w:r>
    </w:p>
    <w:tbl>
      <w:tblPr>
        <w:tblStyle w:val="Table6"/>
        <w:tblW w:w="9925.000000000004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tblGridChange w:id="0">
          <w:tblGrid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</w:tblGrid>
        </w:tblGridChange>
      </w:tblGrid>
      <w:tr>
        <w:trPr>
          <w:cantSplit w:val="0"/>
          <w:trHeight w:val="427.9101562499998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>
                <w:rFonts w:ascii="Malgun Gothic" w:cs="Malgun Gothic" w:eastAsia="Malgun Gothic" w:hAnsi="Malgun Gothic"/>
                <w:b w:val="0"/>
                <w:bCs w:val="0"/>
                <w:sz w:val="16"/>
                <w:szCs w:val="16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>3. 보안 정보 및 코드 관리 평가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3">
      <w:pPr>
        <w:spacing w:after="240" w:before="240" w:lineRule="auto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>공개 주소로 운영 중인 서비스를 기준으로, 자격증명 노출과 데이터 유출을 막는 체계를 점검한다.</w:t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spacing w:after="0" w:before="24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API Key 및 환경 변수 관리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1"/>
          <w:numId w:val="1"/>
        </w:numPr>
        <w:spacing w:after="0" w:before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>모델 API Key와 커넥터 자격증명은 소스코드에서 분리해 .env로만 관리하고, 저장소에는 값이 비어 있는 .env.example만 추적한다. .env와 Word 잠금 파일 등은 .gitignore가 거르며 운영 서버에는 컨테이너 환경변수로 주입한다.</w:t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spacing w:after="0" w:before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하드코딩 방지와 설정 분리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1"/>
          <w:numId w:val="1"/>
        </w:numPr>
        <w:spacing w:after="0" w:before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>DB 접속 정보·공개 주소·CORS 허용 출처를 코드가 아니라 설정(config/settings/)에서 읽는다. 공개 백엔드 호스트는 ALLOWED_HOSTS에 자동으로 더해지도록 해서, 같은 값을 두 곳에서 손으로 맞추다 어긋나던 문제를 없앴다.</w:t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spacing w:after="0" w:before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전송·세션 보안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1"/>
          <w:numId w:val="1"/>
        </w:numPr>
        <w:spacing w:after="240" w:before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>운영 설정은 HTTPS 강제와 보안 쿠키를 켠다(SECURE_SSL_REDIRECT · SESSION_COOKIE_SECURE · CSRF_COOKIE_SECURE). TLS는 Caddy가 종단하고 인증서는 Let's Encrypt 자동 발급·갱신이며, 프록시 뒤에서도 원 프로토콜을 알도록 SECURE_PROXY_SSL_HEADER를 설정했다. 인터넷에 열린 포트는 Caddy의 80·443뿐이고 애플리케이션 컨테이너는 127.0.0.1에만 묶여 있다.</w:t>
      </w:r>
    </w:p>
    <w:p w:rsidR="00000000" w:rsidDel="00000000" w:rsidP="00000000" w:rsidRDefault="00000000" w:rsidRPr="00000000" w14:paraId="00000069">
      <w:pPr>
        <w:numPr>
          <w:ilvl w:val="1"/>
          <w:numId w:val="1"/>
        </w:numPr>
        <w:spacing w:after="240" w:before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>테넌트·권한 경계</w:t>
      </w:r>
    </w:p>
    <w:p w:rsidR="00000000" w:rsidDel="00000000" w:rsidP="00000000" w:rsidRDefault="00000000" w:rsidRPr="00000000" w14:paraId="00000069">
      <w:pPr>
        <w:numPr>
          <w:ilvl w:val="1"/>
          <w:numId w:val="1"/>
        </w:numPr>
        <w:spacing w:after="240" w:before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>도구가 쓰는 team_id는 모델이 보낸 값이 아니라 서버 컨텍스트가 덮어쓴다(services/agent_runtime/tools/loader.py). 계정·프로젝트·문서·에이전트가 전부 팀에 매달려 있고, 운영자 콘솔은 일반 로그인과 완전히 분리된 별도 로그인이다. 고객의 대화 내용과 문서 원문은 운영자도 보지 않는다.</w:t>
      </w:r>
    </w:p>
    <w:p w:rsidR="00000000" w:rsidDel="00000000" w:rsidP="00000000" w:rsidRDefault="00000000" w:rsidRPr="00000000" w14:paraId="00000069">
      <w:pPr>
        <w:numPr>
          <w:ilvl w:val="1"/>
          <w:numId w:val="1"/>
        </w:numPr>
        <w:spacing w:after="240" w:before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>개인정보 마스킹</w:t>
      </w:r>
    </w:p>
    <w:p w:rsidR="00000000" w:rsidDel="00000000" w:rsidP="00000000" w:rsidRDefault="00000000" w:rsidRPr="00000000" w14:paraId="00000069">
      <w:pPr>
        <w:numPr>
          <w:ilvl w:val="1"/>
          <w:numId w:val="1"/>
        </w:numPr>
        <w:spacing w:after="240" w:before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>외부 관측 플랫폼으로 내보내는 사본은 전송 직전에 마스킹한다(sensitive_text.mask_for_export() — 이메일·자격증명·주민등록번호·카드·전화 패턴). 사용자에게 가는 응답과 내부 DB 원문은 바꾸지 않는다. 실제 키로 전송한 뒤 관측 서버의 기록을 다시 조회해 누출 0건을 확인했다(2026-08-21 검증. 당시에는 LangSmith도 함께 붙어 있었고 그쪽도 0건이었으나, LangSmith는 2026-08-24에 제거해 지금은 Langfuse 하나다).</w:t>
      </w:r>
    </w:p>
    <w:tbl>
      <w:tblPr>
        <w:tblStyle w:val="Table7"/>
        <w:tblW w:w="9925.000000000004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tblGridChange w:id="0">
          <w:tblGrid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</w:tblGrid>
        </w:tblGridChange>
      </w:tblGrid>
      <w:tr>
        <w:trPr>
          <w:cantSplit w:val="0"/>
          <w:trHeight w:val="427.9101562499998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>
                <w:rFonts w:ascii="Malgun Gothic" w:cs="Malgun Gothic" w:eastAsia="Malgun Gothic" w:hAnsi="Malgun Gothic"/>
                <w:b w:val="0"/>
                <w:bCs w:val="0"/>
                <w:sz w:val="16"/>
                <w:szCs w:val="16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>4. 예외 처리 및 서비스 완성도 확인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8">
      <w:pPr>
        <w:spacing w:after="240" w:before="240" w:lineRule="auto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>장애가 났을 때 조용히 틀린 답을 내지 않고, 무엇이 막혔는지 사람에게 말하는지를 확인한다.</w:t>
      </w:r>
    </w:p>
    <w:tbl>
      <w:tblPr>
        <w:tblStyle w:val="Table8"/>
        <w:tblW w:w="9495.0" w:type="dxa"/>
        <w:jc w:val="left"/>
        <w:tblBorders>
          <w:top w:color="808080" w:space="0" w:sz="6" w:val="single"/>
          <w:left w:color="808080" w:space="0" w:sz="6" w:val="single"/>
          <w:bottom w:color="808080" w:space="0" w:sz="6" w:val="single"/>
          <w:right w:color="808080" w:space="0" w:sz="6" w:val="single"/>
          <w:insideH w:color="808080" w:space="0" w:sz="6" w:val="single"/>
          <w:insideV w:color="808080" w:space="0" w:sz="6" w:val="single"/>
        </w:tblBorders>
        <w:tblLayout w:type="fixed"/>
        <w:tblLook w:val="0600"/>
      </w:tblPr>
      <w:tblGrid>
        <w:gridCol w:w="1250"/>
        <w:gridCol w:w="2930"/>
        <w:gridCol w:w="5315"/>
        <w:tblGridChange w:id="0">
          <w:tblGrid>
            <w:gridCol w:w="1250"/>
            <w:gridCol w:w="2930"/>
            <w:gridCol w:w="531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shd w:fill="cfe2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평가 시나리오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shd w:fill="cfe2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장애 상황 및 감지 기준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shd w:fill="cfe2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복구 및 대응 결과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근거를 낼 수 없는 검색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조회 범위 안에 문서는 있으나 본문이 아직 색인되지 않아(search_ready=false) 문장 근거를 만들 수 없는 경우.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없는 근거를 지어내지 않는다. 「본문이 아직 색인되지 않아 근거에서 빠졌습니다」로 사실을 알리고, 출처는 근거가 실제로 나온 문서만 표시한다.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호출 한도 초과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모델 호출 또는 도구 호출이 상한에 도달한 경우.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내부 카운터가 그대로 드러나는 영문 예외 대신 「요청을 더 작은 단위로 나눠 달라」는 문장으로 바꿔 보낸다. 실행 기록은 종료 상태로 닫고 그때까지 쓴 토큰도 남긴다(실패한 실행을 비우면 사용량 합계가 실제보다 작아진다).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도구 실행 실패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입력값 오류, 저장소 오류, 커넥터 인증 만료 등 도구 호출 중 예외.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사람이 그 자리에서 고칠 수 있는 사유(ToolInputError · RepositoryError · OAuthError)는 원문 메시지를 그대로 보여주고, 그 밖은 일반 문구로 감싸고 오류 코드만 남긴다. 문서 원문이나 토큰이 섞일 수 있는 메시지를 화면으로 내보내지 않기 위해서다.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외부 MCP 서버 지연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팀이 연결한 MCP 서버가 응답하지 않거나 지나치게 오래 걸리는 경우.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호출 하나를 480초에서 끊는다. 자유롭게 연결되는 MCP는 정상 실행시간을 추정할 수 없으므로 성능 추정이 아니라 「워커보다 먼저 곱게 끊어 오류 메시지를 남긴다」는 방어선으로 잡은 값이다.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승인 대기 중단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부수효과가 있는 도구를 부르면 실행이 승인 전까지 멈춘다.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멈췄다는 사실을 이벤트로 화면에 보내 확인 카드를 띄우고, 승인 뒤 같은 호출을 그대로 재개한다. 승인 전에는 외부 시스템에 아무것도 쓰지 않는다. 이벤트를 보내지 않아 화면이 빈 채로 끝나던 결함은 2026-08-18 브라우저 QA에서 찾아 고쳤다.</w:t>
            </w:r>
          </w:p>
        </w:tc>
      </w:tr>
    </w:tbl>
    <w:p w:rsidR="00000000" w:rsidDel="00000000" w:rsidP="00000000" w:rsidRDefault="00000000" w:rsidRPr="00000000" w14:paraId="00000085">
      <w:pPr>
        <w:pStyle w:val="Heading3"/>
        <w:keepNext w:val="0"/>
        <w:keepLines w:val="0"/>
        <w:spacing w:before="280" w:lineRule="auto"/>
        <w:rPr>
          <w:rFonts w:ascii="Malgun Gothic" w:cs="Malgun Gothic" w:eastAsia="Malgun Gothic" w:hAnsi="Malgun Gothic"/>
          <w:b w:val="1"/>
          <w:bCs w:val="1"/>
          <w:color w:val="0000ff"/>
          <w:sz w:val="22"/>
          <w:szCs w:val="22"/>
        </w:rPr>
      </w:pPr>
      <w:bookmarkStart w:colFirst="0" w:colLast="0" w:name="_heading=h.6hcf2mudxdlv" w:id="3"/>
      <w:bookmarkEnd w:id="3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ff"/>
          <w:sz w:val="22"/>
          <w:szCs w:val="22"/>
          <w:rtl w:val="0"/>
        </w:rPr>
        <w:t xml:space="preserve">종합 판정: 통과 (Pass)</w:t>
      </w:r>
    </w:p>
    <w:p w:rsidR="00000000" w:rsidDel="00000000" w:rsidP="00000000" w:rsidRDefault="00000000" w:rsidRPr="00000000" w14:paraId="00000086">
      <w:pPr>
        <w:numPr>
          <w:ilvl w:val="0"/>
          <w:numId w:val="2"/>
        </w:numPr>
        <w:spacing w:after="0" w:before="24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기술적 강점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1"/>
          <w:numId w:val="2"/>
        </w:numPr>
        <w:spacing w:after="0" w:before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실제로 배포돼 돌아간다: 2026-08-14부터 https://halil-ai.site 로 공개 운영 중이고, main 브랜치 push가 곧 배포다. TLS 인증서는 자동 발급·갱신되고, 헬스체크가 DB·인사·벡터 색인 상태를 함께 보고한다.</w:t>
      </w:r>
    </w:p>
    <w:p w:rsidR="00000000" w:rsidDel="00000000" w:rsidP="00000000" w:rsidRDefault="00000000" w:rsidRPr="00000000" w14:paraId="00000088">
      <w:pPr>
        <w:numPr>
          <w:ilvl w:val="1"/>
          <w:numId w:val="2"/>
        </w:numPr>
        <w:spacing w:after="0" w:before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마지막 결정은 사람이 한다: 부수효과 도구 7종이 예외 없이 승인 게이트를 탄다. 실행 허용 판단과 승인 대기 판단이 같은 함수를 보기 때문에 「실행은 되는데 확인 카드가 안 뜨는」 조합이 구조적으로 생기지 않는다.</w:t>
      </w:r>
    </w:p>
    <w:p w:rsidR="00000000" w:rsidDel="00000000" w:rsidP="00000000" w:rsidRDefault="00000000" w:rsidRPr="00000000" w14:paraId="00000089">
      <w:pPr>
        <w:numPr>
          <w:ilvl w:val="1"/>
          <w:numId w:val="2"/>
        </w:numPr>
        <w:spacing w:after="0" w:before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조용히 틀린 답을 줄였다: 근거가 없으면 없다고 말하고, 색인되지 않아 근거에서 빠진 문서는 빠졌다는 사실을 함께 알린다.</w:t>
      </w:r>
    </w:p>
    <w:p w:rsidR="00000000" w:rsidDel="00000000" w:rsidP="00000000" w:rsidRDefault="00000000" w:rsidRPr="00000000" w14:paraId="0000008A">
      <w:pPr>
        <w:numPr>
          <w:ilvl w:val="0"/>
          <w:numId w:val="2"/>
        </w:numPr>
        <w:spacing w:after="0" w:before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한계점 및 향후 개선 계획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1"/>
          <w:numId w:val="2"/>
        </w:numPr>
        <w:spacing w:after="0" w:before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검색 품질의 정량 기준선이 없다: 골든셋(tests/eval — 질의 14건·정답지 3종)은 갖췄으나 채점 러너가 없어 Recall@10·MRR을 아직 못 쟀다. 8주차에 러너부터 만든다.</w:t>
      </w:r>
    </w:p>
    <w:p w:rsidR="00000000" w:rsidDel="00000000" w:rsidP="00000000" w:rsidRDefault="00000000" w:rsidRPr="00000000" w14:paraId="0000008C">
      <w:pPr>
        <w:numPr>
          <w:ilvl w:val="1"/>
          <w:numId w:val="2"/>
        </w:numPr>
        <w:spacing w:after="0" w:before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부하 시험을 하지 않았다: 동시 실행 상한 4와 MCP 호출 timeout 480초는 「무제한을 유한하게」 잡은 잠정값이지 측정으로 고른 값이 아니다. 응답 시간 SLA도 부하 시험 뒤에 확정한다.</w:t>
      </w:r>
    </w:p>
    <w:p w:rsidR="00000000" w:rsidDel="00000000" w:rsidP="00000000" w:rsidRDefault="00000000" w:rsidRPr="00000000" w14:paraId="0000008D">
      <w:pPr>
        <w:numPr>
          <w:ilvl w:val="1"/>
          <w:numId w:val="2"/>
        </w:numPr>
        <w:spacing w:after="240" w:before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자체 sLLM은 제품 경로에 붙어 있지 않다: 학습과 평가는 마쳤으나 업무 추출 제품 경로는 외부 모델을 쓴다. PoC로만 다룬다.</w:t>
      </w:r>
    </w:p>
    <w:p w:rsidR="00000000" w:rsidDel="00000000" w:rsidP="00000000" w:rsidRDefault="00000000" w:rsidRPr="00000000" w14:paraId="0000008D">
      <w:pPr>
        <w:numPr>
          <w:ilvl w:val="1"/>
          <w:numId w:val="2"/>
        </w:numPr>
        <w:spacing w:after="240" w:before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권한 경계에 간극이 하나 남았다: 팀 스킬 파일 삭제 경로에 역할 검사가 없어 파일 삭제 도구를 노출에서 빼 두었다.</w:t>
      </w:r>
    </w:p>
    <w:sectPr>
      <w:headerReference r:id="rId9" w:type="default"/>
      <w:headerReference r:id="rId10" w:type="first"/>
      <w:footerReference r:id="rId11" w:type="default"/>
      <w:footerReference r:id="rId12" w:type="first"/>
      <w:pgSz w:h="16834" w:w="11909" w:orient="portrait"/>
      <w:pgMar w:bottom="1559.0551181102364" w:top="1275.5905511811025" w:left="992.1259842519686" w:right="992.1259842519686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algun Gothic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0">
    <w:pPr>
      <w:jc w:val="center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1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E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F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b w:val="1"/>
        <w:bCs w:val="1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7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8">
    <w:basedOn w:val="TableNormal"/>
    <w:tblPr>
      <w:tblStyleRowBandSize w:val="1"/>
      <w:tblStyleColBandSize w:val="1"/>
      <w:tblCellMar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2.xml"/><Relationship Id="rId12" Type="http://schemas.openxmlformats.org/officeDocument/2006/relationships/footer" Target="footer2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Vb2TKcqSvToE9QoANSseLBaWUA==">CgMxLjAyDmguaGVmM2s3Y29vZmx5Mg1oLjk0eXcxYTFvaGpvMg5oLm0yN25mb3k5NmR0NDIOaC42aGNmMm11ZHhkbHY4AHIhMUhqYVdJYWI4T3NZYklsUHR4NWpJbTQ3d3pDazZfTDVL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