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-363373</wp:posOffset>
                </wp:positionH>
                <wp:positionV relativeFrom="page">
                  <wp:posOffset>-57852</wp:posOffset>
                </wp:positionV>
                <wp:extent cx="8453438" cy="7249802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119275" y="155075"/>
                          <a:ext cx="8453438" cy="7249802"/>
                          <a:chOff x="1119275" y="155075"/>
                          <a:chExt cx="8453450" cy="7249850"/>
                        </a:xfrm>
                      </wpg:grpSpPr>
                      <wpg:grpSp>
                        <wpg:cNvGrpSpPr/>
                        <wpg:grpSpPr>
                          <a:xfrm>
                            <a:off x="1119281" y="155099"/>
                            <a:ext cx="8453438" cy="7249802"/>
                            <a:chOff x="2249325" y="1227825"/>
                            <a:chExt cx="5784900" cy="49657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2249325" y="1227825"/>
                              <a:ext cx="5784900" cy="49657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 flipH="1" rot="10800000">
                              <a:off x="2274750" y="1253250"/>
                              <a:ext cx="5734050" cy="4914900"/>
                            </a:xfrm>
                            <a:prstGeom prst="rect">
                              <a:avLst/>
                            </a:prstGeom>
                            <a:noFill/>
                            <a:ln cap="flat" cmpd="sng" w="25400">
                              <a:solidFill>
                                <a:srgbClr val="F8FAFD"/>
                              </a:solidFill>
                              <a:prstDash val="solid"/>
                              <a:miter lim="80"/>
                              <a:headEnd len="sm" w="sm" type="none"/>
                              <a:tailEnd len="sm" w="sm" type="none"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-363373</wp:posOffset>
                </wp:positionH>
                <wp:positionV relativeFrom="page">
                  <wp:posOffset>-57852</wp:posOffset>
                </wp:positionV>
                <wp:extent cx="8453438" cy="7249802"/>
                <wp:effectExtent b="0" l="0" r="0" t="0"/>
                <wp:wrapNone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00000000004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tblGridChange w:id="0">
          <w:tblGrid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29기 : 2팀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36"/>
                <w:szCs w:val="36"/>
                <w:rtl w:val="0"/>
              </w:rPr>
              <w:t xml:space="preserve">개발된 LLM 연동 웹 애플리케이션 </w:t>
            </w: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36"/>
                <w:szCs w:val="36"/>
                <w:rtl w:val="0"/>
              </w:rPr>
              <w:t xml:space="preserve">문서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모델배포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2026. 8. 28.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https://github.com/SKNETWORKS-FAMILY-AICAMP/SKN29-FINAL-2TEAM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서비스 주소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https://halil-ai.site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000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5.000000000004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tblGridChange w:id="0">
          <w:tblGrid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1. </w:t>
            </w:r>
            <w:r w:rsidDel="00000000" w:rsidR="00000000" w:rsidRPr="00000000">
              <w:rPr>
                <w:rFonts w:ascii="Malgun Gothic" w:cs="Malgun Gothic" w:eastAsia="Malgun Gothic" w:hAnsi="Malgun Gothic"/>
                <w:sz w:val="34"/>
                <w:szCs w:val="34"/>
                <w:rtl w:val="0"/>
              </w:rPr>
              <w:t xml:space="preserve"> 핵심 서비스 요구사항 충족도 평가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1주차 산출물 「요구사항 정의서」의 기능·비기능 요구사항 가운데, 배포된 서비스에서 실제로 동작하는 항목을 확인했다. 2026-08-08 멘토링 이후 제품 범위가 「업무 분배 서비스」에서 「비개발자용 Agent Platform」으로 바뀌었으므로, 정의서의 ID는 그대로 쓰되 범위가 바뀐 항목은 그 사실을 함께 적는다. 확인 기준은 배포본(https://halil-ai.site)과 저장소 코드다.</w:t>
      </w:r>
    </w:p>
    <w:tbl>
      <w:tblPr>
        <w:tblStyle w:val="Table4"/>
        <w:tblW w:w="9675.0" w:type="dxa"/>
        <w:jc w:val="left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915"/>
        <w:gridCol w:w="2070"/>
        <w:gridCol w:w="5175"/>
        <w:gridCol w:w="1515"/>
        <w:tblGridChange w:id="0">
          <w:tblGrid>
            <w:gridCol w:w="915"/>
            <w:gridCol w:w="2070"/>
            <w:gridCol w:w="5175"/>
            <w:gridCol w:w="1515"/>
          </w:tblGrid>
        </w:tblGridChange>
      </w:tblGrid>
      <w:tr>
        <w:trPr>
          <w:cantSplit w:val="0"/>
          <w:trHeight w:val="525.8203125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기능 요구사항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구현 내용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충족 여부(P/F)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FR-DOC-002·003·004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문서 원본 수집과 구조 보존 파싱, Block·Chunk 분할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Drive 원문을 S3에 보존하고, RunPod GPU 워커(runpod_worker/pipeline.py)가 docling 2.117로 PDF·DOCX를 구조를 살려 파싱한 뒤 HybridChunker로 나눈다. 임베딩은 google/embeddinggemma-300m(768차원)이며 PostgreSQL + pgvector에 적재한다.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P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FR-EXT-001·003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기준 문서 기반 구조화 업무 추출과 출력 검증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services/task_extraction/service.py가 스키마 수준에서 근거 참조를 강제한다(evidence_refs 최소 1개). 인용 번호가 실제 근거와 어긋나면 그 업무만 탈락시키고 나머지 결과는 유지한다.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P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FR-EXT-004 · FR-PM-003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사람이 확인한 뒤에만 확정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부수효과가 있는 내장 도구 7종(task_register · task_update · jira_create_issues · document_create · table_export · skill_register · skill_creator_ask_followup)은 확인 카드를 띄우고 승인 전에는 실행되지 않는다. 팀이 연결한 외부 MCP 쓰기 도구도 같은 게이트를 탄다.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P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FR-JIR-002·004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Jira 업무 조회와 반영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jira_get_issues로 담당자·상태·일정·공수를 읽고, 등록은 우리 DB에 먼저 남긴 뒤 jira_create_issues가 승인 후에 쓴다. 페이지네이션과 재시도는 커넥터(apps/connectors)가 처리한다.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P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FR-HR-001·002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인사 기준정보 사용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조직·직원 데이터는 mock_hr 스키마에 두고 읽기 전용 어댑터로만 읽는다. 애플리케이션 코드에 쓰기 경로가 없다. 데이터는 비식별 합성 데이터다.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P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FR-LOAD-001~003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근무용량·현재 할당량·부하율 계산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services/workload/calculator.py가 DB도 모델도 부르지 않는 순수 함수로 계산하고 workload_report 도구가 노출한다. 근거가 없는 버퍼 계수는 곱하지 않으며, 부재는 조회 기간으로 잘라서 뺀다.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P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NFR-SEC-001 · NFR-PRV-001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자격증명 보호와 최소 권한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비밀값은 .env에만 두고 저장소에는 값이 빈 .env.example만 추적한다. 운영자 콘솔은 일반 로그인과 토큰 salt가 분리돼 있고 매 요청마다 권한과 계정 상태를 다시 확인한다. 외부 관측 플랫폼으로 나가는 사본은 전송 직전에 마스킹한다.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P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NFR-OBS-001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실행 관측과 감사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agent_run·tool_call에 무엇을 언제 돌렸고 어떤 도구가 실패했는지 요약만 남긴다. 대화 내용과 문서 원문은 남기지 않는다. 실행 흐름과 비용 추세는 Langfuse로 본다 — 2026-08-24부터 관측 플랫폼은 Langfuse 하나다.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P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FR-ASG-001~004 · FR-VAL-001~004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업무 분배 추천 Agent와 검증 Agent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2026-08-08 피벗으로 범위에서 빠졌다. 고정된 추천 엔진을 두는 대신 팀이 빌더로 에이전트를 조립하는 구조가 됐고, 부하 계산·팀원 조회·부재 조회 도구가 그 재료로 남아 있다. 자동 추천과 검증 Agent 자체는 구현하지 않았다.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해당 없음(범위 변경)</w:t>
            </w:r>
          </w:p>
        </w:tc>
      </w:tr>
    </w:tbl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rFonts w:ascii="Malgun Gothic" w:cs="Malgun Gothic" w:eastAsia="Malgun Gothic" w:hAnsi="Malgun Gothic"/>
          <w:b w:val="1"/>
          <w:bCs w:val="1"/>
          <w:sz w:val="34"/>
          <w:szCs w:val="34"/>
        </w:rPr>
      </w:pPr>
      <w:bookmarkStart w:colFirst="0" w:colLast="0" w:name="_heading=h.hef3k7coofly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925.000000000004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tblGridChange w:id="0">
          <w:tblGrid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2. 시스템 아키텍처 연동 및 안정성 검증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80" w:lineRule="auto"/>
        <w:rPr>
          <w:rFonts w:ascii="Malgun Gothic" w:cs="Malgun Gothic" w:eastAsia="Malgun Gothic" w:hAnsi="Malgun Gothic"/>
          <w:b w:val="0"/>
          <w:bCs w:val="0"/>
          <w:color w:val="0000ff"/>
          <w:sz w:val="22"/>
          <w:szCs w:val="22"/>
        </w:rPr>
      </w:pPr>
      <w:bookmarkStart w:colFirst="0" w:colLast="0" w:name="_heading=h.94yw1a1ohjo" w:id="1"/>
      <w:bookmarkEnd w:id="1"/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sz w:val="22"/>
          <w:szCs w:val="22"/>
          <w:rtl w:val="0"/>
        </w:rPr>
        <w:t xml:space="preserve">프론트엔드부터 백엔드, 에이전트 실행 코어, 외부 인프라까지 배포된 상태에서 실제로 이어져 있는지 진단한다.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통합 연동성 (Full-Stack Data Flow)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3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평가 기준: React 19 + Vite 프론트엔드 - Caddy(TLS 종단) - Django 5.2 + DRF - services/agent_runtime - psycopg 3 직접 SQL - PostgreSQL + pgvector 사이에서 데이터가 끊기지 않고 전달되는가.</w:t>
      </w:r>
    </w:p>
    <w:p w:rsidR="00000000" w:rsidDel="00000000" w:rsidP="00000000" w:rsidRDefault="00000000" w:rsidRPr="00000000" w14:paraId="0000004E">
      <w:pPr>
        <w:numPr>
          <w:ilvl w:val="1"/>
          <w:numId w:val="3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확인 결과: 채팅은 application/x-ndjson 스트리밍으로 실행 이벤트를 한 줄씩 흘린다(apps/chat/api_views.py). 2026-08-28 배포본 확인에서 https://halil-ai.site 는 200, https://api.halil-ai.site/api/health/ 는 200이며 본문이 database.status=ok · people=ready · vector=ready 를 함께 보고했다(응답 0.1초).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0" w:before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에이전트 실행과 위임 (Deep Agents 런타임)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3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평가 기준: 실행 루프의 반복 상한, 서브 에이전트 위임 경계, 동시 실행 제어가 실제로 걸려 있는가.</w:t>
      </w:r>
    </w:p>
    <w:p w:rsidR="00000000" w:rsidDel="00000000" w:rsidP="00000000" w:rsidRDefault="00000000" w:rsidRPr="00000000" w14:paraId="00000051">
      <w:pPr>
        <w:numPr>
          <w:ilvl w:val="1"/>
          <w:numId w:val="3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확인 결과: deepagents 0.7.5 · LangGraph 1.2.11 위에서 돌며 내장 도구는 19종이다. 모델 호출 상한은 에이전트별 max_iterations(기본 10)와 전역 상한 50 중 작은 값이고, 위임은 1단계로 제한돼 자식이 다시 자식을 갖지 못한다. 한 단계에서 동시에 도는 도구 호출은 4개로 묶고 초과분은 버리지 않고 대기시킨다.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0" w:before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외부 시스템 연동 (커넥터·MCP)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3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평가 기준: Google Drive·Jira OAuth 연동과 팀이 연결한 MCP 서버 호출의 안정성.</w:t>
      </w:r>
    </w:p>
    <w:p w:rsidR="00000000" w:rsidDel="00000000" w:rsidP="00000000" w:rsidRDefault="00000000" w:rsidRPr="00000000" w14:paraId="00000054">
      <w:pPr>
        <w:numPr>
          <w:ilvl w:val="1"/>
          <w:numId w:val="3"/>
        </w:numPr>
        <w:spacing w:after="24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확인 결과: MCP 주소는 등록할 때와 호출 직전에 각각 검사한다(services/mcp/security.py). 이름이 가리키는 주소가 하나라도 사설·루프백이면 막으며, 호출 직전 재검사는 등록 때 공인 IP를 주고 호출 때 사설 IP를 주는 DNS 리바인딩을 막기 위한 것이다. 호출 timeout은 480초로 두어 gunicorn 워커 timeout 600초보다 먼저 끊는다.</w:t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rFonts w:ascii="Malgun Gothic" w:cs="Malgun Gothic" w:eastAsia="Malgun Gothic" w:hAnsi="Malgun Gothic"/>
          <w:b w:val="1"/>
          <w:bCs w:val="1"/>
          <w:sz w:val="34"/>
          <w:szCs w:val="34"/>
        </w:rPr>
      </w:pPr>
      <w:bookmarkStart w:colFirst="0" w:colLast="0" w:name="_heading=h.m27nfoy96dt4" w:id="2"/>
      <w:bookmarkEnd w:id="2"/>
      <w:r w:rsidDel="00000000" w:rsidR="00000000" w:rsidRPr="00000000">
        <w:rPr>
          <w:rtl w:val="0"/>
        </w:rPr>
      </w:r>
    </w:p>
    <w:tbl>
      <w:tblPr>
        <w:tblStyle w:val="Table6"/>
        <w:tblW w:w="9925.000000000004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tblGridChange w:id="0">
          <w:tblGrid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3. 보안 정보 및 코드 관리 평가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공개 주소로 운영 중인 서비스를 기준으로, 자격증명 노출과 데이터 유출을 막는 체계를 점검한다.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API Key 및 환경 변수 관리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1"/>
          <w:numId w:val="1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모델 API Key와 커넥터 자격증명은 소스코드에서 분리해 .env로만 관리하고, 저장소에는 값이 비어 있는 .env.example만 추적한다. .env와 Word 잠금 파일 등은 .gitignore가 거르며 운영 서버에는 컨테이너 환경변수로 주입한다.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pacing w:after="0" w:before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하드코딩 방지와 설정 분리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1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DB 접속 정보·공개 주소·CORS 허용 출처를 코드가 아니라 설정(config/settings/)에서 읽는다. 공개 백엔드 호스트는 ALLOWED_HOSTS에 자동으로 더해지도록 해서, 같은 값을 두 곳에서 손으로 맞추다 어긋나던 문제를 없앴다.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pacing w:after="0" w:before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전송·세션 보안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1"/>
          <w:numId w:val="1"/>
        </w:numPr>
        <w:spacing w:after="24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운영 설정은 HTTPS 강제와 보안 쿠키를 켠다(SECURE_SSL_REDIRECT · SESSION_COOKIE_SECURE · CSRF_COOKIE_SECURE). TLS는 Caddy가 종단하고 인증서는 Let's Encrypt 자동 발급·갱신이며, 프록시 뒤에서도 원 프로토콜을 알도록 SECURE_PROXY_SSL_HEADER를 설정했다. 인터넷에 열린 포트는 Caddy의 80·443뿐이고 애플리케이션 컨테이너는 127.0.0.1에만 묶여 있다.</w:t>
      </w:r>
    </w:p>
    <w:p w:rsidR="00000000" w:rsidDel="00000000" w:rsidP="00000000" w:rsidRDefault="00000000" w:rsidRPr="00000000" w14:paraId="00000069">
      <w:pPr>
        <w:numPr>
          <w:ilvl w:val="1"/>
          <w:numId w:val="1"/>
        </w:numPr>
        <w:spacing w:after="24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테넌트·권한 경계</w:t>
      </w:r>
    </w:p>
    <w:p w:rsidR="00000000" w:rsidDel="00000000" w:rsidP="00000000" w:rsidRDefault="00000000" w:rsidRPr="00000000" w14:paraId="00000069">
      <w:pPr>
        <w:numPr>
          <w:ilvl w:val="1"/>
          <w:numId w:val="1"/>
        </w:numPr>
        <w:spacing w:after="24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도구가 쓰는 team_id는 모델이 보낸 값이 아니라 서버 컨텍스트가 덮어쓴다(services/agent_runtime/tools/loader.py). 계정·프로젝트·문서·에이전트가 전부 팀에 매달려 있고, 운영자 콘솔은 일반 로그인과 완전히 분리된 별도 로그인이다. 고객의 대화 내용과 문서 원문은 운영자도 보지 않는다.</w:t>
      </w:r>
    </w:p>
    <w:p w:rsidR="00000000" w:rsidDel="00000000" w:rsidP="00000000" w:rsidRDefault="00000000" w:rsidRPr="00000000" w14:paraId="00000069">
      <w:pPr>
        <w:numPr>
          <w:ilvl w:val="1"/>
          <w:numId w:val="1"/>
        </w:numPr>
        <w:spacing w:after="24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개인정보 마스킹</w:t>
      </w:r>
    </w:p>
    <w:p w:rsidR="00000000" w:rsidDel="00000000" w:rsidP="00000000" w:rsidRDefault="00000000" w:rsidRPr="00000000" w14:paraId="00000069">
      <w:pPr>
        <w:numPr>
          <w:ilvl w:val="1"/>
          <w:numId w:val="1"/>
        </w:numPr>
        <w:spacing w:after="24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외부 관측 플랫폼으로 내보내는 사본은 전송 직전에 마스킹한다(sensitive_text.mask_for_export() — 이메일·자격증명·주민등록번호·카드·전화 패턴). 사용자에게 가는 응답과 내부 DB 원문은 바꾸지 않는다. 실제 키로 전송한 뒤 관측 서버의 기록을 다시 조회해 누출 0건을 확인했다(2026-08-21 검증. 당시에는 LangSmith도 함께 붙어 있었고 그쪽도 0건이었으나, LangSmith는 2026-08-24에 제거해 지금은 Langfuse 하나다).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925.000000000004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tblGridChange w:id="0">
          <w:tblGrid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4. 예외 처리 및 서비스 완성도 확인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spacing w:after="240" w:before="240" w:lineRule="auto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color w:val="0000ff"/>
          <w:rtl w:val="0"/>
        </w:rPr>
        <w:t xml:space="preserve">장애가 났을 때 조용히 틀린 답을 내지 않고, 무엇이 막혔는지 사람에게 말하는지를 확인한다.</w:t>
      </w:r>
    </w:p>
    <w:tbl>
      <w:tblPr>
        <w:tblStyle w:val="Table8"/>
        <w:tblW w:w="9495.0" w:type="dxa"/>
        <w:jc w:val="left"/>
        <w:tblBorders>
          <w:top w:color="808080" w:space="0" w:sz="6" w:val="single"/>
          <w:left w:color="808080" w:space="0" w:sz="6" w:val="single"/>
          <w:bottom w:color="808080" w:space="0" w:sz="6" w:val="single"/>
          <w:right w:color="808080" w:space="0" w:sz="6" w:val="single"/>
          <w:insideH w:color="808080" w:space="0" w:sz="6" w:val="single"/>
          <w:insideV w:color="808080" w:space="0" w:sz="6" w:val="single"/>
        </w:tblBorders>
        <w:tblLayout w:type="fixed"/>
        <w:tblLook w:val="0600"/>
      </w:tblPr>
      <w:tblGrid>
        <w:gridCol w:w="1250"/>
        <w:gridCol w:w="2930"/>
        <w:gridCol w:w="5315"/>
        <w:tblGridChange w:id="0">
          <w:tblGrid>
            <w:gridCol w:w="1250"/>
            <w:gridCol w:w="2930"/>
            <w:gridCol w:w="53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평가 시나리오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장애 상황 및 감지 기준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shd w:fill="cfe2f3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0"/>
                <w:szCs w:val="20"/>
                <w:rtl w:val="0"/>
              </w:rPr>
              <w:t xml:space="preserve">복구 및 대응 결과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근거를 낼 수 없는 검색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조회 범위 안에 문서는 있으나 본문이 아직 색인되지 않아(search_ready=false) 문장 근거를 만들 수 없는 경우.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없는 근거를 지어내지 않는다. 「본문이 아직 색인되지 않아 근거에서 빠졌습니다」로 사실을 알리고, 출처는 근거가 실제로 나온 문서만 표시한다.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호출 한도 초과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모델 호출 또는 도구 호출이 상한에 도달한 경우.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내부 카운터가 그대로 드러나는 영문 예외 대신 「요청을 더 작은 단위로 나눠 달라」는 문장으로 바꿔 보낸다. 실행 기록은 종료 상태로 닫고 그때까지 쓴 회전 수·토큰도 함께 남긴다 — 실패한 실행을 비워 두면 사용량 합계가 실제보다 작아지기 때문이다.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도구 실행 실패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입력값 오류, 저장소 오류, 커넥터 인증 만료 등 도구 호출 중 예외.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사람이 그 자리에서 고칠 수 있는 사유(ToolInputError · RepositoryError · OAuthError)는 원문 메시지를 그대로 보여주고, 그 밖은 일반 문구로 감싸고 오류 코드만 남긴다. 문서 원문이나 토큰이 섞일 수 있는 메시지를 화면으로 내보내지 않기 위해서다.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외부 MCP 서버 지연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팀이 연결한 MCP 서버가 응답하지 않거나 지나치게 오래 걸리는 경우.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호출 하나를 480초에서 끊는다. 자유롭게 연결되는 MCP는 정상 실행시간을 추정할 수 없으므로 성능 추정이 아니라 「워커보다 먼저 곱게 끊어 오류 메시지를 남긴다」는 방어선으로 잡은 값이다.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승인 대기 중단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  <w:rtl w:val="0"/>
              </w:rPr>
              <w:t xml:space="preserve">부수효과가 있는 도구를 부르면 실행이 승인 전까지 멈춘다.</w:t>
            </w:r>
          </w:p>
        </w:tc>
        <w:tc>
          <w:tcPr>
            <w:tcBorders>
              <w:top w:color="808080" w:space="0" w:sz="6" w:val="single"/>
              <w:left w:color="808080" w:space="0" w:sz="6" w:val="single"/>
              <w:bottom w:color="808080" w:space="0" w:sz="6" w:val="single"/>
              <w:right w:color="80808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before="0" w:line="240" w:lineRule="auto"/>
              <w:jc w:val="center"/>
              <w:rPr>
                <w:rFonts w:ascii="Malgun Gothic" w:cs="Malgun Gothic" w:eastAsia="Malgun Gothic" w:hAnsi="Malgun Gothic"/>
                <w:b w:val="0"/>
                <w:bCs w:val="0"/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color w:val="0000ff"/>
                <w:sz w:val="20"/>
                <w:szCs w:val="20"/>
                <w:rtl w:val="0"/>
              </w:rPr>
              <w:t xml:space="preserve">멈췄다는 사실을 이벤트로 화면에 보내 확인 카드를 띄우고, 승인 뒤 같은 호출을 그대로 재개한다. 승인 전에는 외부 시스템에 아무것도 쓰지 않는다. 이벤트를 보내지 않아 화면이 빈 채로 끝나던 결함은 2026-08-18 브라우저 QA에서 찾아 고쳤다.</w:t>
            </w:r>
          </w:p>
        </w:tc>
      </w:tr>
    </w:tbl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rFonts w:ascii="Malgun Gothic" w:cs="Malgun Gothic" w:eastAsia="Malgun Gothic" w:hAnsi="Malgun Gothic"/>
          <w:b w:val="1"/>
          <w:bCs w:val="1"/>
          <w:color w:val="0000ff"/>
          <w:sz w:val="22"/>
          <w:szCs w:val="22"/>
        </w:rPr>
      </w:pPr>
      <w:bookmarkStart w:colFirst="0" w:colLast="0" w:name="_heading=h.6hcf2mudxdlv" w:id="3"/>
      <w:bookmarkEnd w:id="3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sz w:val="22"/>
          <w:szCs w:val="22"/>
          <w:rtl w:val="0"/>
        </w:rPr>
        <w:t xml:space="preserve">종합 판정: 통과 (Pass)</w:t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spacing w:after="0" w:before="24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기술적 강점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1"/>
          <w:numId w:val="2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실제로 배포돼 돌아간다: 2026-08-14부터 https://halil-ai.site 로 공개 운영 중이고, main 브랜치 push가 곧 배포다. TLS 인증서는 자동 발급·갱신되며 API 헬스체크가 DB·인사 데이터·벡터 색인 상태를 함께 보고한다.</w:t>
      </w:r>
    </w:p>
    <w:p w:rsidR="00000000" w:rsidDel="00000000" w:rsidP="00000000" w:rsidRDefault="00000000" w:rsidRPr="00000000" w14:paraId="00000088">
      <w:pPr>
        <w:numPr>
          <w:ilvl w:val="1"/>
          <w:numId w:val="2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마지막 결정은 사람이 한다: 부수효과 도구 7종이 예외 없이 승인 게이트를 탄다. 실행 허용 판단과 승인 대기 판단이 같은 함수를 보기 때문에 「실행은 되는데 확인 카드가 안 뜨는」 조합이 구조적으로 생기지 않는다.</w:t>
      </w:r>
    </w:p>
    <w:p w:rsidR="00000000" w:rsidDel="00000000" w:rsidP="00000000" w:rsidRDefault="00000000" w:rsidRPr="00000000" w14:paraId="00000089">
      <w:pPr>
        <w:numPr>
          <w:ilvl w:val="1"/>
          <w:numId w:val="2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조용히 틀린 답을 줄였다: 근거가 없으면 없다고 말하고, 색인되지 않아 근거에서 빠진 문서는 빠졌다는 사실을 함께 알린다.</w:t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spacing w:after="0" w:before="0" w:lineRule="auto"/>
        <w:ind w:left="72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한계점 및 향후 개선 계획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1"/>
          <w:numId w:val="2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검색 품질의 정량 기준선이 없다: 골든셋(tests/eval — 질의 14건과 정답지 3종)은 갖췄으나 채점 러너가 없어 Recall@10·MRR을 아직 측정하지 못했다. 8주차에 러너를 만들어 기준선을 먼저 잡는다.</w:t>
      </w:r>
    </w:p>
    <w:p w:rsidR="00000000" w:rsidDel="00000000" w:rsidP="00000000" w:rsidRDefault="00000000" w:rsidRPr="00000000" w14:paraId="0000008C">
      <w:pPr>
        <w:numPr>
          <w:ilvl w:val="1"/>
          <w:numId w:val="2"/>
        </w:numPr>
        <w:spacing w:after="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부하 시험을 하지 않았다: 동시 실행 상한 4와 MCP 호출 timeout 480초는 「무제한을 유한하게」 잡은 잠정값이지 측정으로 고른 값이 아니다. 응답 시간 SLA도 부하 시험 뒤에 확정한다.</w:t>
      </w:r>
    </w:p>
    <w:p w:rsidR="00000000" w:rsidDel="00000000" w:rsidP="00000000" w:rsidRDefault="00000000" w:rsidRPr="00000000" w14:paraId="0000008D">
      <w:pPr>
        <w:numPr>
          <w:ilvl w:val="1"/>
          <w:numId w:val="2"/>
        </w:numPr>
        <w:spacing w:after="24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자체 sLLM은 제품 경로에 붙어 있지 않다: 학습과 평가는 마쳤으나 업무 추출 제품 경로는 외부 모델을 쓴다. PoC로만 다룬다.</w:t>
      </w:r>
    </w:p>
    <w:p w:rsidR="00000000" w:rsidDel="00000000" w:rsidP="00000000" w:rsidRDefault="00000000" w:rsidRPr="00000000" w14:paraId="0000008D">
      <w:pPr>
        <w:numPr>
          <w:ilvl w:val="1"/>
          <w:numId w:val="2"/>
        </w:numPr>
        <w:spacing w:after="240" w:before="0" w:lineRule="auto"/>
        <w:ind w:left="1440" w:hanging="360"/>
        <w:rPr>
          <w:rFonts w:ascii="Malgun Gothic" w:cs="Malgun Gothic" w:eastAsia="Malgun Gothic" w:hAnsi="Malgun Gothic"/>
          <w:b w:val="0"/>
          <w:bCs w:val="0"/>
          <w:color w:val="0000ff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rtl w:val="0"/>
        </w:rPr>
        <w:t xml:space="preserve">권한 경계에 간극이 하나 남았다: 팀 스킬 파일 삭제 경로에 역할 검사가 없어 가상 파일 삭제 도구를 노출에서 빼 두었다. 검사를 붙이면 다시 연다.</w:t>
      </w:r>
    </w:p>
    <w:sectPr>
      <w:headerReference r:id="rId9" w:type="default"/>
      <w:headerReference r:id="rId10" w:type="first"/>
      <w:footerReference r:id="rId11" w:type="default"/>
      <w:footerReference r:id="rId12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0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E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12" Type="http://schemas.openxmlformats.org/officeDocument/2006/relationships/footer" Target="footer2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Vb2TKcqSvToE9QoANSseLBaWUA==">CgMxLjAyDmguaGVmM2s3Y29vZmx5Mg1oLjk0eXcxYTFvaGpvMg5oLm0yN25mb3k5NmR0NDIOaC42aGNmMm11ZHhkbHY4AHIhMUhqYVdJYWI4T3NZYklsUHR4NWpJbTQ3d3pDazZfTDVL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