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ttf" ContentType="application/x-font-ttf"/>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Nanum Gothic" w:cs="Nanum Gothic" w:eastAsia="Nanum Gothic" w:hAnsi="Nanum Gothic"/>
          <w:color w:val="808080"/>
          <w:sz w:val="17"/>
          <w:szCs w:val="17"/>
        </w:rPr>
        <w:t>SK네트웍스 Family AI 캠프 30기 · 최종 프로젝트 (3팀)</w:t>
      </w:r>
    </w:p>
    <w:p>
      <w:pPr>
        <w:spacing w:after="40"/>
        <w:jc w:val="center"/>
      </w:pPr>
      <w:r>
        <w:rPr>
          <w:rFonts w:ascii="Nanum Gothic" w:cs="Nanum Gothic" w:eastAsia="Nanum Gothic" w:hAnsi="Nanum Gothic"/>
          <w:b/>
          <w:bCs/>
          <w:color w:val="1F3864"/>
          <w:sz w:val="30"/>
          <w:szCs w:val="30"/>
        </w:rPr>
        <w:t>멀티 에이전트 기반</w:t>
      </w:r>
    </w:p>
    <w:p>
      <w:pPr>
        <w:spacing w:after="100"/>
        <w:jc w:val="center"/>
      </w:pPr>
      <w:r>
        <w:rPr>
          <w:rFonts w:ascii="Nanum Gothic" w:cs="Nanum Gothic" w:eastAsia="Nanum Gothic" w:hAnsi="Nanum Gothic"/>
          <w:b/>
          <w:bCs/>
          <w:color w:val="1F3864"/>
          <w:sz w:val="30"/>
          <w:szCs w:val="30"/>
        </w:rPr>
        <w:t>공인중개사 업무 지원 플랫폼</w:t>
      </w:r>
    </w:p>
    <w:p>
      <w:pPr>
        <w:spacing w:after="60"/>
        <w:jc w:val="center"/>
      </w:pPr>
      <w:r>
        <w:rPr>
          <w:rFonts w:ascii="Nanum Gothic" w:cs="Nanum Gothic" w:eastAsia="Nanum Gothic" w:hAnsi="Nanum Gothic"/>
          <w:b/>
          <w:bCs/>
          <w:color w:val="2E5496"/>
          <w:sz w:val="21"/>
          <w:szCs w:val="21"/>
        </w:rPr>
        <w:t>제출용 기획서</w:t>
      </w:r>
    </w:p>
    <w:p>
      <w:pPr>
        <w:spacing w:after="100"/>
        <w:jc w:val="center"/>
      </w:pPr>
      <w:r>
        <w:rPr>
          <w:rFonts w:ascii="Nanum Gothic" w:cs="Nanum Gothic" w:eastAsia="Nanum Gothic" w:hAnsi="Nanum Gothic"/>
          <w:color w:val="595959"/>
          <w:sz w:val="18"/>
          <w:szCs w:val="18"/>
        </w:rPr>
        <w:t>상담 음성을 거래 행동으로 연결하는 공인중개사 전용 AI 업무 플랫폼</w:t>
      </w:r>
    </w:p>
    <w:p>
      <w:pPr>
        <w:spacing w:after="160"/>
        <w:jc w:val="center"/>
      </w:pPr>
    </w:p>
    <w:p>
      <w:pPr>
        <w:pStyle w:val="Heading1"/>
        <w:spacing w:after="150" w:before="300"/>
      </w:pPr>
      <w:r>
        <w:rPr>
          <w:rFonts w:ascii="Nanum Gothic" w:cs="Nanum Gothic" w:eastAsia="Nanum Gothic" w:hAnsi="Nanum Gothic"/>
          <w:b/>
          <w:bCs/>
          <w:color w:val="1F3864"/>
          <w:sz w:val="30"/>
          <w:szCs w:val="30"/>
        </w:rPr>
        <w:t xml:space="preserve">1. 프로젝트 개요</w:t>
      </w:r>
    </w:p>
    <w:p>
      <w:pPr>
        <w:spacing w:after="110" w:line="295"/>
      </w:pPr>
      <w:r>
        <w:rPr>
          <w:rFonts w:ascii="Nanum Gothic" w:cs="Nanum Gothic" w:eastAsia="Nanum Gothic" w:hAnsi="Nanum Gothic"/>
          <w:sz w:val="20"/>
          <w:szCs w:val="20"/>
        </w:rPr>
        <w:t xml:space="preserve">공인중개사가 사용하는 전수 장부를 웹으로 전환하고, 상담 음성을 구조화한 뒤 분리된 매도측·매수측 에이전트가 원문 근거와 함께 매칭·재연락 행동을 제안하는 B2B SaaS다.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026"/>
      </w:tblGrid>
      <w:tr>
        <w:trPr>
          <w:tblHeader/>
        </w:trPr>
        <w:tc>
          <w:tcPr>
            <w:tcW w:type="dxa" w:w="14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구분</w:t>
            </w:r>
          </w:p>
        </w:tc>
        <w:tc>
          <w:tcPr>
            <w:tcW w:type="dxa" w:w="14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핵심 역할</w:t>
            </w:r>
          </w:p>
        </w:tc>
        <w:tc>
          <w:tcPr>
            <w:tcW w:type="dxa" w:w="22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AI</w:t>
            </w:r>
          </w:p>
        </w:tc>
        <w:tc>
          <w:tcPr>
            <w:tcW w:type="dxa" w:w="40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사용자 가치</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F1</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세대 전수 장부·손님 장부·상담 로그의 단일 데이터 원천</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기록·검색·공유</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F2</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음성메모 → STT → 장부 필드·상담 로그 초안</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Whisper + sLLM</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입력 시간 단축</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F3</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매도·매수 의도 판정, 후보 매칭, 재연락 행동 제안</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멀티 에이전트</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판단·후속 행동 지원</w:t>
            </w:r>
          </w:p>
        </w:tc>
      </w:tr>
    </w:tbl>
    <w:p>
      <w:pPr>
        <w:pStyle w:val="Heading2"/>
        <w:spacing w:after="110" w:before="220"/>
      </w:pPr>
      <w:r>
        <w:rPr>
          <w:rFonts w:ascii="Nanum Gothic" w:cs="Nanum Gothic" w:eastAsia="Nanum Gothic" w:hAnsi="Nanum Gothic"/>
          <w:b/>
          <w:bCs/>
          <w:color w:val="2E5496"/>
          <w:sz w:val="24"/>
          <w:szCs w:val="24"/>
        </w:rPr>
        <w:t xml:space="preserve">1.1 해결하려는 현장 문제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현장 문제</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현재 방식</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제공하는 해결</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기록 단절</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통화 후 장부에 다시 수기 입력</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음성메모를 구조화해 검수 후 저장</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데이터 고립</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PC 엑셀·한셀 중심의 로컬 파일</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웹 장부에서 검색·공유·이력 관리</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매칭 의존</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상담 속 의도와 양보 조건을 사람의 기억에 의존</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양측 입장을 분리 판정해 후보·근거 제시</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재연락 누락</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만기·미접촉 대상을 수동 탐색</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대상 선별과 다음 행동 제안</w:t>
            </w:r>
          </w:p>
        </w:tc>
      </w:tr>
    </w:tbl>
    <w:p>
      <w:pPr>
        <w:pStyle w:val="Heading2"/>
        <w:spacing w:after="110" w:before="220"/>
      </w:pPr>
      <w:r>
        <w:rPr>
          <w:rFonts w:ascii="Nanum Gothic" w:cs="Nanum Gothic" w:eastAsia="Nanum Gothic" w:hAnsi="Nanum Gothic"/>
          <w:b/>
          <w:bCs/>
          <w:color w:val="2E5496"/>
          <w:sz w:val="24"/>
          <w:szCs w:val="24"/>
        </w:rPr>
        <w:t xml:space="preserve">1.2 핵심 차별화</w:t>
      </w:r>
    </w:p>
    <w:p>
      <w:pPr>
        <w:pStyle w:val="ListParagraph"/>
        <w:numPr>
          <w:ilvl w:val="0"/>
          <w:numId w:val="2"/>
        </w:numPr>
        <w:spacing w:after="50" w:line="285"/>
      </w:pPr>
      <w:r>
        <w:rPr>
          <w:rFonts w:ascii="Nanum Gothic" w:cs="Nanum Gothic" w:eastAsia="Nanum Gothic" w:hAnsi="Nanum Gothic"/>
          <w:sz w:val="20"/>
          <w:szCs w:val="20"/>
        </w:rPr>
        <w:t xml:space="preserve">상담 음성 → 구조화 장부 → 양측 의도 판정 → 근거 기반 행동 제안을 하나의 흐름으로 연결한다.</w:t>
      </w:r>
    </w:p>
    <w:p>
      <w:pPr>
        <w:pStyle w:val="ListParagraph"/>
        <w:numPr>
          <w:ilvl w:val="0"/>
          <w:numId w:val="2"/>
        </w:numPr>
        <w:spacing w:after="50" w:line="285"/>
      </w:pPr>
      <w:r>
        <w:rPr>
          <w:rFonts w:ascii="Nanum Gothic" w:cs="Nanum Gothic" w:eastAsia="Nanum Gothic" w:hAnsi="Nanum Gothic"/>
          <w:sz w:val="20"/>
          <w:szCs w:val="20"/>
        </w:rPr>
        <w:t xml:space="preserve">매도측과 매수측 에이전트가 독립적으로 입장을 만들고, 중개 판정 에이전트가 후보를 붙이거나 기각한다.</w:t>
      </w:r>
    </w:p>
    <w:p>
      <w:pPr>
        <w:pStyle w:val="ListParagraph"/>
        <w:numPr>
          <w:ilvl w:val="0"/>
          <w:numId w:val="2"/>
        </w:numPr>
        <w:spacing w:after="50" w:line="285"/>
      </w:pPr>
      <w:r>
        <w:rPr>
          <w:rFonts w:ascii="Nanum Gothic" w:cs="Nanum Gothic" w:eastAsia="Nanum Gothic" w:hAnsi="Nanum Gothic"/>
          <w:sz w:val="20"/>
          <w:szCs w:val="20"/>
        </w:rPr>
        <w:t xml:space="preserve">기존 장부의 동·호·상담 로그 방식을 유지하고 데이터 이관 지원을 결합해 도입 속도를 높인다.</w:t>
      </w:r>
    </w:p>
    <w:p>
      <w:pPr>
        <w:pStyle w:val="Heading1"/>
        <w:pageBreakBefore/>
        <w:spacing w:after="150" w:before="300"/>
      </w:pPr>
      <w:r>
        <w:rPr>
          <w:rFonts w:ascii="Nanum Gothic" w:cs="Nanum Gothic" w:eastAsia="Nanum Gothic" w:hAnsi="Nanum Gothic"/>
          <w:b/>
          <w:bCs/>
          <w:color w:val="1F3864"/>
          <w:sz w:val="30"/>
          <w:szCs w:val="30"/>
        </w:rPr>
        <w:t xml:space="preserve">2. 시장조사와 경쟁 차별화</w:t>
      </w:r>
    </w:p>
    <w:p>
      <w:pPr>
        <w:spacing w:after="110" w:line="295"/>
      </w:pPr>
      <w:r>
        <w:rPr>
          <w:rFonts w:ascii="Nanum Gothic" w:cs="Nanum Gothic" w:eastAsia="Nanum Gothic" w:hAnsi="Nanum Gothic"/>
          <w:sz w:val="20"/>
          <w:szCs w:val="20"/>
        </w:rPr>
        <w:t xml:space="preserve">초기 시장은 수도권 아파트 밀집 지역의 소규모 중개사무소다. 공식 통계의 사업자 모수, 거래 접점, 아파트 비중이 제품 구조와 영업 집중 전략을 뒷받침한다.</w:t>
      </w:r>
    </w:p>
    <w:p>
      <w:pPr>
        <w:pStyle w:val="Heading2"/>
        <w:spacing w:after="110" w:before="220"/>
      </w:pPr>
      <w:r>
        <w:rPr>
          <w:rFonts w:ascii="Nanum Gothic" w:cs="Nanum Gothic" w:eastAsia="Nanum Gothic" w:hAnsi="Nanum Gothic"/>
          <w:b/>
          <w:bCs/>
          <w:color w:val="2E5496"/>
          <w:sz w:val="24"/>
          <w:szCs w:val="24"/>
        </w:rPr>
        <w:t xml:space="preserve">2.1 핵심 시장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지표</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수치</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기획 반영</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개업공인중개사 등록 수</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108,319 (2026년 2분기)</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전국 B2B 계정 모수</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수도권 등록 수</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61,789 · 전국의 57.0%</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초기 지역 영업의 집중 기반</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2025년 주택 거래·계약 접점</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3,517,906건</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반복 기록·재연락 업무의 기반</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아파트 매매 비중</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570,490건 · 매매의 78.6%</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아파트 전수 장부 중심 MVP</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월세 비중</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63.0% · 전년 대비 +5.4%p</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만기·조건변경·재연락 관리 강화</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전자계약 조사</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경험 56.3% · 만족도 2.79/5</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익숙한 흐름·검수·이관 지원 중심 설계</w:t>
            </w:r>
          </w:p>
        </w:tc>
      </w:tr>
    </w:tbl>
    <w:p>
      <w:pPr>
        <w:pStyle w:val="Heading2"/>
        <w:spacing w:after="110" w:before="220"/>
      </w:pPr>
      <w:r>
        <w:rPr>
          <w:rFonts w:ascii="Nanum Gothic" w:cs="Nanum Gothic" w:eastAsia="Nanum Gothic" w:hAnsi="Nanum Gothic"/>
          <w:b/>
          <w:bCs/>
          <w:color w:val="2E5496"/>
          <w:sz w:val="24"/>
          <w:szCs w:val="24"/>
        </w:rPr>
        <w:t xml:space="preserve">2.2 경쟁 지형과 포지셔닝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경쟁 영역</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대표 서비스</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본 서비스의 포지셔닝</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협회 표준 접점</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한방</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기존 계약·매물 흐름과 호환 가능한 장부 연결</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중개사 업무 SaaS</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이실장</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상담 원문에서 양측 의도와 다음 행동까지 연결</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장부·공부 조회</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부동산의 신 Biz · 잇프로</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음성 입력과 근거형 멀티 에이전트 판정에 집중</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범용 통화 AI</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에이닷 등</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통화 요약을 장부 필드·매칭·재연락으로 전환</w:t>
            </w:r>
          </w:p>
        </w:tc>
      </w:tr>
    </w:tbl>
    <w:p>
      <w:pPr>
        <w:pStyle w:val="Heading2"/>
        <w:spacing w:after="110" w:before="220"/>
      </w:pPr>
      <w:r>
        <w:rPr>
          <w:rFonts w:ascii="Nanum Gothic" w:cs="Nanum Gothic" w:eastAsia="Nanum Gothic" w:hAnsi="Nanum Gothic"/>
          <w:b/>
          <w:bCs/>
          <w:color w:val="2E5496"/>
          <w:sz w:val="24"/>
          <w:szCs w:val="24"/>
        </w:rPr>
        <w:t xml:space="preserve">2.3 선택할 이유</w:t>
      </w:r>
    </w:p>
    <w:p>
      <w:pPr>
        <w:pStyle w:val="ListParagraph"/>
        <w:numPr>
          <w:ilvl w:val="0"/>
          <w:numId w:val="2"/>
        </w:numPr>
        <w:spacing w:after="50" w:line="285"/>
      </w:pPr>
      <w:r>
        <w:rPr>
          <w:rFonts w:ascii="Nanum Gothic" w:cs="Nanum Gothic" w:eastAsia="Nanum Gothic" w:hAnsi="Nanum Gothic"/>
          <w:sz w:val="20"/>
          <w:szCs w:val="20"/>
        </w:rPr>
        <w:t xml:space="preserve">전수 세대 장부와 상담 이력을 하나의 자산으로 축적한다.</w:t>
      </w:r>
    </w:p>
    <w:p>
      <w:pPr>
        <w:pStyle w:val="ListParagraph"/>
        <w:numPr>
          <w:ilvl w:val="0"/>
          <w:numId w:val="2"/>
        </w:numPr>
        <w:spacing w:after="50" w:line="285"/>
      </w:pPr>
      <w:r>
        <w:rPr>
          <w:rFonts w:ascii="Nanum Gothic" w:cs="Nanum Gothic" w:eastAsia="Nanum Gothic" w:hAnsi="Nanum Gothic"/>
          <w:sz w:val="20"/>
          <w:szCs w:val="20"/>
        </w:rPr>
        <w:t xml:space="preserve">AI가 제안한 값과 판단 근거를 사용자가 확인한 뒤 저장한다.</w:t>
      </w:r>
    </w:p>
    <w:p>
      <w:pPr>
        <w:pStyle w:val="ListParagraph"/>
        <w:numPr>
          <w:ilvl w:val="0"/>
          <w:numId w:val="2"/>
        </w:numPr>
        <w:spacing w:after="50" w:line="285"/>
      </w:pPr>
      <w:r>
        <w:rPr>
          <w:rFonts w:ascii="Nanum Gothic" w:cs="Nanum Gothic" w:eastAsia="Nanum Gothic" w:hAnsi="Nanum Gothic"/>
          <w:sz w:val="20"/>
          <w:szCs w:val="20"/>
        </w:rPr>
        <w:t xml:space="preserve">기능 수보다 이관 성공률, 제안 행동률, 실제 절감시간으로 경쟁력을 증명한다.</w:t>
      </w:r>
    </w:p>
    <w:p>
      <w:pPr>
        <w:pStyle w:val="Heading1"/>
        <w:pageBreakBefore/>
        <w:spacing w:after="150" w:before="300"/>
      </w:pPr>
      <w:r>
        <w:rPr>
          <w:rFonts w:ascii="Nanum Gothic" w:cs="Nanum Gothic" w:eastAsia="Nanum Gothic" w:hAnsi="Nanum Gothic"/>
          <w:b/>
          <w:bCs/>
          <w:color w:val="1F3864"/>
          <w:sz w:val="30"/>
          <w:szCs w:val="30"/>
        </w:rPr>
        <w:t xml:space="preserve">3. 시스템·모델링·데이터 계획</w:t>
      </w:r>
    </w:p>
    <w:p>
      <w:pPr>
        <w:spacing w:after="110" w:line="295"/>
      </w:pPr>
      <w:r>
        <w:rPr>
          <w:rFonts w:ascii="Nanum Gothic" w:cs="Nanum Gothic" w:eastAsia="Nanum Gothic" w:hAnsi="Nanum Gothic"/>
          <w:sz w:val="20"/>
          <w:szCs w:val="20"/>
        </w:rPr>
        <w:t xml:space="preserve">F1이 데이터의 단일 원천이 되고 F2와 F3는 F1을 통해 연결된다. 기록 자동화와 판단 지원을 분리해 데이터 일관성과 실행 추적성을 확보한다.</w:t>
      </w:r>
    </w:p>
    <w:p>
      <w:pPr>
        <w:pStyle w:val="Heading2"/>
        <w:spacing w:after="110" w:before="220"/>
      </w:pPr>
      <w:r>
        <w:rPr>
          <w:rFonts w:ascii="Nanum Gothic" w:cs="Nanum Gothic" w:eastAsia="Nanum Gothic" w:hAnsi="Nanum Gothic"/>
          <w:b/>
          <w:bCs/>
          <w:color w:val="2E5496"/>
          <w:sz w:val="24"/>
          <w:szCs w:val="24"/>
        </w:rPr>
        <w:t xml:space="preserve">3.1 멀티 에이전트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026"/>
      </w:tblGrid>
      <w:tr>
        <w:trPr>
          <w:tblHeader/>
        </w:trPr>
        <w:tc>
          <w:tcPr>
            <w:tcW w:type="dxa" w:w="14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에이전트</w:t>
            </w:r>
          </w:p>
        </w:tc>
        <w:tc>
          <w:tcPr>
            <w:tcW w:type="dxa" w:w="14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입력</w:t>
            </w:r>
          </w:p>
        </w:tc>
        <w:tc>
          <w:tcPr>
            <w:tcW w:type="dxa" w:w="22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출력</w:t>
            </w:r>
          </w:p>
        </w:tc>
        <w:tc>
          <w:tcPr>
            <w:tcW w:type="dxa" w:w="40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핵심 원칙</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매도측 대리</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세대 정보 + 매도 상담 로그</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시급도·수용가격·명도조건 포지션</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매수 손님 정보와 분리</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매수측 대리</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손님 조건 + 매수 상담 로그</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예산상한·시기·양보조건 포지션</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매물 정보와 분리</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중개 판정</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양측 포지션 + 조건 후보</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등급·걸림돌·양보지점·다음 행동</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근거 원문과 기각 사유 제시</w:t>
            </w:r>
          </w:p>
        </w:tc>
      </w:tr>
    </w:tbl>
    <w:p>
      <w:pPr>
        <w:pStyle w:val="Heading2"/>
        <w:spacing w:after="110" w:before="220"/>
      </w:pPr>
      <w:r>
        <w:rPr>
          <w:rFonts w:ascii="Nanum Gothic" w:cs="Nanum Gothic" w:eastAsia="Nanum Gothic" w:hAnsi="Nanum Gothic"/>
          <w:b/>
          <w:bCs/>
          <w:color w:val="2E5496"/>
          <w:sz w:val="24"/>
          <w:szCs w:val="24"/>
        </w:rPr>
        <w:t>3.2 모델링과 검증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대상</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현재 개발 기준</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검증 기준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F2 상담유형 분류</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합성 대화 1,000건 · 4유형 각 250건</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사람 검수·source_group_id 분할 후 macro F1과 클래스별 지표 비교</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F2 슬롯·요약·STT</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목표 스키마와 검수 절차를 분류 데이터와 분리</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슬롯 근거 구간·사람 전사 골드 완성 후 정확도·CER/WER 평가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F3 규칙·회귀</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합성 A군 13케이스</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후보 게이트·기각 사유·캐시·화자 규칙 회귀 검증</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F3 품질 비교</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현업 판정 20케이스 구축</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동일 조건에서 단일 프롬프트와 멀티 에이전트 블라인드 비교</w:t>
            </w:r>
          </w:p>
        </w:tc>
      </w:tr>
    </w:tbl>
    <w:p>
      <w:pPr>
        <w:pStyle w:val="Heading2"/>
        <w:spacing w:after="110" w:before="220"/>
      </w:pPr>
      <w:r>
        <w:rPr>
          <w:rFonts w:ascii="Nanum Gothic" w:cs="Nanum Gothic" w:eastAsia="Nanum Gothic" w:hAnsi="Nanum Gothic"/>
          <w:b/>
          <w:bCs/>
          <w:color w:val="2E5496"/>
          <w:sz w:val="24"/>
          <w:szCs w:val="24"/>
        </w:rPr>
        <w:t>3.3 데이터 현황과 수집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데이터</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현재 규모·출처</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활용</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F1 가명 DB 시드</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7,200세대 · 상담로그 11,627건 / db/seed.py</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DB 정합성·그리드·쿼리 성능</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F2 주 합성 분류셋</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1,000건 · 4유형 각 250건 / data/f2_llm/working</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상담유형 분류 학습·검수·분할 기준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합성 상담로그</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500행 · 52세대 · 9유형 / 04_조사자료/합성상담로그</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로그 파서·표기 규칙·F3 배경 데이터</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F3 합성 회귀 픽스처</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매물 20 · 손님 6 · 상호작용 188 · A군 13케이스</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규칙·쿼리·캐시·화자 처리 회귀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확장 골드셋</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F2 슬롯·음성 및 F3 현업 판정을 현재 개발셋과 분리 구축</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현업 품질 평가와 모델 비교의 고정 테스트셋</w:t>
            </w:r>
          </w:p>
        </w:tc>
      </w:tr>
    </w:tbl>
    <w:p>
      <w:pPr>
        <w:spacing w:after="110" w:line="295"/>
      </w:pPr>
      <w:r>
        <w:rPr>
          <w:rFonts w:ascii="Nanum Gothic" w:cs="Nanum Gothic" w:eastAsia="Nanum Gothic" w:hAnsi="Nanum Gothic"/>
          <w:sz w:val="20"/>
          <w:szCs w:val="20"/>
        </w:rPr>
        <w:t>현재 확보한 합성·가명 데이터를 구현과 회귀 검증에 사용하고, 사람 검수형 분류·슬롯·음성·현업 판정 골드는 단계적으로 분리 구축한다. 데이터 총괄 정민규가 파일 목록, manifest, 체크섬, 그룹 분할과 검수 결과를 관리하며, 최종 평가는 고정 테스트셋에서 수행한다.</w:t>
      </w:r>
    </w:p>
    <w:p>
      <w:pPr>
        <w:pStyle w:val="Heading1"/>
        <w:pageBreakBefore/>
        <w:spacing w:after="150" w:before="300"/>
      </w:pPr>
      <w:r>
        <w:rPr>
          <w:rFonts w:ascii="Nanum Gothic" w:cs="Nanum Gothic" w:eastAsia="Nanum Gothic" w:hAnsi="Nanum Gothic"/>
          <w:b/>
          <w:bCs/>
          <w:color w:val="1F3864"/>
          <w:sz w:val="30"/>
          <w:szCs w:val="30"/>
        </w:rPr>
        <w:t xml:space="preserve">4. 비즈니스 모델과 검증 계획</w:t>
      </w:r>
    </w:p>
    <w:p>
      <w:pPr>
        <w:pStyle w:val="Heading2"/>
        <w:spacing w:after="110" w:before="220"/>
      </w:pPr>
      <w:r>
        <w:rPr>
          <w:rFonts w:ascii="Nanum Gothic" w:cs="Nanum Gothic" w:eastAsia="Nanum Gothic" w:hAnsi="Nanum Gothic"/>
          <w:b/>
          <w:bCs/>
          <w:color w:val="2E5496"/>
          <w:sz w:val="24"/>
          <w:szCs w:val="24"/>
        </w:rPr>
        <w:t xml:space="preserve">4.1 요금제와 시장 규모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026"/>
      </w:tblGrid>
      <w:tr>
        <w:trPr>
          <w:tblHeader/>
        </w:trPr>
        <w:tc>
          <w:tcPr>
            <w:tcW w:type="dxa" w:w="14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요금제</w:t>
            </w:r>
          </w:p>
        </w:tc>
        <w:tc>
          <w:tcPr>
            <w:tcW w:type="dxa" w:w="14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월 요금</w:t>
            </w:r>
          </w:p>
        </w:tc>
        <w:tc>
          <w:tcPr>
            <w:tcW w:type="dxa" w:w="22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대상</w:t>
            </w:r>
          </w:p>
        </w:tc>
        <w:tc>
          <w:tcPr>
            <w:tcW w:type="dxa" w:w="40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포함 범위</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Basic</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29,000원</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1인 사무소</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F1 + F2 · 좌석 1</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Pro</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49,000원</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직원 보유 사무소</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F1 + F2 + F3 · 좌석 2</w:t>
            </w:r>
          </w:p>
        </w:tc>
      </w:tr>
      <w:tr>
        <w:trPr>
          <w:tblHeader w:val="false"/>
        </w:trPr>
        <w:tc>
          <w:tcPr>
            <w:tcW w:type="dxa" w:w="14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Enterprise</w:t>
            </w:r>
          </w:p>
        </w:tc>
        <w:tc>
          <w:tcPr>
            <w:tcW w:type="dxa" w:w="1400"/>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sz w:val="18"/>
                <w:szCs w:val="18"/>
              </w:rPr>
              <w:t>별도 협의</w:t>
            </w:r>
          </w:p>
        </w:tc>
        <w:tc>
          <w:tcPr>
            <w:tcW w:type="dxa" w:w="22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프랜차이즈·법인</w:t>
            </w:r>
          </w:p>
        </w:tc>
        <w:tc>
          <w:tcPr>
            <w:tcW w:type="dxa" w:w="40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지점 공유·전용 배포·교육·이관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구분</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연간 규모</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산정</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TAM</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454.94억 원</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전국 108,319 × 혼합 ARPA 35,000원 × 12</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SAM</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259.51억 원</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수도권 61,789 × 혼합 ARPA 35,000원 × 12</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SOM</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100곳 0.42억 · 1,000곳 4.2억 · 3,000곳 12.6억</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유료 파일럿 → 지역 레퍼런스 → 프랜차이즈 확장</w:t>
            </w:r>
          </w:p>
        </w:tc>
      </w:tr>
    </w:tbl>
    <w:p>
      <w:pPr>
        <w:pStyle w:val="Heading2"/>
        <w:spacing w:after="110" w:before="220"/>
      </w:pPr>
      <w:r>
        <w:rPr>
          <w:rFonts w:ascii="Nanum Gothic" w:cs="Nanum Gothic" w:eastAsia="Nanum Gothic" w:hAnsi="Nanum Gothic"/>
          <w:b/>
          <w:bCs/>
          <w:color w:val="2E5496"/>
          <w:sz w:val="24"/>
          <w:szCs w:val="24"/>
        </w:rPr>
        <w:t xml:space="preserve">4.2 가격 가치와 단위경제성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지표</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목표</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기준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보수적 시간가치</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월 5시간 = 51,600원</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2026년 최저임금 10,320원</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요금 손익분기</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Basic 2.8시간 · Pro 4.7시간</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월 요금 ÷ 시간급</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매출총이익률</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70% 이상</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계정별 STT·LLM·문자·스토리지 원가 관리</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CAC 회수기간</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12개월 이내</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채널별 영업비와 공헌이익 기준</w:t>
            </w:r>
          </w:p>
        </w:tc>
      </w:tr>
    </w:tbl>
    <w:p>
      <w:pPr>
        <w:pStyle w:val="Heading2"/>
        <w:spacing w:after="110" w:before="220"/>
      </w:pPr>
      <w:r>
        <w:rPr>
          <w:rFonts w:ascii="Nanum Gothic" w:cs="Nanum Gothic" w:eastAsia="Nanum Gothic" w:hAnsi="Nanum Gothic"/>
          <w:b/>
          <w:bCs/>
          <w:color w:val="2E5496"/>
          <w:sz w:val="24"/>
          <w:szCs w:val="24"/>
        </w:rPr>
        <w:t xml:space="preserve">4.3 유료 파일럿 합격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영역</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핵심 지표</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합격 기준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활성화</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7일 내 장부 이관·음성입력</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장부 100건 + 음성입력 10건</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사용</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주간 활성 사무소율</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60% 이상</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AI 활용</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제안 슬롯 수용률 / 매칭 행동률</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80% 이상 / 20% 이상</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효과</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실제 절감시간 중앙값</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월 5시간 이상</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사업성</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유료 전환 / 90일 유지</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30% 이상 / 80% 이상</w:t>
            </w:r>
          </w:p>
        </w:tc>
      </w:tr>
    </w:tbl>
    <w:p>
      <w:pPr>
        <w:pStyle w:val="Heading2"/>
        <w:spacing w:after="110" w:before="220"/>
      </w:pPr>
      <w:r>
        <w:rPr>
          <w:rFonts w:ascii="Nanum Gothic" w:cs="Nanum Gothic" w:eastAsia="Nanum Gothic" w:hAnsi="Nanum Gothic"/>
          <w:b/>
          <w:bCs/>
          <w:color w:val="2E5496"/>
          <w:sz w:val="24"/>
          <w:szCs w:val="24"/>
        </w:rPr>
        <w:t xml:space="preserve">4.4 실행 순서</w:t>
      </w:r>
    </w:p>
    <w:p>
      <w:pPr>
        <w:spacing w:after="110" w:line="295"/>
      </w:pPr>
      <w:r>
        <w:rPr>
          <w:rFonts w:ascii="Nanum Gothic" w:cs="Nanum Gothic" w:eastAsia="Nanum Gothic" w:hAnsi="Nanum Gothic"/>
          <w:sz w:val="20"/>
          <w:szCs w:val="20"/>
        </w:rPr>
        <w:t xml:space="preserve">30~50곳 층화 조사 → 5~10곳 사용성 검증 → 10~20곳 유료 파일럿 → 지역·프랜차이즈 영업 확장</w:t>
      </w:r>
    </w:p>
    <w:p>
      <w:pPr>
        <w:pStyle w:val="Heading2"/>
        <w:spacing w:after="110" w:before="220"/>
      </w:pPr>
      <w:r>
        <w:rPr>
          <w:rFonts w:ascii="Nanum Gothic" w:cs="Nanum Gothic" w:eastAsia="Nanum Gothic" w:hAnsi="Nanum Gothic"/>
          <w:b/>
          <w:bCs/>
          <w:color w:val="2E5496"/>
          <w:sz w:val="24"/>
          <w:szCs w:val="24"/>
        </w:rPr>
        <w:t xml:space="preserve">주요 출처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근거</w:t>
            </w:r>
          </w:p>
        </w:tc>
        <w:tc>
          <w:tcPr>
            <w:tcW w:type="dxa" w:w="3600"/>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핵심 출처</w:t>
            </w:r>
          </w:p>
        </w:tc>
        <w:tc>
          <w:tcPr>
            <w:tcW w:type="dxa" w:w="3726"/>
            <w:shd w:fill="DCE6F1" w:color="auto" w:val="clear"/>
            <w:tcMar>
              <w:top w:type="dxa" w:w="50"/>
              <w:left w:type="dxa" w:w="85"/>
              <w:bottom w:type="dxa" w:w="58"/>
              <w:right w:type="dxa" w:w="90"/>
            </w:tcMar>
            <w:vAlign w:val="center"/>
          </w:tcPr>
          <w:p>
            <w:pPr>
              <w:spacing w:after="0" w:line="258"/>
              <w:jc w:val="center"/>
            </w:pPr>
            <w:r>
              <w:rPr>
                <w:rFonts w:ascii="Nanum Gothic" w:hAnsi="Nanum Gothic" w:eastAsia="Nanum Gothic" w:cs="Nanum Gothic"/>
              </w:rPr>
            </w:r>
            <w:r>
              <w:rPr>
                <w:rFonts w:ascii="Nanum Gothic" w:cs="Nanum Gothic" w:eastAsia="Nanum Gothic" w:hAnsi="Nanum Gothic"/>
                <w:b/>
                <w:bCs/>
                <w:sz w:val="18"/>
                <w:szCs w:val="18"/>
              </w:rPr>
              <w:t>기준</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시장 모수</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국토교통부 통계누리 「개업공인중개사 현황」</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2026년 2분기</w:t>
            </w:r>
          </w:p>
        </w:tc>
      </w:tr>
      <w:tr>
        <w:trPr>
          <w:tblHeader w:val="false"/>
        </w:trPr>
        <w:tc>
          <w:tcPr>
            <w:tcW w:type="dxa" w:w="17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거래·도입·가격</w:t>
            </w:r>
          </w:p>
        </w:tc>
        <w:tc>
          <w:tcPr>
            <w:tcW w:type="dxa" w:w="3600"/>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국토교통부 「2025년 12월 주택통계」 · 한국형사·법무정책연구원 전자계약 실증 연구 · 경쟁 서비스 공식 페이지 · 최저임금위원회</w:t>
            </w:r>
          </w:p>
        </w:tc>
        <w:tc>
          <w:tcPr>
            <w:tcW w:type="dxa" w:w="3726"/>
            <w:tcMar>
              <w:top w:type="dxa" w:w="50"/>
              <w:left w:type="dxa" w:w="85"/>
              <w:bottom w:type="dxa" w:w="58"/>
              <w:right w:type="dxa" w:w="90"/>
            </w:tcMar>
            <w:vAlign w:val="center"/>
          </w:tcPr>
          <w:p>
            <w:pPr>
              <w:spacing w:after="0" w:line="258"/>
            </w:pPr>
            <w:r>
              <w:rPr>
                <w:rFonts w:ascii="Nanum Gothic" w:hAnsi="Nanum Gothic" w:eastAsia="Nanum Gothic" w:cs="Nanum Gothic"/>
              </w:rPr>
            </w:r>
            <w:r>
              <w:rPr>
                <w:rFonts w:ascii="Nanum Gothic" w:cs="Nanum Gothic" w:eastAsia="Nanum Gothic" w:hAnsi="Nanum Gothic"/>
                <w:sz w:val="18"/>
                <w:szCs w:val="18"/>
              </w:rPr>
              <w:t>2025년 연간 · 공인중개사 208명 · 시간급 10,320원</w:t>
            </w:r>
          </w:p>
        </w:tc>
      </w:tr>
    </w:tbl>
    <w:sectPr>
      <w:footerReference w:type="default" r:id="rId7"/>
      <w:headerReference w:type="default" r:id="rId9"/>
      <w:headerReference w:type="first" r:id="rId10"/>
      <w:headerReference w:type="even" r:id="rId11"/>
      <w:footerReference w:type="first" r:id="rId12"/>
      <w:footerReference w:type="even"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Nanum Gothic">
    <w:embedRegular w:fontKey="{00000000-0000-0000-0000-000000000000}" r:id="rId1" w:subsetted="0"/>
    <w:embedBold w:fontKey="{00000000-0000-0000-0000-000000000000}" r:id="rId2"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 Gothic" w:cs="Nanum Gothic" w:eastAsia="Nanum Gothic" w:hAnsi="Nanum Gothic"/>
        <w:color w:val="808080"/>
        <w:sz w:val="16"/>
        <w:szCs w:val="16"/>
      </w:rPr>
      <w:t xml:space="preserve">- </w:t>
      <w:fldChar w:fldCharType="begin"/>
      <w:instrText xml:space="preserve">PAGE</w:instrText>
      <w:fldChar w:fldCharType="separate"/>
      <w:fldChar w:fldCharType="end"/>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rFonts w:ascii="Nanum Gothic" w:hAnsi="Nanum Gothic" w:eastAsia="Nanum Gothic" w:cs="Nanum Gothic"/>
      <w:sz w:val="56"/>
      <w:szCs w:val="56"/>
    </w:rPr>
  </w:style>
  <w:style w:type="paragraph" w:styleId="Heading1">
    <w:name w:val="Heading 1"/>
    <w:basedOn w:val="Normal"/>
    <w:next w:val="Normal"/>
    <w:qFormat/>
    <w:rPr>
      <w:rFonts w:ascii="Nanum Gothic" w:hAnsi="Nanum Gothic" w:eastAsia="Nanum Gothic" w:cs="Nanum Gothic"/>
      <w:color w:val="2E74B5"/>
      <w:sz w:val="32"/>
      <w:szCs w:val="32"/>
    </w:rPr>
  </w:style>
  <w:style w:type="paragraph" w:styleId="Heading2">
    <w:name w:val="Heading 2"/>
    <w:basedOn w:val="Normal"/>
    <w:next w:val="Normal"/>
    <w:qFormat/>
    <w:rPr>
      <w:rFonts w:ascii="Nanum Gothic" w:hAnsi="Nanum Gothic" w:eastAsia="Nanum Gothic" w:cs="Nanum Gothic"/>
      <w:color w:val="2E74B5"/>
      <w:sz w:val="26"/>
      <w:szCs w:val="26"/>
    </w:rPr>
  </w:style>
  <w:style w:type="paragraph" w:styleId="Heading3">
    <w:name w:val="Heading 3"/>
    <w:basedOn w:val="Normal"/>
    <w:next w:val="Normal"/>
    <w:qFormat/>
    <w:rPr>
      <w:rFonts w:ascii="Nanum Gothic" w:hAnsi="Nanum Gothic" w:eastAsia="Nanum Gothic" w:cs="Nanum Gothic"/>
      <w:color w:val="1F4D78"/>
      <w:sz w:val="24"/>
      <w:szCs w:val="24"/>
    </w:rPr>
  </w:style>
  <w:style w:type="paragraph" w:styleId="Heading4">
    <w:name w:val="Heading 4"/>
    <w:basedOn w:val="Normal"/>
    <w:next w:val="Normal"/>
    <w:qFormat/>
    <w:rPr>
      <w:rFonts w:ascii="Nanum Gothic" w:hAnsi="Nanum Gothic" w:eastAsia="Nanum Gothic" w:cs="Nanum Gothic"/>
      <w:i/>
      <w:iCs/>
      <w:color w:val="2E74B5"/>
    </w:rPr>
  </w:style>
  <w:style w:type="paragraph" w:styleId="Heading5">
    <w:name w:val="Heading 5"/>
    <w:basedOn w:val="Normal"/>
    <w:next w:val="Normal"/>
    <w:qFormat/>
    <w:rPr>
      <w:rFonts w:ascii="Nanum Gothic" w:hAnsi="Nanum Gothic" w:eastAsia="Nanum Gothic" w:cs="Nanum Gothic"/>
      <w:color w:val="2E74B5"/>
    </w:rPr>
  </w:style>
  <w:style w:type="paragraph" w:styleId="Heading6">
    <w:name w:val="Heading 6"/>
    <w:basedOn w:val="Normal"/>
    <w:next w:val="Normal"/>
    <w:qFormat/>
    <w:rPr>
      <w:rFonts w:ascii="Nanum Gothic" w:hAnsi="Nanum Gothic" w:eastAsia="Nanum Gothic" w:cs="Nanum Gothic"/>
      <w:color w:val="1F4D78"/>
    </w:rPr>
  </w:style>
  <w:style w:type="paragraph" w:styleId="Strong">
    <w:name w:val="Strong"/>
    <w:basedOn w:val="Normal"/>
    <w:next w:val="Normal"/>
    <w:qFormat/>
    <w:rPr>
      <w:rFonts w:ascii="Nanum Gothic" w:hAnsi="Nanum Gothic" w:eastAsia="Nanum Gothic" w:cs="Nanum Gothic"/>
      <w:b/>
      <w:bCs/>
    </w:rPr>
  </w:style>
  <w:style w:type="paragraph" w:styleId="ListParagraph">
    <w:name w:val="List Paragraph"/>
    <w:basedOn w:val="Normal"/>
    <w:qFormat/>
    <w:rPr>
      <w:rFonts w:ascii="Nanum Gothic" w:hAnsi="Nanum Gothic" w:eastAsia="Nanum Gothic" w:cs="Nanum Gothic"/>
    </w:rPr>
  </w:style>
  <w:style w:type="character" w:styleId="Hyperlink">
    <w:name w:val="Hyperlink"/>
    <w:basedOn w:val="DefaultParagraphFont"/>
    <w:uiPriority w:val="99"/>
    <w:unhideWhenUsed/>
    <w:rPr>
      <w:rFonts w:ascii="Nanum Gothic" w:hAnsi="Nanum Gothic" w:eastAsia="Nanum Gothic" w:cs="Nanum Gothic"/>
      <w:color w:val="0563C1"/>
      <w:u w:val="single"/>
    </w:rPr>
  </w:style>
  <w:style w:type="character" w:styleId="FootnoteReference">
    <w:name w:val="footnote reference"/>
    <w:basedOn w:val="DefaultParagraphFont"/>
    <w:uiPriority w:val="99"/>
    <w:semiHidden/>
    <w:unhideWhenUsed/>
    <w:rPr>
      <w:rFonts w:ascii="Nanum Gothic" w:hAnsi="Nanum Gothic" w:eastAsia="Nanum Gothic" w:cs="Nanum Gothic"/>
      <w:vertAlign w:val="superscript"/>
    </w:rPr>
  </w:style>
  <w:style w:type="paragraph" w:styleId="FootnoteText">
    <w:name w:val="footnote text"/>
    <w:basedOn w:val="Normal"/>
    <w:link w:val="FootnoteTextChar"/>
    <w:uiPriority w:val="99"/>
    <w:semiHidden/>
    <w:unhideWhenUsed/>
    <w:pPr>
      <w:spacing w:after="0" w:line="240" w:lineRule="auto"/>
    </w:pPr>
    <w:rPr>
      <w:rFonts w:ascii="Nanum Gothic" w:hAnsi="Nanum Gothic" w:eastAsia="Nanum Gothic" w:cs="Nanum Gothic"/>
      <w:sz w:val="20"/>
      <w:szCs w:val="20"/>
    </w:rPr>
  </w:style>
  <w:style w:type="character" w:styleId="FootnoteTextChar">
    <w:name w:val="Footnote Text Char"/>
    <w:basedOn w:val="DefaultParagraphFont"/>
    <w:link w:val="FootnoteText"/>
    <w:uiPriority w:val="99"/>
    <w:semiHidden/>
    <w:unhideWhenUsed/>
    <w:rPr>
      <w:rFonts w:ascii="Nanum Gothic" w:hAnsi="Nanum Gothic" w:eastAsia="Nanum Gothic" w:cs="Nanum Gothic"/>
      <w:sz w:val="20"/>
      <w:szCs w:val="20"/>
    </w:rPr>
  </w:style>
  <w:style w:type="character" w:styleId="EndnoteReference">
    <w:name w:val="endnote reference"/>
    <w:basedOn w:val="DefaultParagraphFont"/>
    <w:uiPriority w:val="99"/>
    <w:semiHidden/>
    <w:unhideWhenUsed/>
    <w:rPr>
      <w:rFonts w:ascii="Nanum Gothic" w:hAnsi="Nanum Gothic" w:eastAsia="Nanum Gothic" w:cs="Nanum Gothic"/>
      <w:vertAlign w:val="superscript"/>
    </w:rPr>
  </w:style>
  <w:style w:type="paragraph" w:styleId="EndnoteText">
    <w:name w:val="endnote text"/>
    <w:basedOn w:val="Normal"/>
    <w:link w:val="EndnoteTextChar"/>
    <w:uiPriority w:val="99"/>
    <w:semiHidden/>
    <w:unhideWhenUsed/>
    <w:pPr>
      <w:spacing w:after="0" w:line="240" w:lineRule="auto"/>
    </w:pPr>
    <w:rPr>
      <w:rFonts w:ascii="Nanum Gothic" w:hAnsi="Nanum Gothic" w:eastAsia="Nanum Gothic" w:cs="Nanum Gothic"/>
      <w:sz w:val="20"/>
      <w:szCs w:val="20"/>
    </w:rPr>
  </w:style>
  <w:style w:type="character" w:styleId="EndnoteTextChar">
    <w:name w:val="Endnote Text Char"/>
    <w:basedOn w:val="DefaultParagraphFont"/>
    <w:link w:val="EndnoteText"/>
    <w:uiPriority w:val="99"/>
    <w:semiHidden/>
    <w:unhideWhenUsed/>
    <w:rPr>
      <w:rFonts w:ascii="Nanum Gothic" w:hAnsi="Nanum Gothic" w:eastAsia="Nanum Gothic" w:cs="Nanum Gothic"/>
      <w:sz w:val="20"/>
      <w:szCs w:val="20"/>
    </w:rPr>
  </w:style>
  <w:style w:type="paragraph" w:styleId="Heading1">
    <w:name w:val="Heading 1"/>
    <w:basedOn w:val="Normal"/>
    <w:next w:val="Normal"/>
    <w:qFormat/>
    <w:rPr>
      <w:rFonts w:ascii="Nanum Gothic" w:cs="Nanum Gothic" w:eastAsia="Nanum Gothic" w:hAnsi="Nanum Gothic"/>
      <w:b/>
      <w:bCs/>
      <w:color w:val="1F3864"/>
      <w:sz w:val="30"/>
      <w:szCs w:val="30"/>
    </w:rPr>
  </w:style>
  <w:style w:type="paragraph" w:styleId="Heading2">
    <w:name w:val="Heading 2"/>
    <w:basedOn w:val="Normal"/>
    <w:next w:val="Normal"/>
    <w:qFormat/>
    <w:rPr>
      <w:rFonts w:ascii="Nanum Gothic" w:cs="Nanum Gothic" w:eastAsia="Nanum Gothic" w:hAnsi="Nanum Gothic"/>
      <w:b/>
      <w:bCs/>
      <w:color w:val="2E5496"/>
      <w:sz w:val="24"/>
      <w:szCs w:val="24"/>
    </w:rPr>
  </w:style>
  <w:style w:type="paragraph" w:styleId="Heading3">
    <w:name w:val="Heading 3"/>
    <w:basedOn w:val="Normal"/>
    <w:next w:val="Normal"/>
    <w:qFormat/>
    <w:rPr>
      <w:rFonts w:ascii="Nanum Gothic" w:cs="Nanum Gothic" w:eastAsia="Nanum Gothic" w:hAnsi="Nanum Gothic"/>
      <w:b/>
      <w:bCs/>
      <w:color w:val="333333"/>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SKN30 3팀</dc:creator>
  <cp:lastModifiedBy>SKN30 3팀</cp:lastModifiedBy>
  <cp:revision>1</cp:revision>
  <dcterms:created xsi:type="dcterms:W3CDTF">2026-08-13T02:13:47.947Z</dcterms:created>
  <dcterms:modified xsi:type="dcterms:W3CDTF">2026-08-21T18:30:00Z</dcterms:modified>
  <dc:title>멀티 에이전트 기반 공인중개사 업무 지원 플랫폼 - 제출용 기획서</dc:title>
  <dc:subject>프로젝트 개요, 시장·BM, 시스템, 데이터 및 검증 계획</dc:subject>
  <dc:description/>
  <cp:version/>
</cp:coreProperties>
</file>

<file path=docProps/custom.xml><?xml version="1.0" encoding="utf-8"?>
<Properties xmlns="http://schemas.openxmlformats.org/officeDocument/2006/custom-properties" xmlns:vt="http://schemas.openxmlformats.org/officeDocument/2006/docPropsVTypes"/>
</file>