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CopyLane · 판정 코어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C1C1F"/>
          <w:sz w:val="40"/>
          <w:szCs w:val="40"/>
        </w:rPr>
        <w:t xml:space="preserve">문구 검수(판정)용 인코더 파인튜닝 기획서</w:t>
      </w:r>
    </w:p>
    <w:p>
      <w:pPr>
        <w:spacing w:after="40"/>
      </w:pPr>
      <w:r>
        <w:rPr>
          <w:rFonts w:ascii="맑은 고딕" w:cs="맑은 고딕" w:eastAsia="맑은 고딕" w:hAnsi="맑은 고딕"/>
          <w:i/>
          <w:iCs/>
          <w:color w:val="6B6B70"/>
          <w:sz w:val="22"/>
          <w:szCs w:val="22"/>
        </w:rPr>
        <w:t xml:space="preserve">— 초안 (v0)</w:t>
      </w:r>
    </w:p>
    <w:p>
      <w:pPr>
        <w:spacing w:after="300"/>
      </w:pPr>
      <w:r>
        <w:rPr>
          <w:rFonts w:ascii="맑은 고딕" w:cs="맑은 고딕" w:eastAsia="맑은 고딕" w:hAnsi="맑은 고딕"/>
          <w:color w:val="6B6B70"/>
          <w:sz w:val="16"/>
          <w:szCs w:val="16"/>
        </w:rPr>
        <w:t xml:space="preserve">작성: psj · 작성일: 2026-09-17 · 근거: 00_설계결정기록.md(D-08·D-24~26·D-30·D-70·D-74·D-77·D-91·D-131 등) · 01_기획/02_프로젝트기획서.md(3·5·6장) · 03_데이터/전처리_사양.md</w:t>
      </w:r>
    </w:p>
    <w:p>
      <w:pPr>
        <w:pBdr>
          <w:left w:val="single" w:color="F5A623" w:sz="24" w:space="8"/>
        </w:pBdr>
        <w:shd w:fill="FFF8E1" w:val="clear"/>
        <w:spacing w:after="160" w:before="60"/>
        <w:ind w:left="120"/>
      </w:pPr>
      <w:r>
        <w:rPr>
          <w:rFonts w:ascii="맑은 고딕" w:cs="맑은 고딕" w:eastAsia="맑은 고딕" w:hAnsi="맑은 고딕"/>
          <w:i/>
          <w:iCs/>
          <w:color w:val="5A4A1C"/>
          <w:sz w:val="19"/>
          <w:szCs w:val="19"/>
        </w:rPr>
        <w:t xml:space="preserve">⚠️ 이 문서는 초안이다. 2026-09-16 팀 디스코드 확인 결과, 팀 파이프라인 순서는 「데이터 수집 → 리랭커 → 판정 인코더 구현 → 랭그래프 파이프라인 구현 → (전체 완료 후) 팀 전체 파인튜닝」이다. 즉 이 기획서가 정의하는 파인튜닝은 개인이 먼저 진행하는 항목이 아니라 팀 파이프라인의 마지막 단계이며, 이 문서는 그 단계가 왔을 때 바로 착수할 수 있도록 설계·데이터·평가를 미리 정리해 두는 것이 목적이다. (docs/psj/인코더_파인튜닝_진행상황_2026-09-16.md 참고)</w:t>
      </w:r>
    </w:p>
    <w:p>
      <w:r>
        <w:br/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C1C1F"/>
          <w:sz w:val="30"/>
          <w:szCs w:val="30"/>
        </w:rPr>
        <w:t xml:space="preserve">1. 목적과 범위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문서는 CopyLane 판정 코어(진입점 A: 문구 검수)에서 쓰이는 임베딩·분류 인코더의 파인튜닝 계획을 정의한다. 대상은 사전학습된 한국어 인코더 kcbert-base를 도메인 데이터로 미세조정해, 광고 문구를 입력받아 ① 제품 카테고리 ② 위법 유형(+근거 스팬) ③ 질의 의도를 예측하는 다중 헤드 모델을 만드는 것이다.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설계 원칙(D-08)에 따라 CopyLane은 판단 주체를 코드 / 인코더 / sLLM 3원으로 나눈다.</w:t>
      </w:r>
    </w:p>
    <w:tbl>
      <w:tblPr>
        <w:tblW w:type="dxa" w:w="9200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200"/>
        <w:gridCol w:w="2600"/>
        <w:gridCol w:w="3400"/>
      </w:tblGrid>
      <w:tr>
        <w:trPr>
          <w:tblHeader/>
        </w:trPr>
        <w:tc>
          <w:tcPr>
            <w:tcW w:type="dxa" w:w="32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판단 유형</w:t>
            </w:r>
          </w:p>
        </w:tc>
        <w:tc>
          <w:tcPr>
            <w:tcW w:type="dxa" w:w="26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담당</w:t>
            </w:r>
          </w:p>
        </w:tc>
        <w:tc>
          <w:tcPr>
            <w:tcW w:type="dxa" w:w="34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제어 / 결정론적 규칙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코드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규칙이 있으면 코드가 맡는다 — 확률 모델을 쓸 이유가 없다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자연어 이해 + 출력이 유한 라벨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인코더 (본 문서 대상)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sLLM은 과잉, 코드는 이해를 못 한다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자유 문장 생성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sLLM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카피 생성 등 개방형 출력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18"/>
          <w:szCs w:val="18"/>
        </w:rPr>
        <w:t xml:space="preserve">카테고리 판별·위법 유형 판정·주장 스팬 추출처럼 「자연어 이해가 필요하면서 출력이 유한 라벨」인 태스크가 이 3원 분리에서 인코더의 자리이며(D-08, 기획서 3-4절), 본 파인튜닝의 범위다.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C1C1F"/>
          <w:sz w:val="30"/>
          <w:szCs w:val="30"/>
        </w:rPr>
        <w:t xml:space="preserve">2. 태스크 정의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기획서 5-1절 「세 가지 필수 태스크 설계」에 따라 인코더는 아래 태스크를 멀티태스크 헤드로 수행한다.</w:t>
      </w:r>
    </w:p>
    <w:tbl>
      <w:tblPr>
        <w:tblW w:type="dxa" w:w="11200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200"/>
        <w:gridCol w:w="4000"/>
        <w:gridCol w:w="2400"/>
        <w:gridCol w:w="2600"/>
      </w:tblGrid>
      <w:tr>
        <w:trPr>
          <w:tblHeader/>
        </w:trPr>
        <w:tc>
          <w:tcPr>
            <w:tcW w:type="dxa" w:w="22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태스크</w:t>
            </w:r>
          </w:p>
        </w:tc>
        <w:tc>
          <w:tcPr>
            <w:tcW w:type="dxa" w:w="40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설계</w:t>
            </w:r>
          </w:p>
        </w:tc>
        <w:tc>
          <w:tcPr>
            <w:tcW w:type="dxa" w:w="24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출력</w:t>
            </w:r>
          </w:p>
        </w:tc>
        <w:tc>
          <w:tcPr>
            <w:tcW w:type="dxa" w:w="26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카테고리 판별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제품 카테고리(일반/식품/건기식/화장품) → 적용 법령 선택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4클래스 분류 헤드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심의 공개목록·제재 사례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위법 유형 판정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위험도 5값(특이사항없음/주의/업무정지위험/과징금위험/형사위험)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순서형 회귀(5차원) + 근거 스팬 헤드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행정처분기준 별표 + 과징금 고시 (D-130·D-131)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질의 의도 분석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문구검수/법령조회/사례검색/대체문구요청/복합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5클래스 분류 헤드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골든셋 + 민원데이터 전이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주장 스팬 추출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문장에서 「주장」 구간을 BIO 태깅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토큰 분류(BIO)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결함 주입 골든셋에서 파생 (D-30)</w:t>
            </w:r>
          </w:p>
        </w:tc>
      </w:tr>
    </w:tbl>
    <w:p>
      <w:pPr>
        <w:pBdr>
          <w:left w:val="single" w:color="F5A623" w:sz="24" w:space="8"/>
        </w:pBdr>
        <w:shd w:fill="FFF8E1" w:val="clear"/>
        <w:spacing w:after="160" w:before="60"/>
        <w:ind w:left="120"/>
      </w:pPr>
      <w:r>
        <w:rPr>
          <w:rFonts w:ascii="맑은 고딕" w:cs="맑은 고딕" w:eastAsia="맑은 고딕" w:hAnsi="맑은 고딕"/>
          <w:i/>
          <w:iCs/>
          <w:color w:val="5A4A1C"/>
          <w:sz w:val="19"/>
          <w:szCs w:val="19"/>
        </w:rPr>
        <w:t xml:space="preserve">★ 문장↔금지유형 매핑은 분류가 아니라 cross-encoder 리랭킹으로 별도 처리한다(D-12) — 클래스당 표본이 부족한 문제를, positive 수백 + negative 샘플링으로 수천 쌍을 만드는 방식으로 우회한 결정이라 본 인코더 파인튜닝과는 학습 파이프라인이 다르다.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563EB"/>
          <w:sz w:val="24"/>
          <w:szCs w:val="24"/>
        </w:rPr>
        <w:t xml:space="preserve">2-1. 위험도 상향 조건 — 숫자 상한이 아니라 근거 스팬 조건부 (D-131)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당초 「인코더는 코드 하한 위로 최대 +1등급까지만 올릴 수 있다」는 규칙이었으나, 2026-09-03 D-131로 개정되었다. 상한이 지키려던 것은 「폭」이 아니라 「근거」였다는 문제의식에서, 인코더가 위법 유형을 확신(τ 이상)하고 근거 스팬(주장 BIO)을 함께 제시할 수 있을 때만 그 유형의 처분 기준까지 상향하도록(숫자 상한 없음) 바꿨다.</w:t>
      </w:r>
    </w:p>
    <w:tbl>
      <w:tblPr>
        <w:tblW w:type="dxa" w:w="9200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조건</w:t>
            </w:r>
          </w:p>
        </w:tc>
        <w:tc>
          <w:tcPr>
            <w:tcW w:type="dxa" w:w="46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확신 ≥ τ  ∧  근거 스팬 있음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그 유형의 [별표] 위험도까지 상향 (숫자 상한 없음, 화면에 스팬 표시)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근거 스팬 없음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상향 0 · 판정 상태 hold(low_conf) · 사각지대율 표본으로 수집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18"/>
          <w:szCs w:val="18"/>
        </w:rPr>
        <w:t xml:space="preserve">이 조건 때문에 인코더는 「유형」 하나만 내는 것이 아니라 유형·근거 스팬·확신 세 가지를 동시에 내는 다중 헤드로 설계해야 한다(5-1절 태스크 표와 일치, 새 태스크는 아니다). 문서 수준(긴 글·여러 문장 조합)의 위험도 변동은 인코더가 아니라 층 3 코드(D-83·D-120)가 맡는다 — kcbert-base의 max_position_embeddings=300 제약과 조합 폭발 문제 때문에 인코더는 문장 단위로만 돈다.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C1C1F"/>
          <w:sz w:val="30"/>
          <w:szCs w:val="30"/>
        </w:rPr>
        <w:t xml:space="preserve">3. 모델 선정</w:t>
      </w:r>
    </w:p>
    <w:tbl>
      <w:tblPr>
        <w:tblW w:type="dxa" w:w="9400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600"/>
        <w:gridCol w:w="2200"/>
        <w:gridCol w:w="2400"/>
        <w:gridCol w:w="2200"/>
      </w:tblGrid>
      <w:tr>
        <w:trPr>
          <w:tblHeader/>
        </w:trPr>
        <w:tc>
          <w:tcPr>
            <w:tcW w:type="dxa" w:w="26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후보</w:t>
            </w:r>
          </w:p>
        </w:tc>
        <w:tc>
          <w:tcPr>
            <w:tcW w:type="dxa" w:w="22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라이선스</w:t>
            </w:r>
          </w:p>
        </w:tc>
        <w:tc>
          <w:tcPr>
            <w:tcW w:type="dxa" w:w="24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용도</w:t>
            </w:r>
          </w:p>
        </w:tc>
        <w:tc>
          <w:tcPr>
            <w:tcW w:type="dxa" w:w="22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beomi/kcbert-base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주 백본 — 분류 3헤드 멀티태스크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★ D-70 확정. 네이버 뉴스 댓글 8,900만 문장(구어체) 사전학습 — 광고 문구·소비자 어휘에 KLUE-RoBERTa보다 적합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KLUE-RoBERTa / KoELECTRA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라이선스 불명 / 확인 필요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비교군 전용 — 배포 금지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D-70: HF 모델카드·API JSON에 license 필드 부재 확인. 배포 안 하는 비교 실험에서만 사용 가능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beomi/KcELECTRA-base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MIT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베이스라인 비교군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D-84: 같은 저자·도메인(댓글)·크기(0.1B)인데 PAWS +9.55, KorNLI +7.27 우세 — 성능차를 실측 후 채택 여부 판단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18"/>
          <w:szCs w:val="18"/>
        </w:rPr>
        <w:t xml:space="preserve">kcbert-base는 KLUE-RoBERTa 대비 라이선스가 명확하고(Apache 2.0) 도메인 적합도가 높다는 이유로 D-45를 대체해 확정됐다(2026-08-20). 다만 max_position_embeddings=300이라 문서 수준 임베딩 경로에서는 제약이 되므로, 문서 단위 판단은 인코더가 아니라 코드가 맡는다(D-131).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DAPT(광고 텍스트 도메인 적응 사전학습)를 파인튜닝 전에 선행 적용하고, 유무 비교를 실험 항목으로 둔다(5-5절).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C1C1F"/>
          <w:sz w:val="30"/>
          <w:szCs w:val="30"/>
        </w:rPr>
        <w:t xml:space="preserve">4. 학습 데이터 — 결함 주입 골든셋 (D-25·D-26·D-74)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문장 단위 대량 라벨이 없다는 것이 최대 리스크였다. CopyLane은 이를 수작업·LLM 자동 라벨링이 아니라, 「승인 문구를 금지 유형 규칙에 따라 변형해 정답을 심는」 결함 주입 방식으로 해결한다(D-25). 변형 규칙표(TRANSFORM_RULES, D-74)는 양방향 단일 표로, 정방향(주입)이 인코더 학습·평가용 골든셋을, 역방향(시정)이 sLLM SFT용 (위법, 시정) 페어를 만든다 — 부산물로 변형 구간 좌표가 주장 스팬 BIO 라벨을 공짜로 제공한다(D-30 비용 해소).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563EB"/>
          <w:sz w:val="24"/>
          <w:szCs w:val="24"/>
        </w:rPr>
        <w:t xml:space="preserve">4-1. 변환 규칙표 TRANSFORM_RULES (10종)</w:t>
      </w:r>
    </w:p>
    <w:tbl>
      <w:tblPr>
        <w:tblW w:type="dxa" w:w="9200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000"/>
        <w:gridCol w:w="3000"/>
        <w:gridCol w:w="2600"/>
        <w:gridCol w:w="2600"/>
      </w:tblGrid>
      <w:tr>
        <w:trPr>
          <w:tblHeader/>
        </w:trPr>
        <w:tc>
          <w:tcPr>
            <w:tcW w:type="dxa" w:w="10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정방향(주입)</w:t>
            </w:r>
          </w:p>
        </w:tc>
        <w:tc>
          <w:tcPr>
            <w:tcW w:type="dxa" w:w="26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역방향(시정)</w:t>
            </w:r>
          </w:p>
        </w:tc>
        <w:tc>
          <w:tcPr>
            <w:tcW w:type="dxa" w:w="26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측정 라벨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T1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완화구 삭제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단정 → 조건부 (R2)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확실성=확실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T2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기능성 표현 → 질병명 치환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질병어 → 지향어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V1/R4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T3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일반식품 전환+기능성 유지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유형에 맞는 표현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V3·V4/R3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T4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 어휘 삽입(치료제·처방)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어휘 제거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V2/R3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T5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최상급·절대 표현 삽입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표현 완화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V5/R3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T6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 형식 + 대가성 미표시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대가성 표시 병기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V6/R3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T7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비교·비방 삽입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비교 대상 제거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V7/R2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T8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수치 삽입 후 산정 근거 제거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산정 근거 병기 (R3)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V5·V6/R3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T9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실적 표현화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실적 → 예상 (R1)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시제=과거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T10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화장품 세포·재생 어휘 삽입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어휘 제거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V2/R3</w:t>
            </w:r>
          </w:p>
        </w:tc>
      </w:tr>
    </w:tbl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563EB"/>
          <w:sz w:val="24"/>
          <w:szCs w:val="24"/>
        </w:rPr>
        <w:t xml:space="preserve">4-2. 주입 규약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1문장당 의미 규칙 1개만 — 다중 라벨이면 유형별 Recall 분리 보고가 흐려짐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변형 전/후 오프셋 필수 기록 — 주장 스팬 BIO 라벨이 여기서 나온다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원본 문구도 V0 라벨로 함께 포함 (안 넣으면 전부 위법 → 클래스 불균형)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유형별 최소 150건 (train 120 / dev 30)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주입본은 test_holdout에 절대 넣지 않음 — 평가는 실사례 홀드아웃으로만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변형 규칙 ID를 샘플에 기록(rule_id) — 규칙별 검출률 분리 보고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주입과 동시에 측정 축 3종(확실성·시제·문장유형) 채움 — 규칙이 곧 라벨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provenance·redistributable을 모든 행에 기록 — 나중에 되돌릴 수 없음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563EB"/>
          <w:sz w:val="24"/>
          <w:szCs w:val="24"/>
        </w:rPr>
        <w:t xml:space="preserve">4-3. 측정 축 3종 (D-74)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「재판정 통과율」은 결과만 재고, 변환이 실제로 의도대로 일어났는지는 재지 못한다. AI Hub 71486(문장 유형 판단, 166,339문장)의 라벨 축을 우리 변환 규칙과 1:1로 대응시켜 이 공백을 메운다.</w:t>
      </w:r>
    </w:p>
    <w:tbl>
      <w:tblPr>
        <w:tblW w:type="dxa" w:w="9200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200"/>
        <w:gridCol w:w="3200"/>
        <w:gridCol w:w="3800"/>
      </w:tblGrid>
      <w:tr>
        <w:trPr>
          <w:tblHeader/>
        </w:trPr>
        <w:tc>
          <w:tcPr>
            <w:tcW w:type="dxa" w:w="22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축</w:t>
            </w:r>
          </w:p>
        </w:tc>
        <w:tc>
          <w:tcPr>
            <w:tcW w:type="dxa" w:w="32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값</w:t>
            </w:r>
          </w:p>
        </w:tc>
        <w:tc>
          <w:tcPr>
            <w:tcW w:type="dxa" w:w="38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대응 변환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확실성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확실 / 불확실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R2 단정 → 조건부 (T1 역방향)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시제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과거 / 현재 / 미래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R1 실적 → 예상 (T9 역방향)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문장유형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사실 / 추론 / 예측 / 대화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B 실증형 판정 (D-59)</w:t>
            </w:r>
          </w:p>
        </w:tc>
      </w:tr>
    </w:tbl>
    <w:p>
      <w:pPr>
        <w:pBdr>
          <w:left w:val="single" w:color="F5A623" w:sz="24" w:space="8"/>
        </w:pBdr>
        <w:shd w:fill="FFF8E1" w:val="clear"/>
        <w:spacing w:after="160" w:before="60"/>
        <w:ind w:left="120"/>
      </w:pPr>
      <w:r>
        <w:rPr>
          <w:rFonts w:ascii="맑은 고딕" w:cs="맑은 고딕" w:eastAsia="맑은 고딕" w:hAnsi="맑은 고딕"/>
          <w:i/>
          <w:iCs/>
          <w:color w:val="5A4A1C"/>
          <w:sz w:val="19"/>
          <w:szCs w:val="19"/>
        </w:rPr>
        <w:t xml:space="preserve">🚨 AI Hub 71486은 NOREDIST다. 이 축의 라벨러를 학습시키는 것(U1·U4 allow)은 되지만, 그 데이터를 우리 골든셋에 섞어 공개 배포하는 것은 안 된다. 71486 판별기를 쓰더라도 우리 도메인 200~300문장으로 별도 파인튜닝이 필요하다(도메인이 뉴스·매거진·도서라 그대로 쓰면 성능이 떨어진다).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563EB"/>
          <w:sz w:val="24"/>
          <w:szCs w:val="24"/>
        </w:rPr>
        <w:t xml:space="preserve">4-4. 클래스 균형 (5-3절)</w:t>
      </w:r>
    </w:p>
    <w:tbl>
      <w:tblPr>
        <w:tblW w:type="dxa" w:w="9200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800"/>
        <w:gridCol w:w="7400"/>
      </w:tblGrid>
      <w:tr>
        <w:trPr>
          <w:tblHeader/>
        </w:trPr>
        <w:tc>
          <w:tcPr>
            <w:tcW w:type="dxa" w:w="18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클래스</w:t>
            </w:r>
          </w:p>
        </w:tc>
        <w:tc>
          <w:tcPr>
            <w:tcW w:type="dxa" w:w="74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소스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위법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제재 사례 + 고시·가이드라인 금지 표현 목록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심의 통과 문구 + 허용 표현 목록 + 승인 기능성 문구 + (확인 시) 공정위 무혐의 결정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경계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실증 필요 표현(표시광고법 제5조) — 「위법도 적법도 아닌」 제3의 클래스, Abstention의 근거</w:t>
            </w:r>
          </w:p>
        </w:tc>
      </w:tr>
    </w:tbl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C1C1F"/>
          <w:sz w:val="30"/>
          <w:szCs w:val="30"/>
        </w:rPr>
        <w:t xml:space="preserve">5. 학습 데이터 공급 현황 (2026-09-16 실측)</w:t>
      </w:r>
    </w:p>
    <w:p>
      <w:pPr>
        <w:pBdr>
          <w:left w:val="single" w:color="F5A623" w:sz="24" w:space="8"/>
        </w:pBdr>
        <w:shd w:fill="FFF8E1" w:val="clear"/>
        <w:spacing w:after="160" w:before="60"/>
        <w:ind w:left="120"/>
      </w:pPr>
      <w:r>
        <w:rPr>
          <w:rFonts w:ascii="맑은 고딕" w:cs="맑은 고딕" w:eastAsia="맑은 고딕" w:hAnsi="맑은 고딕"/>
          <w:i/>
          <w:iCs/>
          <w:color w:val="5A4A1C"/>
          <w:sz w:val="19"/>
          <w:szCs w:val="19"/>
        </w:rPr>
        <w:t xml:space="preserve">🚨 아래는 2026-09-16 직접 확인한 상태이며, 파인튜닝 착수 시점에 재확인이 필요하다.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preprocess/golden.py가 요구하는 입력(data/derived/golden/split_manifest.json, data/derived/injected_golden.jsonl)이 로컬 저장소에 없음 — data/**는 재배포 제약으로 .gitignore 대상이라 각자 로컬에서 수집·전처리 스크립트를 돌려 만들어야 하는 산출물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/admin/api/counts 실측 결과 golden_sample 테이블 0건 — 데이터가 로컬 DB에 아직 적재되지 않음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팀 전체 골든셋 준비 상태는 팀장 확인 요청 중 (2026-09-16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DB 스키마(db/schema.sql)상 golden_sample 테이블은 판정 라벨, 측정 축 3종, 표면 변환 축, 생성 이력, split 구분, 단위(문장/낱말)까지 이미 구체적으로 설계되어 있음 — 스키마 자체는 파인튜닝 착수를 막지 않음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C1C1F"/>
          <w:sz w:val="30"/>
          <w:szCs w:val="30"/>
        </w:rPr>
        <w:t xml:space="preserve">6. 일정 — 팀 파이프라인 안에서의 위치</w:t>
      </w:r>
    </w:p>
    <w:p>
      <w:pPr>
        <w:pBdr>
          <w:left w:val="single" w:color="F5A623" w:sz="24" w:space="8"/>
        </w:pBdr>
        <w:shd w:fill="FFF8E1" w:val="clear"/>
        <w:spacing w:after="160" w:before="60"/>
        <w:ind w:left="120"/>
      </w:pPr>
      <w:r>
        <w:rPr>
          <w:rFonts w:ascii="맑은 고딕" w:cs="맑은 고딕" w:eastAsia="맑은 고딕" w:hAnsi="맑은 고딕"/>
          <w:i/>
          <w:iCs/>
          <w:color w:val="5A4A1C"/>
          <w:sz w:val="19"/>
          <w:szCs w:val="19"/>
        </w:rPr>
        <w:t xml:space="preserve">🚨 2026-09-16 팀 디스코드 확인: 파인튜닝은 팀 전체 파이프라인의 「데이터 수집 → 리랭커 → 판정 인코더 구현 → 랭그래프 파이프라인 구현 → 전체 파인튜닝」 마지막 단계다. 개인이 먼저 진행하는 항목이 아니다.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설계상 확정된 유일한 고정 일정은 위법 유형 클래스 확정 게이트다.</w:t>
      </w:r>
    </w:p>
    <w:tbl>
      <w:tblPr>
        <w:tblW w:type="dxa" w:w="9200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600"/>
        <w:gridCol w:w="3400"/>
        <w:gridCol w:w="3200"/>
      </w:tblGrid>
      <w:tr>
        <w:trPr>
          <w:tblHeader/>
        </w:trPr>
        <w:tc>
          <w:tcPr>
            <w:tcW w:type="dxa" w:w="26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일자</w:t>
            </w:r>
          </w:p>
        </w:tc>
        <w:tc>
          <w:tcPr>
            <w:tcW w:type="dxa" w:w="34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이벤트</w:t>
            </w:r>
          </w:p>
        </w:tc>
        <w:tc>
          <w:tcPr>
            <w:tcW w:type="dxa" w:w="32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2026-09-17 (3W 마감)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★ 위법 유형 클래스 확정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인코더 학습 전 마지막 게이트 — 학습 중 클래스가 바뀌면 처음부터 다시(D-08 관련 결정)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3W~4W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데이터 전처리 결과서 / 머신러닝·딥러닝 학습결과서 / 학습한 ML/DL 모델 (T2·T3 산출물)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작업일정 3-작업일정.md 기준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18"/>
          <w:szCs w:val="18"/>
        </w:rPr>
        <w:t xml:space="preserve">착수 시점이 오면 바로 시작할 수 있도록, 착수 직전 필요한 것을 아래에 체크리스트로 남긴다.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골든셋 데이터(data/derived/golden/*) 공급 경로 확보 — 현재 로컬 미보유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인코더 베이스 모델 확정 — kcbert-base로 D-70 확정, DAPT 적용 여부만 남음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preprocess/golden.py 실행 → golden_sample 테이블 적재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파인튜닝 실행 · 평가(D-74 측정 축 3종 기준)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C1C1F"/>
          <w:sz w:val="30"/>
          <w:szCs w:val="30"/>
        </w:rPr>
        <w:t xml:space="preserve">7. 평가 설계 — 인코더 관련 지표 (D-77, L1)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전체 지표 체계는 docs/02_설계/평가_지표.md에 있다. 본 문서는 인코더에 직접 걸리는 지표만 발췌한다.</w:t>
      </w:r>
    </w:p>
    <w:tbl>
      <w:tblPr>
        <w:tblW w:type="dxa" w:w="8200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600"/>
        <w:gridCol w:w="2400"/>
        <w:gridCol w:w="3200"/>
      </w:tblGrid>
      <w:tr>
        <w:trPr>
          <w:tblHeader/>
        </w:trPr>
        <w:tc>
          <w:tcPr>
            <w:tcW w:type="dxa" w:w="26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24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대상</w:t>
            </w:r>
          </w:p>
        </w:tc>
        <w:tc>
          <w:tcPr>
            <w:tcW w:type="dxa" w:w="32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방법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Accuracy + 혼동행렬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카테고리 분류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법령 라우팅의 단일 실패점 — 평균이 아니라 어느 쌍이 섞이는지를 본다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Span F1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주장 스팬 탐지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D-74로 라벨이 공짜 — 결함을 주입한 자리가 곧 정답 스팬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Recall / Precision / F1 (유형별 분리)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위법 검출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결함 주입 정답과 대조, 완전 자동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MAE · QWK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위험도(순서형)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Accuracy는 부적합 — 「높음」을 「중간」으로 본 것과 「낮음」으로 본 것은 같은 오답이 아니다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보류율 + selective risk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Abstention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보류율만 보면 전부 보류해 100%를 만들 수 있음 — 보류하지 않은 것들의 오류율과 쌍으로 본다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제약 전/후 QWK + 과소평가 건수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위험도 단조 제약 효과(D-131)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완전 자동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불일치 플래그율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인코더 예측이 코드 하한보다 2등급 이상 낮은 비율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완전 자동 — 보류 트리거로 쓰임</w:t>
            </w:r>
          </w:p>
        </w:tc>
      </w:tr>
    </w:tbl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563EB"/>
          <w:sz w:val="24"/>
          <w:szCs w:val="24"/>
        </w:rPr>
        <w:t xml:space="preserve">7-1. 응답시간 예산 (L3)</w:t>
      </w:r>
    </w:p>
    <w:tbl>
      <w:tblPr>
        <w:tblW w:type="dxa" w:w="9200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단계</w:t>
            </w:r>
          </w:p>
        </w:tc>
        <w:tc>
          <w:tcPr>
            <w:tcW w:type="dxa" w:w="46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예산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카테고리 인코더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&lt; 100 ms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위법 유형 인코더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&lt; 150 ms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판정 소계 목표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≈ 1.1초 / p95 &lt; 3초</w:t>
            </w:r>
          </w:p>
        </w:tc>
      </w:tr>
    </w:tbl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563EB"/>
          <w:sz w:val="24"/>
          <w:szCs w:val="24"/>
        </w:rPr>
        <w:t xml:space="preserve">7-2. 시스템 통합 — oracle ablation (L2)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단계를 하나씩 정답으로 갈아끼우고 최종 성능 변화를 측정한다. 예: 카테고리 분류를 정답으로 바꿨을 때 최종 Recall이 크게 오르면 고칠 곳은 검색이 아니라 분류라고 판단할 수 있다 — 새로 만들 것 없이 골든셋 정답 컬럼을 그 단계 출력 자리에 넣으면 된다.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C1C1F"/>
          <w:sz w:val="30"/>
          <w:szCs w:val="30"/>
        </w:rPr>
        <w:t xml:space="preserve">8. 남은 리스크와 열린 질문</w:t>
      </w:r>
    </w:p>
    <w:tbl>
      <w:tblPr>
        <w:tblW w:type="dxa" w:w="8600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800"/>
        <w:gridCol w:w="4600"/>
        <w:gridCol w:w="2200"/>
      </w:tblGrid>
      <w:tr>
        <w:trPr>
          <w:tblHeader/>
        </w:trPr>
        <w:tc>
          <w:tcPr>
            <w:tcW w:type="dxa" w:w="18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리스크</w:t>
            </w:r>
          </w:p>
        </w:tc>
        <w:tc>
          <w:tcPr>
            <w:tcW w:type="dxa" w:w="46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내용</w:t>
            </w:r>
          </w:p>
        </w:tc>
        <w:tc>
          <w:tcPr>
            <w:tcW w:type="dxa" w:w="2200"/>
            <w:shd w:fill="EAF1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일정 의존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파인튜닝이 팀 파이프라인 마지막 단계라, 리랭커·판정 인코더 구현·랭그래프 일정이 밀리면 착수 시점도 함께 밀림 — 개인 진행도가 아니라 팀 전체 진행도에 달림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앞 단계 진행 상황을 주기적으로 확인, 착수 시점에 지연 없도록 데이터·모델 준비를 미리 끝내 둠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데이터 공급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골든셋 데이터가 아직 로컬에 없고, 팀 전체 준비 상태 미확인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팀장 확인 요청 진행 중 — 데이터 수집 단계 진행 중 지속 확인 필요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베이스라인 비교 미실시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kcbert·KcELECTRA·KLUE 셋을 나란히 돌리는 비교 실험이 아직 실측되지 않음(D-70 선결 조건: uv 환경·저장소 확립 후)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환경이 서면 선행기간 반나절로 비교 실측, 안 서면 kcbert로 진행 후 3W에 비교 추가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근거 스팬 품질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인코더가 스팬은 뽑았는데 근거가 엉뚱한 경우(그럴듯한 근거)는 D-131의 조건부 상향으로도 못 막음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사후 대조 게이트(기획서 3-5②)와 사각지대율 표본으로 보완</w:t>
            </w:r>
          </w:p>
        </w:tc>
      </w:tr>
    </w:tbl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C1C1F"/>
          <w:sz w:val="30"/>
          <w:szCs w:val="30"/>
        </w:rPr>
        <w:t xml:space="preserve">9. 참고 문서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docs/00_설계결정기록.md — D-08(3원 배정), D-12(리랭킹), D-24~D-26(결함 주입·시정 페어), D-30(주장 원장), D-45→D-70(백본 교체), D-74(변환 규칙표·측정 축), D-77(4층 평가), D-91(회피 표기 직교 축), D-131(조건부 상향)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docs/01_기획/02_프로젝트기획서.md — 3-4·3-5절(3원 분리·단조성), 5장(전처리·모델링), 6장(평가 설계)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docs/03_데이터/전처리_사양.md — TRANSFORM_RULES 10종, 측정 축 3종, provenance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docs/01_기획/03_작업일정.md — 3W·4W 일정, 9/17 위법 유형 확정 게이트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docs/psj/인코더_파인튜닝_진행상황_2026-09-16.md — 팀 파이프라인 순서 확인, 데이터 공급 현황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2026-09-17T04:47:23.952Z</dcterms:created>
  <dcterms:modified xsi:type="dcterms:W3CDTF">2026-09-17T04:47:23.962Z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