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머신러닝 딥러닝 학습결과서 2차</w:t>
      </w:r>
    </w:p>
    <w:p>
      <w:r>
        <w:t>CopyLane 판정 인코더  |  작성 박수진  |  초안 2026년 9월 28일  |  실험 기준일 2026년 9월 22일</w:t>
      </w:r>
    </w:p>
    <w:p>
      <w:r>
        <w:t>이 보고서는 판정 인코더의 9월 22일 학습 실험을 4주차 제출용으로 정리한 초안이다. 최종 채택 설정은 kcbert-base, Focal Loss γ=1.5, POS_WEIGHT_CAP=5다. 봉인 평가 문구 352건에서 기본 임계값 0.5 기준 micro F1 0.444를 기록했다. 다만 8개 라벨 중 3개는 F1이 0이고, 배포 판단 기준에 미달한 유형도 있어 전체 판정 성능이 확보됐다고 결론내리지 않는다.</w:t>
      </w:r>
    </w:p>
    <w:p>
      <w:pPr>
        <w:pStyle w:val="Heading1"/>
      </w:pPr>
      <w:r>
        <w:t>1 학습 목표와 범위</w:t>
      </w:r>
    </w:p>
    <w:p>
      <w:r>
        <w:t>문구 단위의 위법 유형 8종을 다중 라벨로 예측하는 판정 인코더를 학습했다. 백본은 설계결정 D-70의 beomi/kcbert-base이며, 거짓_과장과 소비자_기만은 D-231에 따라 합치지 않았다. 후기_체험기_기만은 다른 내용 라벨과 함께 붙을 수 있는 형식 라벨로 유지했다. 이 실험은 문서 단위 판정이나 최종 서비스의 종합 성능을 측정한 것이 아니다.</w:t>
      </w:r>
    </w:p>
    <w:p>
      <w:pPr>
        <w:pStyle w:val="Heading1"/>
      </w:pPr>
      <w:r>
        <w:t>2 데이터와 재현 조건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DFE7EF"/>
            <w:vAlign w:val="center"/>
          </w:tcPr>
          <w:p>
            <w:pPr>
              <w:spacing w:after="40"/>
            </w:pPr>
            <w:r>
              <w:rPr>
                <w:b/>
                <w:sz w:val="16"/>
              </w:rPr>
              <w:t>항목</w:t>
            </w:r>
          </w:p>
        </w:tc>
        <w:tc>
          <w:tcPr>
            <w:tcW w:type="dxa" w:w="4997"/>
            <w:shd w:fill="DFE7EF"/>
            <w:vAlign w:val="center"/>
          </w:tcPr>
          <w:p>
            <w:pPr>
              <w:spacing w:after="40"/>
            </w:pPr>
            <w:r>
              <w:rPr>
                <w:b/>
                <w:sz w:val="16"/>
              </w:rPr>
              <w:t>9월 22일 실험 기록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입력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golden.jsonl 6,741행 + injected_golden.jsonl 902행 = 7,643행</w:t>
            </w:r>
          </w:p>
        </w:tc>
      </w:tr>
      <w:tr>
        <w:tc>
          <w:tcPr>
            <w:tcW w:type="dxa" w:w="4997"/>
            <w:shd w:fill="F7F9FB"/>
            <w:vAlign w:val="center"/>
          </w:tcPr>
          <w:p>
            <w:pPr>
              <w:spacing w:after="40"/>
            </w:pPr>
            <w:r>
              <w:rPr>
                <w:sz w:val="16"/>
              </w:rPr>
              <w:t>분할</w:t>
            </w:r>
          </w:p>
        </w:tc>
        <w:tc>
          <w:tcPr>
            <w:tcW w:type="dxa" w:w="4997"/>
            <w:shd w:fill="F7F9FB"/>
            <w:vAlign w:val="center"/>
          </w:tcPr>
          <w:p>
            <w:pPr>
              <w:spacing w:after="40"/>
            </w:pPr>
            <w:r>
              <w:rPr>
                <w:sz w:val="16"/>
              </w:rPr>
              <w:t>기존 split 필드 기준 train 7,291행 / test_sentence 평가 352행; 재분할 없음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평가 구성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무해 60건, 위반 292건</w:t>
            </w:r>
          </w:p>
        </w:tc>
      </w:tr>
      <w:tr>
        <w:tc>
          <w:tcPr>
            <w:tcW w:type="dxa" w:w="4997"/>
            <w:shd w:fill="F7F9FB"/>
            <w:vAlign w:val="center"/>
          </w:tcPr>
          <w:p>
            <w:pPr>
              <w:spacing w:after="40"/>
            </w:pPr>
            <w:r>
              <w:rPr>
                <w:sz w:val="16"/>
              </w:rPr>
              <w:t>학습</w:t>
            </w:r>
          </w:p>
        </w:tc>
        <w:tc>
          <w:tcPr>
            <w:tcW w:type="dxa" w:w="4997"/>
            <w:shd w:fill="F7F9FB"/>
            <w:vAlign w:val="center"/>
          </w:tcPr>
          <w:p>
            <w:pPr>
              <w:spacing w:after="40"/>
            </w:pPr>
            <w:r>
              <w:rPr>
                <w:sz w:val="16"/>
              </w:rPr>
              <w:t>3 epoch, 학습률 2e-5, 최대 길이 128, 학습 배치 16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최종 선택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Focal Loss γ=1.5, 양성 가중치 상한 5, 기본 판정 임계값 0.5</w:t>
            </w:r>
          </w:p>
        </w:tc>
      </w:tr>
    </w:tbl>
    <w:p/>
    <w:p>
      <w:r>
        <w:t>D-174의 분할 선행 원칙에 따라 평가 문구를 학습에 섞지 않는 것이 전제다. 노트북은 물질화된 행의 split 필드를 사용한다. 제출 전에는 학습에 사용한 파일의 해시와 split_manifest.json 대응, 중복 문구 여부를 별도 기록으로 고정해야 한다.</w:t>
      </w:r>
    </w:p>
    <w:p>
      <w:pPr>
        <w:pStyle w:val="Heading1"/>
      </w:pPr>
      <w:r>
        <w:t>3 실험 결과와 선택 근거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6"/>
        <w:gridCol w:w="1666"/>
        <w:gridCol w:w="1666"/>
        <w:gridCol w:w="1666"/>
        <w:gridCol w:w="1666"/>
        <w:gridCol w:w="1666"/>
      </w:tblGrid>
      <w:tr>
        <w:tc>
          <w:tcPr>
            <w:tcW w:type="dxa" w:w="1666"/>
            <w:shd w:fill="DFE7EF"/>
            <w:vAlign w:val="center"/>
          </w:tcPr>
          <w:p>
            <w:pPr>
              <w:spacing w:after="40"/>
            </w:pPr>
            <w:r>
              <w:rPr>
                <w:b/>
                <w:sz w:val="16"/>
              </w:rPr>
              <w:t>γ</w:t>
            </w:r>
          </w:p>
        </w:tc>
        <w:tc>
          <w:tcPr>
            <w:tcW w:type="dxa" w:w="1666"/>
            <w:shd w:fill="DFE7EF"/>
            <w:vAlign w:val="center"/>
          </w:tcPr>
          <w:p>
            <w:pPr>
              <w:spacing w:after="40"/>
            </w:pPr>
            <w:r>
              <w:rPr>
                <w:b/>
                <w:sz w:val="16"/>
              </w:rPr>
              <w:t>상한</w:t>
            </w:r>
          </w:p>
        </w:tc>
        <w:tc>
          <w:tcPr>
            <w:tcW w:type="dxa" w:w="1666"/>
            <w:shd w:fill="DFE7EF"/>
            <w:vAlign w:val="center"/>
          </w:tcPr>
          <w:p>
            <w:pPr>
              <w:spacing w:after="40"/>
            </w:pPr>
            <w:r>
              <w:rPr>
                <w:b/>
                <w:sz w:val="16"/>
              </w:rPr>
              <w:t>micro F1</w:t>
            </w:r>
          </w:p>
        </w:tc>
        <w:tc>
          <w:tcPr>
            <w:tcW w:type="dxa" w:w="1666"/>
            <w:shd w:fill="DFE7EF"/>
            <w:vAlign w:val="center"/>
          </w:tcPr>
          <w:p>
            <w:pPr>
              <w:spacing w:after="40"/>
            </w:pPr>
            <w:r>
              <w:rPr>
                <w:b/>
                <w:sz w:val="16"/>
              </w:rPr>
              <w:t>무해 오판정률</w:t>
            </w:r>
          </w:p>
        </w:tc>
        <w:tc>
          <w:tcPr>
            <w:tcW w:type="dxa" w:w="1666"/>
            <w:shd w:fill="DFE7EF"/>
            <w:vAlign w:val="center"/>
          </w:tcPr>
          <w:p>
            <w:pPr>
              <w:spacing w:after="40"/>
            </w:pPr>
            <w:r>
              <w:rPr>
                <w:b/>
                <w:sz w:val="16"/>
              </w:rPr>
              <w:t>F1 0개 라벨</w:t>
            </w:r>
          </w:p>
        </w:tc>
        <w:tc>
          <w:tcPr>
            <w:tcW w:type="dxa" w:w="1666"/>
            <w:shd w:fill="DFE7EF"/>
            <w:vAlign w:val="center"/>
          </w:tcPr>
          <w:p>
            <w:pPr>
              <w:spacing w:after="40"/>
            </w:pPr>
            <w:r>
              <w:rPr>
                <w:b/>
                <w:sz w:val="16"/>
              </w:rPr>
              <w:t>5호 묶음 F1</w:t>
            </w:r>
          </w:p>
        </w:tc>
      </w:tr>
      <w:tr>
        <w:tc>
          <w:tcPr>
            <w:tcW w:type="dxa" w:w="1666"/>
            <w:vAlign w:val="center"/>
          </w:tcPr>
          <w:p>
            <w:pPr>
              <w:spacing w:after="40"/>
            </w:pPr>
            <w:r>
              <w:rPr>
                <w:sz w:val="16"/>
              </w:rPr>
              <w:t>1.0</w:t>
            </w:r>
          </w:p>
        </w:tc>
        <w:tc>
          <w:tcPr>
            <w:tcW w:type="dxa" w:w="1666"/>
            <w:vAlign w:val="center"/>
          </w:tcPr>
          <w:p>
            <w:pPr>
              <w:spacing w:after="40"/>
            </w:pPr>
            <w:r>
              <w:rPr>
                <w:sz w:val="16"/>
              </w:rPr>
              <w:t>1</w:t>
            </w:r>
          </w:p>
        </w:tc>
        <w:tc>
          <w:tcPr>
            <w:tcW w:type="dxa" w:w="1666"/>
            <w:vAlign w:val="center"/>
          </w:tcPr>
          <w:p>
            <w:pPr>
              <w:spacing w:after="40"/>
            </w:pPr>
            <w:r>
              <w:rPr>
                <w:sz w:val="16"/>
              </w:rPr>
              <w:t>0.394</w:t>
            </w:r>
          </w:p>
        </w:tc>
        <w:tc>
          <w:tcPr>
            <w:tcW w:type="dxa" w:w="1666"/>
            <w:vAlign w:val="center"/>
          </w:tcPr>
          <w:p>
            <w:pPr>
              <w:spacing w:after="40"/>
            </w:pPr>
            <w:r>
              <w:rPr>
                <w:sz w:val="16"/>
              </w:rPr>
              <w:t>1.7%</w:t>
            </w:r>
          </w:p>
        </w:tc>
        <w:tc>
          <w:tcPr>
            <w:tcW w:type="dxa" w:w="1666"/>
            <w:vAlign w:val="center"/>
          </w:tcPr>
          <w:p>
            <w:pPr>
              <w:spacing w:after="40"/>
            </w:pPr>
            <w:r>
              <w:rPr>
                <w:sz w:val="16"/>
              </w:rPr>
              <w:t>4</w:t>
            </w:r>
          </w:p>
        </w:tc>
        <w:tc>
          <w:tcPr>
            <w:tcW w:type="dxa" w:w="1666"/>
            <w:vAlign w:val="center"/>
          </w:tcPr>
          <w:p>
            <w:pPr>
              <w:spacing w:after="40"/>
            </w:pPr>
            <w:r>
              <w:rPr>
                <w:sz w:val="16"/>
              </w:rPr>
              <w:t>0.326</w:t>
            </w:r>
          </w:p>
        </w:tc>
      </w:tr>
      <w:tr>
        <w:tc>
          <w:tcPr>
            <w:tcW w:type="dxa" w:w="1666"/>
            <w:shd w:fill="F7F9FB"/>
            <w:vAlign w:val="center"/>
          </w:tcPr>
          <w:p>
            <w:pPr>
              <w:spacing w:after="40"/>
            </w:pPr>
            <w:r>
              <w:rPr>
                <w:sz w:val="16"/>
              </w:rPr>
              <w:t>1.5</w:t>
            </w:r>
          </w:p>
        </w:tc>
        <w:tc>
          <w:tcPr>
            <w:tcW w:type="dxa" w:w="1666"/>
            <w:shd w:fill="F7F9FB"/>
            <w:vAlign w:val="center"/>
          </w:tcPr>
          <w:p>
            <w:pPr>
              <w:spacing w:after="40"/>
            </w:pPr>
            <w:r>
              <w:rPr>
                <w:sz w:val="16"/>
              </w:rPr>
              <w:t>1</w:t>
            </w:r>
          </w:p>
        </w:tc>
        <w:tc>
          <w:tcPr>
            <w:tcW w:type="dxa" w:w="1666"/>
            <w:shd w:fill="F7F9FB"/>
            <w:vAlign w:val="center"/>
          </w:tcPr>
          <w:p>
            <w:pPr>
              <w:spacing w:after="40"/>
            </w:pPr>
            <w:r>
              <w:rPr>
                <w:sz w:val="16"/>
              </w:rPr>
              <w:t>0.409</w:t>
            </w:r>
          </w:p>
        </w:tc>
        <w:tc>
          <w:tcPr>
            <w:tcW w:type="dxa" w:w="1666"/>
            <w:shd w:fill="F7F9FB"/>
            <w:vAlign w:val="center"/>
          </w:tcPr>
          <w:p>
            <w:pPr>
              <w:spacing w:after="40"/>
            </w:pPr>
            <w:r>
              <w:rPr>
                <w:sz w:val="16"/>
              </w:rPr>
              <w:t>0.0%</w:t>
            </w:r>
          </w:p>
        </w:tc>
        <w:tc>
          <w:tcPr>
            <w:tcW w:type="dxa" w:w="1666"/>
            <w:shd w:fill="F7F9FB"/>
            <w:vAlign w:val="center"/>
          </w:tcPr>
          <w:p>
            <w:pPr>
              <w:spacing w:after="40"/>
            </w:pPr>
            <w:r>
              <w:rPr>
                <w:sz w:val="16"/>
              </w:rPr>
              <w:t>4</w:t>
            </w:r>
          </w:p>
        </w:tc>
        <w:tc>
          <w:tcPr>
            <w:tcW w:type="dxa" w:w="1666"/>
            <w:shd w:fill="F7F9FB"/>
            <w:vAlign w:val="center"/>
          </w:tcPr>
          <w:p>
            <w:pPr>
              <w:spacing w:after="40"/>
            </w:pPr>
            <w:r>
              <w:rPr>
                <w:sz w:val="16"/>
              </w:rPr>
              <w:t>0.369</w:t>
            </w:r>
          </w:p>
        </w:tc>
      </w:tr>
      <w:tr>
        <w:tc>
          <w:tcPr>
            <w:tcW w:type="dxa" w:w="1666"/>
            <w:vAlign w:val="center"/>
          </w:tcPr>
          <w:p>
            <w:pPr>
              <w:spacing w:after="40"/>
            </w:pPr>
            <w:r>
              <w:rPr>
                <w:sz w:val="16"/>
              </w:rPr>
              <w:t>2.0</w:t>
            </w:r>
          </w:p>
        </w:tc>
        <w:tc>
          <w:tcPr>
            <w:tcW w:type="dxa" w:w="1666"/>
            <w:vAlign w:val="center"/>
          </w:tcPr>
          <w:p>
            <w:pPr>
              <w:spacing w:after="40"/>
            </w:pPr>
            <w:r>
              <w:rPr>
                <w:sz w:val="16"/>
              </w:rPr>
              <w:t>1</w:t>
            </w:r>
          </w:p>
        </w:tc>
        <w:tc>
          <w:tcPr>
            <w:tcW w:type="dxa" w:w="1666"/>
            <w:vAlign w:val="center"/>
          </w:tcPr>
          <w:p>
            <w:pPr>
              <w:spacing w:after="40"/>
            </w:pPr>
            <w:r>
              <w:rPr>
                <w:sz w:val="16"/>
              </w:rPr>
              <w:t>0.406</w:t>
            </w:r>
          </w:p>
        </w:tc>
        <w:tc>
          <w:tcPr>
            <w:tcW w:type="dxa" w:w="1666"/>
            <w:vAlign w:val="center"/>
          </w:tcPr>
          <w:p>
            <w:pPr>
              <w:spacing w:after="40"/>
            </w:pPr>
            <w:r>
              <w:rPr>
                <w:sz w:val="16"/>
              </w:rPr>
              <w:t>1.7%</w:t>
            </w:r>
          </w:p>
        </w:tc>
        <w:tc>
          <w:tcPr>
            <w:tcW w:type="dxa" w:w="1666"/>
            <w:vAlign w:val="center"/>
          </w:tcPr>
          <w:p>
            <w:pPr>
              <w:spacing w:after="40"/>
            </w:pPr>
            <w:r>
              <w:rPr>
                <w:sz w:val="16"/>
              </w:rPr>
              <w:t>4</w:t>
            </w:r>
          </w:p>
        </w:tc>
        <w:tc>
          <w:tcPr>
            <w:tcW w:type="dxa" w:w="1666"/>
            <w:vAlign w:val="center"/>
          </w:tcPr>
          <w:p>
            <w:pPr>
              <w:spacing w:after="40"/>
            </w:pPr>
            <w:r>
              <w:rPr>
                <w:sz w:val="16"/>
              </w:rPr>
              <w:t>0.346</w:t>
            </w:r>
          </w:p>
        </w:tc>
      </w:tr>
      <w:tr>
        <w:tc>
          <w:tcPr>
            <w:tcW w:type="dxa" w:w="1666"/>
            <w:shd w:fill="F7F9FB"/>
            <w:vAlign w:val="center"/>
          </w:tcPr>
          <w:p>
            <w:pPr>
              <w:spacing w:after="40"/>
            </w:pPr>
            <w:r>
              <w:rPr>
                <w:sz w:val="16"/>
              </w:rPr>
              <w:t>3.0</w:t>
            </w:r>
          </w:p>
        </w:tc>
        <w:tc>
          <w:tcPr>
            <w:tcW w:type="dxa" w:w="1666"/>
            <w:shd w:fill="F7F9FB"/>
            <w:vAlign w:val="center"/>
          </w:tcPr>
          <w:p>
            <w:pPr>
              <w:spacing w:after="40"/>
            </w:pPr>
            <w:r>
              <w:rPr>
                <w:sz w:val="16"/>
              </w:rPr>
              <w:t>1</w:t>
            </w:r>
          </w:p>
        </w:tc>
        <w:tc>
          <w:tcPr>
            <w:tcW w:type="dxa" w:w="1666"/>
            <w:shd w:fill="F7F9FB"/>
            <w:vAlign w:val="center"/>
          </w:tcPr>
          <w:p>
            <w:pPr>
              <w:spacing w:after="40"/>
            </w:pPr>
            <w:r>
              <w:rPr>
                <w:sz w:val="16"/>
              </w:rPr>
              <w:t>0.387</w:t>
            </w:r>
          </w:p>
        </w:tc>
        <w:tc>
          <w:tcPr>
            <w:tcW w:type="dxa" w:w="1666"/>
            <w:shd w:fill="F7F9FB"/>
            <w:vAlign w:val="center"/>
          </w:tcPr>
          <w:p>
            <w:pPr>
              <w:spacing w:after="40"/>
            </w:pPr>
            <w:r>
              <w:rPr>
                <w:sz w:val="16"/>
              </w:rPr>
              <w:t>0.0%</w:t>
            </w:r>
          </w:p>
        </w:tc>
        <w:tc>
          <w:tcPr>
            <w:tcW w:type="dxa" w:w="1666"/>
            <w:shd w:fill="F7F9FB"/>
            <w:vAlign w:val="center"/>
          </w:tcPr>
          <w:p>
            <w:pPr>
              <w:spacing w:after="40"/>
            </w:pPr>
            <w:r>
              <w:rPr>
                <w:sz w:val="16"/>
              </w:rPr>
              <w:t>4</w:t>
            </w:r>
          </w:p>
        </w:tc>
        <w:tc>
          <w:tcPr>
            <w:tcW w:type="dxa" w:w="1666"/>
            <w:shd w:fill="F7F9FB"/>
            <w:vAlign w:val="center"/>
          </w:tcPr>
          <w:p>
            <w:pPr>
              <w:spacing w:after="40"/>
            </w:pPr>
            <w:r>
              <w:rPr>
                <w:sz w:val="16"/>
              </w:rPr>
              <w:t>0.283</w:t>
            </w:r>
          </w:p>
        </w:tc>
      </w:tr>
      <w:tr>
        <w:tc>
          <w:tcPr>
            <w:tcW w:type="dxa" w:w="1666"/>
            <w:vAlign w:val="center"/>
          </w:tcPr>
          <w:p>
            <w:pPr>
              <w:spacing w:after="40"/>
            </w:pPr>
            <w:r>
              <w:rPr>
                <w:sz w:val="16"/>
              </w:rPr>
              <w:t>1.5</w:t>
            </w:r>
          </w:p>
        </w:tc>
        <w:tc>
          <w:tcPr>
            <w:tcW w:type="dxa" w:w="1666"/>
            <w:vAlign w:val="center"/>
          </w:tcPr>
          <w:p>
            <w:pPr>
              <w:spacing w:after="40"/>
            </w:pPr>
            <w:r>
              <w:rPr>
                <w:sz w:val="16"/>
              </w:rPr>
              <w:t>5</w:t>
            </w:r>
          </w:p>
        </w:tc>
        <w:tc>
          <w:tcPr>
            <w:tcW w:type="dxa" w:w="1666"/>
            <w:vAlign w:val="center"/>
          </w:tcPr>
          <w:p>
            <w:pPr>
              <w:spacing w:after="40"/>
            </w:pPr>
            <w:r>
              <w:rPr>
                <w:sz w:val="16"/>
              </w:rPr>
              <w:t>0.444</w:t>
            </w:r>
          </w:p>
        </w:tc>
        <w:tc>
          <w:tcPr>
            <w:tcW w:type="dxa" w:w="1666"/>
            <w:vAlign w:val="center"/>
          </w:tcPr>
          <w:p>
            <w:pPr>
              <w:spacing w:after="40"/>
            </w:pPr>
            <w:r>
              <w:rPr>
                <w:sz w:val="16"/>
              </w:rPr>
              <w:t>0.0%</w:t>
            </w:r>
          </w:p>
        </w:tc>
        <w:tc>
          <w:tcPr>
            <w:tcW w:type="dxa" w:w="1666"/>
            <w:vAlign w:val="center"/>
          </w:tcPr>
          <w:p>
            <w:pPr>
              <w:spacing w:after="40"/>
            </w:pPr>
            <w:r>
              <w:rPr>
                <w:sz w:val="16"/>
              </w:rPr>
              <w:t>3</w:t>
            </w:r>
          </w:p>
        </w:tc>
        <w:tc>
          <w:tcPr>
            <w:tcW w:type="dxa" w:w="1666"/>
            <w:vAlign w:val="center"/>
          </w:tcPr>
          <w:p>
            <w:pPr>
              <w:spacing w:after="40"/>
            </w:pPr>
            <w:r>
              <w:rPr>
                <w:sz w:val="16"/>
              </w:rPr>
              <w:t>0.510</w:t>
            </w:r>
          </w:p>
        </w:tc>
      </w:tr>
      <w:tr>
        <w:tc>
          <w:tcPr>
            <w:tcW w:type="dxa" w:w="1666"/>
            <w:shd w:fill="F7F9FB"/>
            <w:vAlign w:val="center"/>
          </w:tcPr>
          <w:p>
            <w:pPr>
              <w:spacing w:after="40"/>
            </w:pPr>
            <w:r>
              <w:rPr>
                <w:sz w:val="16"/>
              </w:rPr>
              <w:t>1.5</w:t>
            </w:r>
          </w:p>
        </w:tc>
        <w:tc>
          <w:tcPr>
            <w:tcW w:type="dxa" w:w="1666"/>
            <w:shd w:fill="F7F9FB"/>
            <w:vAlign w:val="center"/>
          </w:tcPr>
          <w:p>
            <w:pPr>
              <w:spacing w:after="40"/>
            </w:pPr>
            <w:r>
              <w:rPr>
                <w:sz w:val="16"/>
              </w:rPr>
              <w:t>10</w:t>
            </w:r>
          </w:p>
        </w:tc>
        <w:tc>
          <w:tcPr>
            <w:tcW w:type="dxa" w:w="1666"/>
            <w:shd w:fill="F7F9FB"/>
            <w:vAlign w:val="center"/>
          </w:tcPr>
          <w:p>
            <w:pPr>
              <w:spacing w:after="40"/>
            </w:pPr>
            <w:r>
              <w:rPr>
                <w:sz w:val="16"/>
              </w:rPr>
              <w:t>0.430</w:t>
            </w:r>
          </w:p>
        </w:tc>
        <w:tc>
          <w:tcPr>
            <w:tcW w:type="dxa" w:w="1666"/>
            <w:shd w:fill="F7F9FB"/>
            <w:vAlign w:val="center"/>
          </w:tcPr>
          <w:p>
            <w:pPr>
              <w:spacing w:after="40"/>
            </w:pPr>
            <w:r>
              <w:rPr>
                <w:sz w:val="16"/>
              </w:rPr>
              <w:t>1.7%</w:t>
            </w:r>
          </w:p>
        </w:tc>
        <w:tc>
          <w:tcPr>
            <w:tcW w:type="dxa" w:w="1666"/>
            <w:shd w:fill="F7F9FB"/>
            <w:vAlign w:val="center"/>
          </w:tcPr>
          <w:p>
            <w:pPr>
              <w:spacing w:after="40"/>
            </w:pPr>
            <w:r>
              <w:rPr>
                <w:sz w:val="16"/>
              </w:rPr>
              <w:t>3</w:t>
            </w:r>
          </w:p>
        </w:tc>
        <w:tc>
          <w:tcPr>
            <w:tcW w:type="dxa" w:w="1666"/>
            <w:shd w:fill="F7F9FB"/>
            <w:vAlign w:val="center"/>
          </w:tcPr>
          <w:p>
            <w:pPr>
              <w:spacing w:after="40"/>
            </w:pPr>
            <w:r>
              <w:rPr>
                <w:sz w:val="16"/>
              </w:rPr>
              <w:t>0.449</w:t>
            </w:r>
          </w:p>
        </w:tc>
      </w:tr>
    </w:tbl>
    <w:p/>
    <w:p>
      <w:r>
        <w:t>γ=1.5로 고정한 뒤 상한을 5로 올렸을 때 micro F1이 0.409에서 0.444로 높아졌다. 상한 10에서는 0.430으로 낮아져 상한 5를 채택했다. 이는 해당 데이터와 평가 분할에서의 선택이며, 다른 데이터에서도 같은 순위가 유지된다는 뜻은 아니다.</w:t>
      </w:r>
    </w:p>
    <w:p>
      <w:pPr>
        <w:pStyle w:val="Heading1"/>
      </w:pPr>
      <w:r>
        <w:t>4 최종 설정의 유형별 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DFE7EF"/>
            <w:vAlign w:val="center"/>
          </w:tcPr>
          <w:p>
            <w:pPr>
              <w:spacing w:after="40"/>
            </w:pPr>
            <w:r>
              <w:rPr>
                <w:b/>
                <w:sz w:val="16"/>
              </w:rPr>
              <w:t>위법 유형</w:t>
            </w:r>
          </w:p>
        </w:tc>
        <w:tc>
          <w:tcPr>
            <w:tcW w:type="dxa" w:w="3331"/>
            <w:shd w:fill="DFE7EF"/>
            <w:vAlign w:val="center"/>
          </w:tcPr>
          <w:p>
            <w:pPr>
              <w:spacing w:after="40"/>
            </w:pPr>
            <w:r>
              <w:rPr>
                <w:b/>
                <w:sz w:val="16"/>
              </w:rPr>
              <w:t>평가 F1</w:t>
            </w:r>
          </w:p>
        </w:tc>
        <w:tc>
          <w:tcPr>
            <w:tcW w:type="dxa" w:w="3331"/>
            <w:shd w:fill="DFE7EF"/>
            <w:vAlign w:val="center"/>
          </w:tcPr>
          <w:p>
            <w:pPr>
              <w:spacing w:after="40"/>
            </w:pPr>
            <w:r>
              <w:rPr>
                <w:b/>
                <w:sz w:val="16"/>
              </w:rPr>
              <w:t>해석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거짓_과장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0.548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주요 성능 기여</w:t>
            </w:r>
          </w:p>
        </w:tc>
      </w:tr>
      <w:tr>
        <w:tc>
          <w:tcPr>
            <w:tcW w:type="dxa" w:w="3331"/>
            <w:shd w:fill="F7F9FB"/>
            <w:vAlign w:val="center"/>
          </w:tcPr>
          <w:p>
            <w:pPr>
              <w:spacing w:after="40"/>
            </w:pPr>
            <w:r>
              <w:rPr>
                <w:sz w:val="16"/>
              </w:rPr>
              <w:t>소비자_기만</w:t>
            </w:r>
          </w:p>
        </w:tc>
        <w:tc>
          <w:tcPr>
            <w:tcW w:type="dxa" w:w="3331"/>
            <w:shd w:fill="F7F9FB"/>
            <w:vAlign w:val="center"/>
          </w:tcPr>
          <w:p>
            <w:pPr>
              <w:spacing w:after="40"/>
            </w:pPr>
            <w:r>
              <w:rPr>
                <w:sz w:val="16"/>
              </w:rPr>
              <w:t>0.502</w:t>
            </w:r>
          </w:p>
        </w:tc>
        <w:tc>
          <w:tcPr>
            <w:tcW w:type="dxa" w:w="3331"/>
            <w:shd w:fill="F7F9FB"/>
            <w:vAlign w:val="center"/>
          </w:tcPr>
          <w:p>
            <w:pPr>
              <w:spacing w:after="40"/>
            </w:pPr>
            <w:r>
              <w:rPr>
                <w:sz w:val="16"/>
              </w:rPr>
              <w:t>상한 1 대비 개선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비방광고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0.275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평가 양성 12건으로 참고용</w:t>
            </w:r>
          </w:p>
        </w:tc>
      </w:tr>
      <w:tr>
        <w:tc>
          <w:tcPr>
            <w:tcW w:type="dxa" w:w="3331"/>
            <w:shd w:fill="F7F9FB"/>
            <w:vAlign w:val="center"/>
          </w:tcPr>
          <w:p>
            <w:pPr>
              <w:spacing w:after="40"/>
            </w:pPr>
            <w:r>
              <w:rPr>
                <w:sz w:val="16"/>
              </w:rPr>
              <w:t>질병_예방치료_표방</w:t>
            </w:r>
          </w:p>
        </w:tc>
        <w:tc>
          <w:tcPr>
            <w:tcW w:type="dxa" w:w="3331"/>
            <w:shd w:fill="F7F9FB"/>
            <w:vAlign w:val="center"/>
          </w:tcPr>
          <w:p>
            <w:pPr>
              <w:spacing w:after="40"/>
            </w:pPr>
            <w:r>
              <w:rPr>
                <w:sz w:val="16"/>
              </w:rPr>
              <w:t>0.250</w:t>
            </w:r>
          </w:p>
        </w:tc>
        <w:tc>
          <w:tcPr>
            <w:tcW w:type="dxa" w:w="3331"/>
            <w:shd w:fill="F7F9FB"/>
            <w:vAlign w:val="center"/>
          </w:tcPr>
          <w:p>
            <w:pPr>
              <w:spacing w:after="40"/>
            </w:pPr>
            <w:r>
              <w:rPr>
                <w:sz w:val="16"/>
              </w:rPr>
              <w:t>평가 양성 6건으로 참고용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부당_비교광고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0.103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탐지는 시작했으나 낮음</w:t>
            </w:r>
          </w:p>
        </w:tc>
      </w:tr>
      <w:tr>
        <w:tc>
          <w:tcPr>
            <w:tcW w:type="dxa" w:w="3331"/>
            <w:shd w:fill="F7F9FB"/>
            <w:vAlign w:val="center"/>
          </w:tcPr>
          <w:p>
            <w:pPr>
              <w:spacing w:after="40"/>
            </w:pPr>
            <w:r>
              <w:rPr>
                <w:sz w:val="16"/>
              </w:rPr>
              <w:t>건강기능식품_오인</w:t>
            </w:r>
          </w:p>
        </w:tc>
        <w:tc>
          <w:tcPr>
            <w:tcW w:type="dxa" w:w="3331"/>
            <w:shd w:fill="F7F9FB"/>
            <w:vAlign w:val="center"/>
          </w:tcPr>
          <w:p>
            <w:pPr>
              <w:spacing w:after="40"/>
            </w:pPr>
            <w:r>
              <w:rPr>
                <w:sz w:val="16"/>
              </w:rPr>
              <w:t>0.000</w:t>
            </w:r>
          </w:p>
        </w:tc>
        <w:tc>
          <w:tcPr>
            <w:tcW w:type="dxa" w:w="3331"/>
            <w:shd w:fill="F7F9FB"/>
            <w:vAlign w:val="center"/>
          </w:tcPr>
          <w:p>
            <w:pPr>
              <w:spacing w:after="40"/>
            </w:pPr>
            <w:r>
              <w:rPr>
                <w:sz w:val="16"/>
              </w:rPr>
              <w:t>기본 임계값에서 탐지 실패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의약품_오인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0.000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기본 임계값에서 탐지 실패</w:t>
            </w:r>
          </w:p>
        </w:tc>
      </w:tr>
      <w:tr>
        <w:tc>
          <w:tcPr>
            <w:tcW w:type="dxa" w:w="3331"/>
            <w:shd w:fill="F7F9FB"/>
            <w:vAlign w:val="center"/>
          </w:tcPr>
          <w:p>
            <w:pPr>
              <w:spacing w:after="40"/>
            </w:pPr>
            <w:r>
              <w:rPr>
                <w:sz w:val="16"/>
              </w:rPr>
              <w:t>후기_체험기_기만</w:t>
            </w:r>
          </w:p>
        </w:tc>
        <w:tc>
          <w:tcPr>
            <w:tcW w:type="dxa" w:w="3331"/>
            <w:shd w:fill="F7F9FB"/>
            <w:vAlign w:val="center"/>
          </w:tcPr>
          <w:p>
            <w:pPr>
              <w:spacing w:after="40"/>
            </w:pPr>
            <w:r>
              <w:rPr>
                <w:sz w:val="16"/>
              </w:rPr>
              <w:t>0.000</w:t>
            </w:r>
          </w:p>
        </w:tc>
        <w:tc>
          <w:tcPr>
            <w:tcW w:type="dxa" w:w="3331"/>
            <w:shd w:fill="F7F9FB"/>
            <w:vAlign w:val="center"/>
          </w:tcPr>
          <w:p>
            <w:pPr>
              <w:spacing w:after="40"/>
            </w:pPr>
            <w:r>
              <w:rPr>
                <w:sz w:val="16"/>
              </w:rPr>
              <w:t>평가 양성 1건으로 측정 불충분</w:t>
            </w:r>
          </w:p>
        </w:tc>
      </w:tr>
    </w:tbl>
    <w:p/>
    <w:p>
      <w:r>
        <w:t>라벨별 임계값을 같은 평가셋에서 탐색하면 일부 라벨의 F1이 올라가지만, 그 결과는 임계값 선택에 평가셋을 다시 사용한 수치다. 별도 검증셋에서 임계값을 정하고 봉인 평가셋에서 다시 측정하기 전까지 공식 성능으로 제시하지 않는다.</w:t>
      </w:r>
    </w:p>
    <w:p>
      <w:pPr>
        <w:pStyle w:val="Heading1"/>
      </w:pPr>
      <w:r>
        <w:t>5 기준선 비교와 남은 문제</w:t>
      </w:r>
    </w:p>
    <w:p>
      <w:r>
        <w:t>사전 매칭 판정기 B의 Recall과 비교한 G1 상대 기준(B+0.15)에서는 거짓_과장과 소비자_기만이 통과했고, 건강기능식품_오인과 부당_비교광고는 미달했다. 나머지 4개 유형은 평가 정답이 30건 미만이어서 참고용이다. 이 기준으로는 전체 배포 게이트 통과로 볼 수 없다.</w:t>
      </w:r>
    </w:p>
    <w:p>
      <w:r>
        <w:t>다음 작업은 round2 사람 라벨의 검증·판정 완료, 특히 F1=0 유형의 평가 표본 보강, 최종 설정 재학습, 분리된 검증셋에서 임계값 선정, 봉인 평가셋 재측정이다. 학습 결과와 실제 전달할 모델 파일의 백본·γ·상한·라벨 순서·임계값이 일치하는지도 확인해야 한다.</w:t>
      </w:r>
    </w:p>
    <w:p>
      <w:pPr>
        <w:pStyle w:val="Heading1"/>
      </w:pPr>
      <w:r>
        <w:t>6 제출 근거와 확인 사항</w:t>
      </w:r>
    </w:p>
    <w:p>
      <w:r>
        <w:t>근거 자료: 「판정_인코더_파인튜닝_결과_0922최종_박수진.docx」, 「copylane_encoder_finetune_v3_gamma_sweap.ipynb」, 「copylane_encoder_finetune_v4_0_pos_weight_cap_sweap (1).ipynb」, 설계결정기록 D-70·D-174·D-231·D-255. 수치는 이 자료의 9월 22일 실행 기록을 옮겼다.</w:t>
      </w:r>
    </w:p>
    <w:p>
      <w:r>
        <w:t>제출 전 확인: 최종 CAP=5 모델 압축본의 실제 경로와 내용, 원본 데이터 해시, 보고서에 넣을 실행 환경 및 모델 파일 해시. 제공된 v4 노트북의 마지막 저장 로그는 CAP=10 비교 실험이므로 최종 채택 모델 증빙으로 사용하지 않는다.</w:t>
      </w:r>
    </w:p>
    <w:sectPr w:rsidR="00FC693F" w:rsidRPr="0006063C" w:rsidSect="00034616">
      <w:footerReference w:type="default" r:id="rId9"/>
      <w:pgSz w:w="12240" w:h="15840"/>
      <w:pgMar w:top="1123" w:right="1123" w:bottom="1123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CopyLane  |  학습결과서 2차 초안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맑은 고딕" w:hAnsi="맑은 고딕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맑은 고딕" w:hAnsi="맑은 고딕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맑은 고딕" w:hAnsi="맑은 고딕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