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판정 인코더 학습결과서 2차</w:t>
      </w:r>
    </w:p>
    <w:p>
      <w:r>
        <w:t>CopyLane  |  박수진  |  4주차 제출 초안  |  실험 기준일 2026년 9월 22일</w:t>
      </w:r>
    </w:p>
    <w:p>
      <w:pPr>
        <w:pStyle w:val="Heading1"/>
      </w:pPr>
      <w:r>
        <w:t>결과 요약</w:t>
      </w:r>
    </w:p>
    <w:p>
      <w:r>
        <w:t>판정 인코더의 8개 위법 유형 다중 라벨 실험에서 kcbert-base와 Focal Loss γ=1.5, 양성 가중치 상한 5를 채택했다. 기존 분할을 유지한 평가 문구 352건에서 기본 임계값 0.5 기준 micro F1은 0.444였다. γ=1.5·상한 1의 0.409보다 높았고, 상한 10의 0.430보다도 높았다. 무해 문장 60건의 오판정률은 이 실행에서 0%였다.</w:t>
      </w:r>
    </w:p>
    <w:p>
      <w:r>
        <w:t>이 결과는 유형 전체의 실사용 준비를 뜻하지 않는다. 건강기능식품_오인·의약품_오인·후기_체험기_기만은 기본 임계값에서 F1이 0이며, 배포 판단에 쓰는 상대 Recall 기준도 일부 유형에서 미달했다.</w:t>
      </w:r>
    </w:p>
    <w:p>
      <w:pPr>
        <w:pStyle w:val="Heading1"/>
      </w:pPr>
      <w:r>
        <w:t>1 무엇을 학습했나</w:t>
      </w:r>
    </w:p>
    <w:p>
      <w:r>
        <w:t>문구 한 건에서 여러 위법 유형이 함께 나타날 수 있으므로 8개 라벨을 독립적으로 예측했다. 거짓_과장과 소비자_기만은 합치지 않았고(D-231), 후기_체험기_기만은 다른 라벨과 공존 가능한 형식 라벨로 두었다(D-255). 문서 수준의 위험도 조합, 근거 조문 제시, 서비스 전체 판정 성능은 이번 실험의 평가 범위 밖이다.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3EAF1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4997"/>
            <w:shd w:fill="E3EAF1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설정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백본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beomi/kcbert-base (D-70)</w:t>
            </w:r>
          </w:p>
        </w:tc>
      </w:tr>
      <w:tr>
        <w:tc>
          <w:tcPr>
            <w:tcW w:type="dxa" w:w="4997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학습 입력</w:t>
            </w:r>
          </w:p>
        </w:tc>
        <w:tc>
          <w:tcPr>
            <w:tcW w:type="dxa" w:w="4997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golden.jsonl 6,741행 + injected_golden.jsonl 902행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분할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기존 split 기준 학습 7,291행 / test_sentence 평가 352행</w:t>
            </w:r>
          </w:p>
        </w:tc>
      </w:tr>
      <w:tr>
        <w:tc>
          <w:tcPr>
            <w:tcW w:type="dxa" w:w="4997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학습 조건</w:t>
            </w:r>
          </w:p>
        </w:tc>
        <w:tc>
          <w:tcPr>
            <w:tcW w:type="dxa" w:w="4997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3 epoch, 학습률 2e-5, 최대 길이 128, 학습 배치 16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선택한 손실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Focal Loss γ=1.5, pos_weight 상한 5</w:t>
            </w:r>
          </w:p>
        </w:tc>
      </w:tr>
    </w:tbl>
    <w:p>
      <w:pPr>
        <w:spacing w:after="0"/>
      </w:pPr>
    </w:p>
    <w:p>
      <w:r>
        <w:t>노트북은 물질화된 데이터의 split 값을 따라 학습과 평가를 나눴으며 임의 재분할은 하지 않았다. D-174의 핵심인 분할 선행 원칙과 연결되는 구현이다. 다만 제출 재현성을 위해 입력 파일 해시와 split_manifest.json의 doc_id 대응 검사를 별도 기록으로 남겨야 한다.</w:t>
      </w:r>
    </w:p>
    <w:p>
      <w:pPr>
        <w:pStyle w:val="Heading1"/>
      </w:pPr>
      <w:r>
        <w:t>2 설정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E3EAF1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γ</w:t>
            </w:r>
          </w:p>
        </w:tc>
        <w:tc>
          <w:tcPr>
            <w:tcW w:type="dxa" w:w="1999"/>
            <w:shd w:fill="E3EAF1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상한</w:t>
            </w:r>
          </w:p>
        </w:tc>
        <w:tc>
          <w:tcPr>
            <w:tcW w:type="dxa" w:w="1999"/>
            <w:shd w:fill="E3EAF1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micro F1</w:t>
            </w:r>
          </w:p>
        </w:tc>
        <w:tc>
          <w:tcPr>
            <w:tcW w:type="dxa" w:w="1999"/>
            <w:shd w:fill="E3EAF1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무해 오판정률</w:t>
            </w:r>
          </w:p>
        </w:tc>
        <w:tc>
          <w:tcPr>
            <w:tcW w:type="dxa" w:w="1999"/>
            <w:shd w:fill="E3EAF1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F1 0개 유형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1.0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0.394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1.7%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1.5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0.409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0.0%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2.0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0.406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1.7%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3.0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0.387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0.0%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1.5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0.444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0.0%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1.5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0.430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1.7%</w:t>
            </w:r>
          </w:p>
        </w:tc>
        <w:tc>
          <w:tcPr>
            <w:tcW w:type="dxa" w:w="199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</w:tr>
    </w:tbl>
    <w:p>
      <w:pPr>
        <w:spacing w:after="0"/>
      </w:pPr>
    </w:p>
    <w:p>
      <w:r>
        <w:t>먼저 상한 1에서 γ를 비교하고, 선택한 γ=1.5에서 가중치 상한을 바꿨다. 상한 5는 micro F1과 무해 오판정률을 함께 볼 때 이 실험의 최선이었다. 상한을 10으로 더 높이면 성능은 오히려 감소했다.</w:t>
      </w:r>
    </w:p>
    <w:p>
      <w:pPr>
        <w:pStyle w:val="Heading1"/>
      </w:pPr>
      <w:r>
        <w:t>3 유형별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E3EAF1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위법 유형</w:t>
            </w:r>
          </w:p>
        </w:tc>
        <w:tc>
          <w:tcPr>
            <w:tcW w:type="dxa" w:w="2498"/>
            <w:shd w:fill="E3EAF1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평가 양성 수</w:t>
            </w:r>
          </w:p>
        </w:tc>
        <w:tc>
          <w:tcPr>
            <w:tcW w:type="dxa" w:w="2498"/>
            <w:shd w:fill="E3EAF1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F1</w:t>
            </w:r>
          </w:p>
        </w:tc>
        <w:tc>
          <w:tcPr>
            <w:tcW w:type="dxa" w:w="2498"/>
            <w:shd w:fill="E3EAF1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판독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거짓_과장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108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0.548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상대 Recall 기준 통과</w:t>
            </w:r>
          </w:p>
        </w:tc>
      </w:tr>
      <w:tr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소비자_기만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70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0.502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상대 Recall 기준 통과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건강기능식품_오인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53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0.000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상대 Recall 기준 미달</w:t>
            </w:r>
          </w:p>
        </w:tc>
      </w:tr>
      <w:tr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부당_비교광고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35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0.103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상대 Recall 기준 미달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비방광고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0.275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표본 부족, 참고용</w:t>
            </w:r>
          </w:p>
        </w:tc>
      </w:tr>
      <w:tr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의약품_오인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0.000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표본 부족, 참고용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질병_예방치료_표방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0.250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sz w:val="16"/>
              </w:rPr>
              <w:t>표본 부족, 참고용</w:t>
            </w:r>
          </w:p>
        </w:tc>
      </w:tr>
      <w:tr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후기_체험기_기만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0.000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표본 부족, 참고용</w:t>
            </w:r>
          </w:p>
        </w:tc>
      </w:tr>
    </w:tbl>
    <w:p>
      <w:pPr>
        <w:spacing w:after="0"/>
      </w:pPr>
    </w:p>
    <w:p>
      <w:r>
        <w:t>유형별 수치는 동일 평가셋의 기본 임계값 0.5에서 계산했다. 평가 양성이 30건 미만인 유형은 F1의 변동이 크므로 성능 확정값으로 해석하지 않는다. 소비자_기만과 후기_체험기_기만의 5호 묶음 보조 F1은 0.510이지만, 개별 유형 성능을 대신하지 않는다.</w:t>
      </w:r>
    </w:p>
    <w:p>
      <w:pPr>
        <w:pStyle w:val="Heading1"/>
      </w:pPr>
      <w:r>
        <w:t>4 배포 판단과 한계</w:t>
      </w:r>
    </w:p>
    <w:p>
      <w:r>
        <w:t>사전 매칭 판정기 B 대비 Recall을 0.15 이상 높인다는 상대 기준에서는 거짓_과장과 소비자_기만만 통과했다. 건강기능식품_오인과 부당_비교광고는 미달했고 나머지 네 유형은 양성 수가 30건 미만이어서 참고용이다. 따라서 현재 결과로 전체 배포 게이트를 통과했다고 판단할 수 없다.</w:t>
      </w:r>
    </w:p>
    <w:p>
      <w:r>
        <w:t>라벨별 임계값을 평가셋에서 탐색하면 일부 F1이 올라간다. 그러나 같은 평가셋을 임계값 선택에도 썼으므로 그 수치는 낙관적일 수 있다. 별도 검증셋에서 임계값을 정하고 봉인 평가셋에서 다시 측정해야 한다. 무해 오판정률 0%도 이번 평가의 무해 문장 60건에 한정된다.</w:t>
      </w:r>
    </w:p>
    <w:p>
      <w:pPr>
        <w:pStyle w:val="Heading1"/>
      </w:pPr>
      <w:r>
        <w:t>5 다음 실험과 제출 확인</w:t>
      </w:r>
    </w:p>
    <w:p>
      <w:r>
        <w:t>round2 사람 라벨의 비교·판정을 끝내 평가 표본을 보강한 뒤, 채택 설정으로 재학습한다. 새 검증 분할에서 임계값을 정하고 봉인 평가셋으로 유형별 Recall·Precision·F1과 무해 오판정률을 다시 측정한다. 특히 기본 임계값에서 F1이 0인 세 유형을 별도 추적한다.</w:t>
      </w:r>
    </w:p>
    <w:p>
      <w:r>
        <w:t>모델 산출물을 함께 제출할 때는 실제 가중치·tokenizer·config·label_scheme의 백본, 라벨 순서, γ와 상한이 보고서와 같은지 확인한다. 제공된 v4 노트북의 마지막 저장 로그는 상한 10 비교 실험이다. 최종 상한 5 모델의 파일 경로와 해시는 아직 이 초안에서 확인하지 못했다.</w:t>
      </w:r>
    </w:p>
    <w:p>
      <w:pPr>
        <w:pStyle w:val="Heading1"/>
      </w:pPr>
      <w:r>
        <w:t>근거 자료</w:t>
      </w:r>
    </w:p>
    <w:p>
      <w:r>
        <w:t>박수진, 판정_인코더_파인튜닝_결과_0922최종_박수진.docx (2026-09-22). 실험 로그: copylane_encoder_finetune_v3_gamma_sweap.ipynb, copylane_encoder_finetune_v4_0_pos_weight_cap_sweap (1).ipynb. 설계 기준: docs/00_설계결정기록.md의 D-70, D-174, D-231, D-255. 이 초안은 새 실험을 수행하지 않았으며 해당 실행 기록을 재구성했다.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CopyLane  |  2차 학습결과서 초안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맑은 고딕" w:hAnsi="맑은 고딕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