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구축 대행이 아니라 도구 판매</w:t>
      </w:r>
    </w:p>
    <w:p>
      <w:pPr>
        <w:widowControl w:val="0"/>
        <w:spacing w:after="60" w:line="264" w:lineRule="auto"/>
        <w:ind w:left="720"/>
        <w:jc w:val="both"/>
      </w:pPr>
      <w:r>
        <w:rPr>
          <w:rFonts w:ascii="Malgun Gothic" w:cs="Malgun Gothic" w:eastAsia="Malgun Gothic" w:hAnsi="Malgun Gothic"/>
          <w:sz w:val="20"/>
          <w:szCs w:val="20"/>
          <w:rtl w:val="0"/>
        </w:rPr>
        <w:t xml:space="preserve">Team이 Registry 등록형이므로 도입 기업이 자사 업무 Team을 직접 추가해도 Core 코드는 바뀌지 않는다. 우리가 매번 대신 만들어 주는 구축 서비스가 아니라, 기업이 자기 Team을 꽂아 쓰는 플랫폼으로 판다. 이 선택이 모듈화 설계와 계약 불변성을 상업적 근거로 만든다.</w:t>
      </w:r>
    </w:p>
    <w:p>
      <w:pPr>
        <w:jc w:val="center"/>
        <w:spacing w:before="120" w:after="60"/>
      </w:pPr>
      <w:r>
        <w:rPr>
          <w:noProof/>
        </w:rPr>
        <w:drawing>
          <wp:inline xmlns:wp="http://schemas.openxmlformats.org/drawingml/2006/wordprocessingDrawing" distT="0" distB="0" distL="0" distR="0">
            <wp:extent cx="5852160" cy="5181993"/>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5852160" cy="518199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우리가 파는 것. 고정된 Runtime 하나 위에 업무 팩을 갈아 끼운다. 세 번째 칸은 도입 기업이 직접 만들어 꽂는 자리다.</w:t>
      </w:r>
    </w:p>
    <w:p>
      <w:pPr>
        <w:widowControl w:val="0"/>
        <w:spacing w:after="60" w:line="264" w:lineRule="auto"/>
        <w:ind w:left="1080"/>
        <w:jc w:val="both"/>
      </w:pPr>
      <w:r>
        <w:rPr>
          <w:rFonts w:ascii="Malgun Gothic" w:cs="Malgun Gothic" w:eastAsia="Malgun Gothic" w:hAnsi="Malgun Gothic"/>
          <w:sz w:val="20"/>
          <w:szCs w:val="20"/>
          <w:rtl w:val="0"/>
        </w:rPr>
        <w:t xml:space="preserve">- 우리가 대는 것. Runtime, 승인과 감사, 평가 도구, CS Pack, 계약 문서</w:t>
      </w:r>
    </w:p>
    <w:p>
      <w:pPr>
        <w:widowControl w:val="0"/>
        <w:spacing w:after="60" w:line="264" w:lineRule="auto"/>
        <w:ind w:left="1080"/>
        <w:jc w:val="both"/>
      </w:pPr>
      <w:r>
        <w:rPr>
          <w:rFonts w:ascii="Malgun Gothic" w:cs="Malgun Gothic" w:eastAsia="Malgun Gothic" w:hAnsi="Malgun Gothic"/>
          <w:sz w:val="20"/>
          <w:szCs w:val="20"/>
          <w:rtl w:val="0"/>
        </w:rPr>
        <w:t xml:space="preserve">- 도입 기업이 대는 것. 자사 정책과 지식 문서, 자사 업무 Team, 승인 규칙, 운영 인력</w:t>
      </w:r>
    </w:p>
    <w:p>
      <w:pPr>
        <w:widowControl w:val="0"/>
        <w:spacing w:after="60" w:line="264" w:lineRule="auto"/>
        <w:ind w:left="1080"/>
        <w:jc w:val="both"/>
      </w:pPr>
      <w:r>
        <w:rPr>
          <w:rFonts w:ascii="Malgun Gothic" w:cs="Malgun Gothic" w:eastAsia="Malgun Gothic" w:hAnsi="Malgun Gothic"/>
          <w:sz w:val="20"/>
          <w:szCs w:val="20"/>
          <w:rtl w:val="0"/>
        </w:rPr>
        <w:t xml:space="preserve">- 함께 하는 것. 골든셋 작성과 도입 초기 기준선 측정</w:t>
      </w:r>
    </w:p>
    <w:p>
      <w:pPr>
        <w:widowControl w:val="0"/>
        <w:spacing w:after="60" w:line="264" w:lineRule="auto"/>
        <w:ind w:left="720"/>
        <w:jc w:val="both"/>
      </w:pPr>
      <w:r>
        <w:rPr>
          <w:rFonts w:ascii="Malgun Gothic" w:cs="Malgun Gothic" w:eastAsia="Malgun Gothic" w:hAnsi="Malgun Gothic"/>
          <w:sz w:val="20"/>
          <w:szCs w:val="20"/>
          <w:rtl w:val="0"/>
        </w:rPr>
        <w:t xml:space="preserve">구축 대행에 맡기면 업무가 바뀔 때마다 개발사에 다시 요청하고 결과물만 남는다. A-COP를 도입하면 업무 규칙과 근거와 이력이 사내에 쌓이고, 품질을 보고서가 아니라 골든셋과 통계로 직접 측정한다.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2718976"/>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18976"/>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439467"/>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852160" cy="2439467"/>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120640" cy="2454923"/>
            <wp:effectExtent l="0" t="0" r="0" b="0"/>
            <wp:docPr id="909" name="그림 9"/>
            <a:graphic xmlns:a="http://schemas.openxmlformats.org/drawingml/2006/main">
              <a:graphicData uri="http://schemas.openxmlformats.org/drawingml/2006/picture">
                <pic:pic xmlns:pic="http://schemas.openxmlformats.org/drawingml/2006/picture">
                  <pic:nvPicPr>
                    <pic:cNvPr id="909" name="그림 9"/>
                    <pic:cNvPicPr/>
                  </pic:nvPicPr>
                  <pic:blipFill>
                    <a:blip xmlns:r="http://schemas.openxmlformats.org/officeDocument/2006/relationships" r:embed="rIdIMG509"/>
                    <a:stretch>
                      <a:fillRect/>
                    </a:stretch>
                  </pic:blipFill>
                  <pic:spPr>
                    <a:xfrm>
                      <a:off x="0" y="0"/>
                      <a:ext cx="5120640" cy="245492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9. 데이터 수집 현황. 못 가져온 부분을 0으로 채우지 않고 그대로 표시했다.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실제 72건 중 68건만 수집됐다. 4건 누락이 남아 있고 원인을 분석 중이다.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58건을 질의해 13건만 이력이 나왔다. 오래된 송장번호는 6개월에서 12개월 뒤 조회가 막히기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VOC 5종 데이터셋 약 681MB의 전처리가 아직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 Id="rIdIMG509" Type="http://schemas.openxmlformats.org/officeDocument/2006/relationships/image" Target="media/chart_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