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IEEETitle"/>
      </w:pPr>
      <w:r>
        <w:t>Comparative Analysis of Random Forest and XGBoost for Symptom-Based Disease Prediction: A Study with Large-Scale Medical Dataset</w:t>
      </w:r>
    </w:p>
    <w:p>
      <w:pPr>
        <w:pStyle w:val="IEEEAuthor"/>
      </w:pPr>
      <w:r>
        <w:t>Shyam Kishor Sah, Pandit Dhananjay, Nitika K. Yadav, Amit K. Shrivastava</w:t>
      </w:r>
    </w:p>
    <w:p>
      <w:pPr>
        <w:pStyle w:val="IEEEAuthor"/>
      </w:pPr>
      <w:r>
        <w:t>Department of Computer Engineering</w:t>
      </w:r>
    </w:p>
    <w:p>
      <w:pPr>
        <w:pStyle w:val="IEEEAuthor"/>
      </w:pPr>
      <w:r>
        <w:t>Nepal College of Information Technology</w:t>
      </w:r>
    </w:p>
    <w:p>
      <w:pPr>
        <w:pStyle w:val="IEEEAuthor"/>
      </w:pPr>
      <w:r>
        <w:t>Lalitpur, Nepal</w:t>
      </w:r>
    </w:p>
    <w:p>
      <w:pPr>
        <w:pStyle w:val="IEEEAuthor"/>
      </w:pPr>
      <w:r>
        <w:t>{shyam.231339, pandit.231328, nitika.231325, amit.shrivastava}@ncit.edu.np</w:t>
      </w:r>
    </w:p>
    <w:p/>
    <w:p>
      <w:pPr>
        <w:pStyle w:val="IEEEAbstract"/>
      </w:pPr>
      <w:r>
        <w:rPr>
          <w:b/>
        </w:rPr>
        <w:t>Abstract—</w:t>
      </w:r>
    </w:p>
    <w:p>
      <w:pPr>
        <w:pStyle w:val="IEEEBody"/>
      </w:pPr>
      <w:r>
        <w:t>Early and accurate disease diagnosis is critical for effective medical intervention, particularly in resource-constrained healthcare systems. This paper presents a comprehensive comparative analysis of Random Forest and XGBoost algorithms for symptom-based disease prediction using a large-scale medical dataset. We trained and evaluated both models on 96,088 samples encompassing 100 disease classes and 230 binary symptom features. Systematic hyperparameter optimization using 5-fold cross-validation identified optimal configurations for both algorithms. Experimental results demonstrate that Random Forest achieved superior performance with 88.31% accuracy, 90.13% precision, and 88.31% recall, outperforming XGBoost's 86.97% accuracy. Random Forest also exhibited significantly faster training time (33.25 seconds vs. 291.17 seconds) despite requiring larger storage (626.40 MB vs. 155.19 MB). Both models achieved exceptional ROC-AUC scores exceeding 0.99, indicating robust classification capability across all disease classes. Our findings suggest Random Forest as the preferred choice for symptom-based disease prediction in Nepal's healthcare context, offering optimal balance between accuracy, computational efficiency, and clinical interpretability.</w:t>
      </w:r>
    </w:p>
    <w:p>
      <w:pPr>
        <w:pStyle w:val="IEEEBody"/>
      </w:pPr>
      <w:r>
        <w:rPr>
          <w:i/>
        </w:rPr>
        <w:t>Index Terms—</w:t>
      </w:r>
      <w:r>
        <w:t>Disease prediction, Random Forest, XGBoost, symptom-based diagnosis, machine learning in healthcare, medical decision support systems, ensemble learning</w:t>
      </w:r>
    </w:p>
    <w:p/>
    <w:p>
      <w:pPr>
        <w:pStyle w:val="IEEESection"/>
      </w:pPr>
      <w:r>
        <w:t>I. INTRODUCTION</w:t>
      </w:r>
    </w:p>
    <w:p>
      <w:pPr>
        <w:pStyle w:val="IEEEBody"/>
      </w:pPr>
      <w:r>
        <w:t>Healthcare systems worldwide face mounting pressure to provide timely and accurate diagnosis amid growing patient populations and limited medical resources [1]. In developing countries like Nepal, these challenges are amplified by shortage of trained medical professionals, particularly in rural areas where access to specialized healthcare remains severely constrained [2]. Traditional diagnostic approaches rely heavily on physician expertise and laboratory investigations, both of which may be unavailable or delayed in resource-limited settings.</w:t>
      </w:r>
    </w:p>
    <w:p>
      <w:pPr>
        <w:pStyle w:val="IEEEBody"/>
      </w:pPr>
      <w:r>
        <w:t>Machine learning presents a transformative opportunity to augment clinical decision-making through intelligent symptom analysis and disease prediction. Recent advances in ensemble learning methods, particularly Random Forest and XGBoost algorithms, have demonstrated remarkable success in medical classification tasks [3], [4]. These algorithms can process patient symptom patterns and predict probable diseases with accuracy rivaling human experts, offering potential for deployment as clinical decision support tools.</w:t>
      </w:r>
    </w:p>
    <w:p>
      <w:pPr>
        <w:pStyle w:val="IEEEBody"/>
      </w:pPr>
      <w:r>
        <w:t>The primary research gap addressed by this study is the lack of comprehensive comparative analysis between Random Forest and XGBoost specifically for symptom-based disease prediction in the context of developing countries. Previous studies have typically evaluated these algorithms on smaller datasets or limited disease categories.</w:t>
      </w:r>
    </w:p>
    <w:p>
      <w:pPr>
        <w:pStyle w:val="IEEEBody"/>
      </w:pPr>
      <w:r>
        <w:t>This paper makes several key contributions to the field. First, we conduct the most extensive comparison to date of Random Forest and XGBoost for symptom-based disease prediction, utilizing 96,088 samples across 100 disease classes. Second, we perform systematic hyperparameter optimization using GridSearchCV with 5-fold cross-validation. Third, we provide comprehensive performance evaluation across multiple metrics including accuracy, precision, recall, F1-score, ROC-AUC, training time, inference latency, and model size. Fourth, we analyze results specifically through the lens of Nepal's healthcare system.</w:t>
      </w:r>
    </w:p>
    <w:p>
      <w:pPr>
        <w:pStyle w:val="IEEEBody"/>
      </w:pPr>
      <w:r>
        <w:t>The remainder of this paper is organized as follows. Section II reviews related work on machine learning in medical diagnosis. Section III describes our methodology including dataset characteristics and model configurations. Section IV presents experimental results with detailed performance analysis. Section V discusses findings in context of existing literature. Section VI concludes with key takeaways and future research directions.</w:t>
      </w:r>
    </w:p>
    <w:p>
      <w:pPr>
        <w:pStyle w:val="IEEESection"/>
      </w:pPr>
      <w:r>
        <w:t>II. RELATED WORK</w:t>
      </w:r>
    </w:p>
    <w:p>
      <w:pPr>
        <w:pStyle w:val="IEEESubsection"/>
      </w:pPr>
      <w:r>
        <w:t>A. Machine Learning in Medical Diagnosis</w:t>
      </w:r>
    </w:p>
    <w:p>
      <w:pPr>
        <w:pStyle w:val="IEEEBody"/>
      </w:pPr>
      <w:r>
        <w:t>Machine learning has emerged as a powerful tool for automated disease diagnosis, with applications spanning medical imaging, genomics, electronic health records, and symptom analysis [7]. Early work by Díaz-Uriarte and Alvarez de Andrés [8] demonstrated Random Forest's effectiveness in clinical classification, achieving 85-92% accuracy across multiple medical datasets.</w:t>
      </w:r>
    </w:p>
    <w:p>
      <w:pPr>
        <w:pStyle w:val="IEEESubsection"/>
      </w:pPr>
      <w:r>
        <w:t>B. Random Forest and XGBoost in Healthcare</w:t>
      </w:r>
    </w:p>
    <w:p>
      <w:pPr>
        <w:pStyle w:val="IEEEBody"/>
      </w:pPr>
      <w:r>
        <w:t>Random Forest has been extensively applied to various medical diagnosis tasks. Sharma and Kumar [10] compared multiple machine learning classifiers for disease prediction, finding Random Forest achieved highest accuracy (89.5%) with excellent handling of missing data. XGBoost has similarly demonstrated strong performance in healthcare applications. Chen and Guestrin [6] introduced XGBoost with superior performance in classification tasks, showing 10× faster training than existing solutions.</w:t>
      </w:r>
    </w:p>
    <w:p>
      <w:pPr>
        <w:pStyle w:val="IEEESubsection"/>
      </w:pPr>
      <w:r>
        <w:t>C. Comparative Studies</w:t>
      </w:r>
    </w:p>
    <w:p>
      <w:pPr>
        <w:pStyle w:val="IEEEBody"/>
      </w:pPr>
      <w:r>
        <w:t>Several studies have compared Random Forest and XGBoost in medical contexts. Siddiqi et al. [14] found XGBoost achieved 92.1% versus Random Forest's 89.7% accuracy for lung cancer detection. However, existing comparative studies have limitations including small datasets and limited disease categories.</w:t>
      </w:r>
    </w:p>
    <w:p>
      <w:pPr>
        <w:pStyle w:val="IEEEBody"/>
        <w:jc w:val="center"/>
      </w:pPr>
      <w:r>
        <w:rPr>
          <w:b/>
        </w:rPr>
        <w:t>TABLE I: COMPARISON WITH RELATED WORK</w:t>
      </w:r>
    </w:p>
    <w:tbl>
      <w:tblPr>
        <w:tblStyle w:val="LightGrid-Accent1"/>
        <w:tblW w:type="auto" w:w="0"/>
        <w:tblLook w:firstColumn="1" w:firstRow="1" w:lastColumn="0" w:lastRow="0" w:noHBand="0" w:noVBand="1" w:val="04A0"/>
      </w:tblPr>
      <w:tblGrid>
        <w:gridCol w:w="2088"/>
        <w:gridCol w:w="2088"/>
        <w:gridCol w:w="2088"/>
        <w:gridCol w:w="2088"/>
        <w:gridCol w:w="2088"/>
      </w:tblGrid>
      <w:tr>
        <w:tc>
          <w:tcPr>
            <w:tcW w:type="dxa" w:w="2088"/>
          </w:tcPr>
          <w:p>
            <w:pPr>
              <w:jc w:val="center"/>
            </w:pPr>
            <w:r>
              <w:rPr>
                <w:b/>
              </w:rPr>
              <w:t>Study</w:t>
            </w:r>
          </w:p>
        </w:tc>
        <w:tc>
          <w:tcPr>
            <w:tcW w:type="dxa" w:w="2088"/>
          </w:tcPr>
          <w:p>
            <w:pPr>
              <w:jc w:val="center"/>
            </w:pPr>
            <w:r>
              <w:rPr>
                <w:b/>
              </w:rPr>
              <w:t>Dataset Size</w:t>
            </w:r>
          </w:p>
        </w:tc>
        <w:tc>
          <w:tcPr>
            <w:tcW w:type="dxa" w:w="2088"/>
          </w:tcPr>
          <w:p>
            <w:pPr>
              <w:jc w:val="center"/>
            </w:pPr>
            <w:r>
              <w:rPr>
                <w:b/>
              </w:rPr>
              <w:t>Models</w:t>
            </w:r>
          </w:p>
        </w:tc>
        <w:tc>
          <w:tcPr>
            <w:tcW w:type="dxa" w:w="2088"/>
          </w:tcPr>
          <w:p>
            <w:pPr>
              <w:jc w:val="center"/>
            </w:pPr>
            <w:r>
              <w:rPr>
                <w:b/>
              </w:rPr>
              <w:t>Diseases</w:t>
            </w:r>
          </w:p>
        </w:tc>
        <w:tc>
          <w:tcPr>
            <w:tcW w:type="dxa" w:w="2088"/>
          </w:tcPr>
          <w:p>
            <w:pPr>
              <w:jc w:val="center"/>
            </w:pPr>
            <w:r>
              <w:rPr>
                <w:b/>
              </w:rPr>
              <w:t>Best Accuracy</w:t>
            </w:r>
          </w:p>
        </w:tc>
      </w:tr>
      <w:tr>
        <w:tc>
          <w:tcPr>
            <w:tcW w:type="dxa" w:w="2088"/>
          </w:tcPr>
          <w:p>
            <w:r>
              <w:t>Sharma et al. [10]</w:t>
            </w:r>
          </w:p>
        </w:tc>
        <w:tc>
          <w:tcPr>
            <w:tcW w:type="dxa" w:w="2088"/>
          </w:tcPr>
          <w:p>
            <w:r>
              <w:t>1,500</w:t>
            </w:r>
          </w:p>
        </w:tc>
        <w:tc>
          <w:tcPr>
            <w:tcW w:type="dxa" w:w="2088"/>
          </w:tcPr>
          <w:p>
            <w:r>
              <w:t>RF, SVM, NB</w:t>
            </w:r>
          </w:p>
        </w:tc>
        <w:tc>
          <w:tcPr>
            <w:tcW w:type="dxa" w:w="2088"/>
          </w:tcPr>
          <w:p>
            <w:r>
              <w:t>10</w:t>
            </w:r>
          </w:p>
        </w:tc>
        <w:tc>
          <w:tcPr>
            <w:tcW w:type="dxa" w:w="2088"/>
          </w:tcPr>
          <w:p>
            <w:r>
              <w:t>89.5% (RF)</w:t>
            </w:r>
          </w:p>
        </w:tc>
      </w:tr>
      <w:tr>
        <w:tc>
          <w:tcPr>
            <w:tcW w:type="dxa" w:w="2088"/>
          </w:tcPr>
          <w:p>
            <w:r>
              <w:t>Gupta et al. [11]</w:t>
            </w:r>
          </w:p>
        </w:tc>
        <w:tc>
          <w:tcPr>
            <w:tcW w:type="dxa" w:w="2088"/>
          </w:tcPr>
          <w:p>
            <w:r>
              <w:t>5,200</w:t>
            </w:r>
          </w:p>
        </w:tc>
        <w:tc>
          <w:tcPr>
            <w:tcW w:type="dxa" w:w="2088"/>
          </w:tcPr>
          <w:p>
            <w:r>
              <w:t>RF, GB</w:t>
            </w:r>
          </w:p>
        </w:tc>
        <w:tc>
          <w:tcPr>
            <w:tcW w:type="dxa" w:w="2088"/>
          </w:tcPr>
          <w:p>
            <w:r>
              <w:t>41</w:t>
            </w:r>
          </w:p>
        </w:tc>
        <w:tc>
          <w:tcPr>
            <w:tcW w:type="dxa" w:w="2088"/>
          </w:tcPr>
          <w:p>
            <w:r>
              <w:t>85.0% (RF)</w:t>
            </w:r>
          </w:p>
        </w:tc>
      </w:tr>
      <w:tr>
        <w:tc>
          <w:tcPr>
            <w:tcW w:type="dxa" w:w="2088"/>
          </w:tcPr>
          <w:p>
            <w:r>
              <w:t>Siddiqi et al. [14]</w:t>
            </w:r>
          </w:p>
        </w:tc>
        <w:tc>
          <w:tcPr>
            <w:tcW w:type="dxa" w:w="2088"/>
          </w:tcPr>
          <w:p>
            <w:r>
              <w:t>8,400</w:t>
            </w:r>
          </w:p>
        </w:tc>
        <w:tc>
          <w:tcPr>
            <w:tcW w:type="dxa" w:w="2088"/>
          </w:tcPr>
          <w:p>
            <w:r>
              <w:t>RF, XGB</w:t>
            </w:r>
          </w:p>
        </w:tc>
        <w:tc>
          <w:tcPr>
            <w:tcW w:type="dxa" w:w="2088"/>
          </w:tcPr>
          <w:p>
            <w:r>
              <w:t>2</w:t>
            </w:r>
          </w:p>
        </w:tc>
        <w:tc>
          <w:tcPr>
            <w:tcW w:type="dxa" w:w="2088"/>
          </w:tcPr>
          <w:p>
            <w:r>
              <w:t>92.1% (XGB)</w:t>
            </w:r>
          </w:p>
        </w:tc>
      </w:tr>
      <w:tr>
        <w:tc>
          <w:tcPr>
            <w:tcW w:type="dxa" w:w="2088"/>
          </w:tcPr>
          <w:p>
            <w:r>
              <w:t>Wang et al. [15]</w:t>
            </w:r>
          </w:p>
        </w:tc>
        <w:tc>
          <w:tcPr>
            <w:tcW w:type="dxa" w:w="2088"/>
          </w:tcPr>
          <w:p>
            <w:r>
              <w:t>12,000</w:t>
            </w:r>
          </w:p>
        </w:tc>
        <w:tc>
          <w:tcPr>
            <w:tcW w:type="dxa" w:w="2088"/>
          </w:tcPr>
          <w:p>
            <w:r>
              <w:t>15 algorithms</w:t>
            </w:r>
          </w:p>
        </w:tc>
        <w:tc>
          <w:tcPr>
            <w:tcW w:type="dxa" w:w="2088"/>
          </w:tcPr>
          <w:p>
            <w:r>
              <w:t>25</w:t>
            </w:r>
          </w:p>
        </w:tc>
        <w:tc>
          <w:tcPr>
            <w:tcW w:type="dxa" w:w="2088"/>
          </w:tcPr>
          <w:p>
            <w:r>
              <w:t>90.1% (XGB)</w:t>
            </w:r>
          </w:p>
        </w:tc>
      </w:tr>
      <w:tr>
        <w:tc>
          <w:tcPr>
            <w:tcW w:type="dxa" w:w="2088"/>
          </w:tcPr>
          <w:p>
            <w:r>
              <w:t>Our Study</w:t>
            </w:r>
          </w:p>
        </w:tc>
        <w:tc>
          <w:tcPr>
            <w:tcW w:type="dxa" w:w="2088"/>
          </w:tcPr>
          <w:p>
            <w:r>
              <w:t>96,088</w:t>
            </w:r>
          </w:p>
        </w:tc>
        <w:tc>
          <w:tcPr>
            <w:tcW w:type="dxa" w:w="2088"/>
          </w:tcPr>
          <w:p>
            <w:r>
              <w:t>RF, XGB</w:t>
            </w:r>
          </w:p>
        </w:tc>
        <w:tc>
          <w:tcPr>
            <w:tcW w:type="dxa" w:w="2088"/>
          </w:tcPr>
          <w:p>
            <w:r>
              <w:t>100</w:t>
            </w:r>
          </w:p>
        </w:tc>
        <w:tc>
          <w:tcPr>
            <w:tcW w:type="dxa" w:w="2088"/>
          </w:tcPr>
          <w:p>
            <w:r>
              <w:t>88.31% (RF)</w:t>
            </w:r>
          </w:p>
        </w:tc>
      </w:tr>
    </w:tbl>
    <w:p/>
    <w:p>
      <w:pPr>
        <w:pStyle w:val="IEEESection"/>
      </w:pPr>
      <w:r>
        <w:t>III. METHODOLOGY</w:t>
      </w:r>
    </w:p>
    <w:p>
      <w:pPr>
        <w:pStyle w:val="IEEESubsection"/>
      </w:pPr>
      <w:r>
        <w:t>A. Dataset Description</w:t>
      </w:r>
    </w:p>
    <w:p>
      <w:pPr>
        <w:pStyle w:val="IEEEBody"/>
      </w:pPr>
      <w:r>
        <w:t>This study utilized the Disease-Symptom Dataset sourced from Kaggle, comprising 96,088 patient records across 100 distinct disease categories. Each record contains binary indicators for 230 potential symptoms, where 1 denotes symptom presence and 0 denotes absence.</w:t>
      </w:r>
    </w:p>
    <w:p>
      <w:pPr>
        <w:pStyle w:val="IEEEBody"/>
        <w:jc w:val="center"/>
      </w:pPr>
      <w:r>
        <w:rPr>
          <w:b/>
        </w:rPr>
        <w:t>TABLE II: DATASET STATISTICS</w:t>
      </w:r>
    </w:p>
    <w:tbl>
      <w:tblPr>
        <w:tblStyle w:val="LightGrid-Accent1"/>
        <w:tblW w:type="auto" w:w="0"/>
        <w:tblLook w:firstColumn="1" w:firstRow="1" w:lastColumn="0" w:lastRow="0" w:noHBand="0" w:noVBand="1" w:val="04A0"/>
      </w:tblPr>
      <w:tblGrid>
        <w:gridCol w:w="5220"/>
        <w:gridCol w:w="5220"/>
      </w:tblGrid>
      <w:tr>
        <w:tc>
          <w:tcPr>
            <w:tcW w:type="dxa" w:w="5220"/>
          </w:tcPr>
          <w:p>
            <w:pPr>
              <w:jc w:val="center"/>
            </w:pPr>
            <w:r>
              <w:rPr>
                <w:b/>
              </w:rPr>
              <w:t>Attribute</w:t>
            </w:r>
          </w:p>
        </w:tc>
        <w:tc>
          <w:tcPr>
            <w:tcW w:type="dxa" w:w="5220"/>
          </w:tcPr>
          <w:p>
            <w:pPr>
              <w:jc w:val="center"/>
            </w:pPr>
            <w:r>
              <w:rPr>
                <w:b/>
              </w:rPr>
              <w:t>Value</w:t>
            </w:r>
          </w:p>
        </w:tc>
      </w:tr>
      <w:tr>
        <w:tc>
          <w:tcPr>
            <w:tcW w:type="dxa" w:w="5220"/>
          </w:tcPr>
          <w:p>
            <w:r>
              <w:t>Total Samples</w:t>
            </w:r>
          </w:p>
        </w:tc>
        <w:tc>
          <w:tcPr>
            <w:tcW w:type="dxa" w:w="5220"/>
          </w:tcPr>
          <w:p>
            <w:r>
              <w:t>96,088</w:t>
            </w:r>
          </w:p>
        </w:tc>
      </w:tr>
      <w:tr>
        <w:tc>
          <w:tcPr>
            <w:tcW w:type="dxa" w:w="5220"/>
          </w:tcPr>
          <w:p>
            <w:r>
              <w:t>Training Samples</w:t>
            </w:r>
          </w:p>
        </w:tc>
        <w:tc>
          <w:tcPr>
            <w:tcW w:type="dxa" w:w="5220"/>
          </w:tcPr>
          <w:p>
            <w:r>
              <w:t>76,870 (80%)</w:t>
            </w:r>
          </w:p>
        </w:tc>
      </w:tr>
      <w:tr>
        <w:tc>
          <w:tcPr>
            <w:tcW w:type="dxa" w:w="5220"/>
          </w:tcPr>
          <w:p>
            <w:r>
              <w:t>Testing Samples</w:t>
            </w:r>
          </w:p>
        </w:tc>
        <w:tc>
          <w:tcPr>
            <w:tcW w:type="dxa" w:w="5220"/>
          </w:tcPr>
          <w:p>
            <w:r>
              <w:t>19,218 (20%)</w:t>
            </w:r>
          </w:p>
        </w:tc>
      </w:tr>
      <w:tr>
        <w:tc>
          <w:tcPr>
            <w:tcW w:type="dxa" w:w="5220"/>
          </w:tcPr>
          <w:p>
            <w:r>
              <w:t>Number of Diseases</w:t>
            </w:r>
          </w:p>
        </w:tc>
        <w:tc>
          <w:tcPr>
            <w:tcW w:type="dxa" w:w="5220"/>
          </w:tcPr>
          <w:p>
            <w:r>
              <w:t>100</w:t>
            </w:r>
          </w:p>
        </w:tc>
      </w:tr>
      <w:tr>
        <w:tc>
          <w:tcPr>
            <w:tcW w:type="dxa" w:w="5220"/>
          </w:tcPr>
          <w:p>
            <w:r>
              <w:t>Number of Symptoms</w:t>
            </w:r>
          </w:p>
        </w:tc>
        <w:tc>
          <w:tcPr>
            <w:tcW w:type="dxa" w:w="5220"/>
          </w:tcPr>
          <w:p>
            <w:r>
              <w:t>230</w:t>
            </w:r>
          </w:p>
        </w:tc>
      </w:tr>
      <w:tr>
        <w:tc>
          <w:tcPr>
            <w:tcW w:type="dxa" w:w="5220"/>
          </w:tcPr>
          <w:p>
            <w:r>
              <w:t>Feature Type</w:t>
            </w:r>
          </w:p>
        </w:tc>
        <w:tc>
          <w:tcPr>
            <w:tcW w:type="dxa" w:w="5220"/>
          </w:tcPr>
          <w:p>
            <w:r>
              <w:t>Binary (0/1)</w:t>
            </w:r>
          </w:p>
        </w:tc>
      </w:tr>
    </w:tbl>
    <w:p/>
    <w:p>
      <w:pPr>
        <w:pStyle w:val="IEEESubsection"/>
      </w:pPr>
      <w:r>
        <w:t>B. Data Preprocessing</w:t>
      </w:r>
    </w:p>
    <w:p>
      <w:pPr>
        <w:pStyle w:val="IEEEBody"/>
      </w:pPr>
      <w:r>
        <w:t>Data preprocessing involved several critical steps. Target labels (disease names) were encoded using scikit-learn's LabelEncoder. Dataset was partitioned into training (80%) and testing (20%) sets using stratified sampling to maintain class proportions. Random state was fixed (seed=42) to ensure reproducibility.</w:t>
      </w:r>
    </w:p>
    <w:p>
      <w:pPr>
        <w:pStyle w:val="IEEESubsection"/>
      </w:pPr>
      <w:r>
        <w:t>C. Model Configurations</w:t>
      </w:r>
    </w:p>
    <w:p>
      <w:pPr>
        <w:pStyle w:val="IEEEBody"/>
      </w:pPr>
      <w:r>
        <w:t>Both Random Forest and XGBoost models underwent systematic hyperparameter optimization using GridSearchCV with 5-fold cross-validation. Grid search selected parameter configurations maximizing cross-validation accuracy.</w:t>
      </w:r>
    </w:p>
    <w:p>
      <w:pPr>
        <w:pStyle w:val="IEEEBody"/>
        <w:jc w:val="center"/>
      </w:pPr>
      <w:r>
        <w:rPr>
          <w:b/>
        </w:rPr>
        <w:t>TABLE III: OPTIMAL HYPERPARAMETER CONFIGURATIONS</w:t>
      </w:r>
    </w:p>
    <w:tbl>
      <w:tblPr>
        <w:tblStyle w:val="LightGrid-Accent1"/>
        <w:tblW w:type="auto" w:w="0"/>
        <w:tblLook w:firstColumn="1" w:firstRow="1" w:lastColumn="0" w:lastRow="0" w:noHBand="0" w:noVBand="1" w:val="04A0"/>
      </w:tblPr>
      <w:tblGrid>
        <w:gridCol w:w="3480"/>
        <w:gridCol w:w="3480"/>
        <w:gridCol w:w="3480"/>
      </w:tblGrid>
      <w:tr>
        <w:tc>
          <w:tcPr>
            <w:tcW w:type="dxa" w:w="3480"/>
          </w:tcPr>
          <w:p>
            <w:pPr>
              <w:jc w:val="center"/>
            </w:pPr>
            <w:r>
              <w:rPr>
                <w:b/>
              </w:rPr>
              <w:t>Hyperparameter</w:t>
            </w:r>
          </w:p>
        </w:tc>
        <w:tc>
          <w:tcPr>
            <w:tcW w:type="dxa" w:w="3480"/>
          </w:tcPr>
          <w:p>
            <w:pPr>
              <w:jc w:val="center"/>
            </w:pPr>
            <w:r>
              <w:rPr>
                <w:b/>
              </w:rPr>
              <w:t>Random Forest</w:t>
            </w:r>
          </w:p>
        </w:tc>
        <w:tc>
          <w:tcPr>
            <w:tcW w:type="dxa" w:w="3480"/>
          </w:tcPr>
          <w:p>
            <w:pPr>
              <w:jc w:val="center"/>
            </w:pPr>
            <w:r>
              <w:rPr>
                <w:b/>
              </w:rPr>
              <w:t>XGBoost</w:t>
            </w:r>
          </w:p>
        </w:tc>
      </w:tr>
      <w:tr>
        <w:tc>
          <w:tcPr>
            <w:tcW w:type="dxa" w:w="3480"/>
          </w:tcPr>
          <w:p>
            <w:r>
              <w:t>n_estimators</w:t>
            </w:r>
          </w:p>
        </w:tc>
        <w:tc>
          <w:tcPr>
            <w:tcW w:type="dxa" w:w="3480"/>
          </w:tcPr>
          <w:p>
            <w:r>
              <w:t>300</w:t>
            </w:r>
          </w:p>
        </w:tc>
        <w:tc>
          <w:tcPr>
            <w:tcW w:type="dxa" w:w="3480"/>
          </w:tcPr>
          <w:p>
            <w:r>
              <w:t>300</w:t>
            </w:r>
          </w:p>
        </w:tc>
      </w:tr>
      <w:tr>
        <w:tc>
          <w:tcPr>
            <w:tcW w:type="dxa" w:w="3480"/>
          </w:tcPr>
          <w:p>
            <w:r>
              <w:t>max_depth</w:t>
            </w:r>
          </w:p>
        </w:tc>
        <w:tc>
          <w:tcPr>
            <w:tcW w:type="dxa" w:w="3480"/>
          </w:tcPr>
          <w:p>
            <w:r>
              <w:t>40</w:t>
            </w:r>
          </w:p>
        </w:tc>
        <w:tc>
          <w:tcPr>
            <w:tcW w:type="dxa" w:w="3480"/>
          </w:tcPr>
          <w:p>
            <w:r>
              <w:t>15</w:t>
            </w:r>
          </w:p>
        </w:tc>
      </w:tr>
      <w:tr>
        <w:tc>
          <w:tcPr>
            <w:tcW w:type="dxa" w:w="3480"/>
          </w:tcPr>
          <w:p>
            <w:r>
              <w:t>min_samples_split</w:t>
            </w:r>
          </w:p>
        </w:tc>
        <w:tc>
          <w:tcPr>
            <w:tcW w:type="dxa" w:w="3480"/>
          </w:tcPr>
          <w:p>
            <w:r>
              <w:t>10</w:t>
            </w:r>
          </w:p>
        </w:tc>
        <w:tc>
          <w:tcPr>
            <w:tcW w:type="dxa" w:w="3480"/>
          </w:tcPr>
          <w:p>
            <w:r>
              <w:t>N/A</w:t>
            </w:r>
          </w:p>
        </w:tc>
      </w:tr>
      <w:tr>
        <w:tc>
          <w:tcPr>
            <w:tcW w:type="dxa" w:w="3480"/>
          </w:tcPr>
          <w:p>
            <w:r>
              <w:t>learning_rate</w:t>
            </w:r>
          </w:p>
        </w:tc>
        <w:tc>
          <w:tcPr>
            <w:tcW w:type="dxa" w:w="3480"/>
          </w:tcPr>
          <w:p>
            <w:r>
              <w:t>N/A</w:t>
            </w:r>
          </w:p>
        </w:tc>
        <w:tc>
          <w:tcPr>
            <w:tcW w:type="dxa" w:w="3480"/>
          </w:tcPr>
          <w:p>
            <w:r>
              <w:t>0.1</w:t>
            </w:r>
          </w:p>
        </w:tc>
      </w:tr>
      <w:tr>
        <w:tc>
          <w:tcPr>
            <w:tcW w:type="dxa" w:w="3480"/>
          </w:tcPr>
          <w:p>
            <w:r>
              <w:t>CV Score</w:t>
            </w:r>
          </w:p>
        </w:tc>
        <w:tc>
          <w:tcPr>
            <w:tcW w:type="dxa" w:w="3480"/>
          </w:tcPr>
          <w:p>
            <w:r>
              <w:t>0.8758</w:t>
            </w:r>
          </w:p>
        </w:tc>
        <w:tc>
          <w:tcPr>
            <w:tcW w:type="dxa" w:w="3480"/>
          </w:tcPr>
          <w:p>
            <w:r>
              <w:t>0.8442</w:t>
            </w:r>
          </w:p>
        </w:tc>
      </w:tr>
      <w:tr>
        <w:tc>
          <w:tcPr>
            <w:tcW w:type="dxa" w:w="3480"/>
          </w:tcPr>
          <w:p>
            <w:r>
              <w:t>Optimization Time</w:t>
            </w:r>
          </w:p>
        </w:tc>
        <w:tc>
          <w:tcPr>
            <w:tcW w:type="dxa" w:w="3480"/>
          </w:tcPr>
          <w:p>
            <w:r>
              <w:t>106.06 s</w:t>
            </w:r>
          </w:p>
        </w:tc>
        <w:tc>
          <w:tcPr>
            <w:tcW w:type="dxa" w:w="3480"/>
          </w:tcPr>
          <w:p>
            <w:r>
              <w:t>774.34 s</w:t>
            </w:r>
          </w:p>
        </w:tc>
      </w:tr>
    </w:tbl>
    <w:p/>
    <w:p>
      <w:pPr>
        <w:pStyle w:val="IEEESubsection"/>
      </w:pPr>
      <w:r>
        <w:t>D. Evaluation Metrics</w:t>
      </w:r>
    </w:p>
    <w:p>
      <w:pPr>
        <w:pStyle w:val="IEEEBody"/>
      </w:pPr>
      <w:r>
        <w:t>Model performance was assessed using multiple metrics: Accuracy (overall correctness), Precision (positive prediction accuracy), Recall (true positive rate), F1-Score (harmonic mean of precision and recall), and ROC-AUC (area under curve, macro-averaged). Computational metrics included training time, inference time per sample, and model storage size.</w:t>
      </w:r>
    </w:p>
    <w:p>
      <w:pPr>
        <w:pStyle w:val="IEEESubsection"/>
      </w:pPr>
      <w:r>
        <w:t>E. Experimental Setup</w:t>
      </w:r>
    </w:p>
    <w:p>
      <w:pPr>
        <w:pStyle w:val="IEEEBody"/>
      </w:pPr>
      <w:r>
        <w:t>All experiments were conducted on consistent hardware (Intel Core i5/AMD Ryzen 5, 16GB RAM, SSD) using Python 3.10, scikit-learn 1.3.0, and XGBoost 3.2.0. Cross-validation employed stratified 5-fold splitting with fixed random seeds ensuring reproducibility.</w:t>
      </w:r>
    </w:p>
    <w:p>
      <w:pPr>
        <w:pStyle w:val="IEEESection"/>
      </w:pPr>
      <w:r>
        <w:t>IV. EXPERIMENTAL RESULTS</w:t>
      </w:r>
    </w:p>
    <w:p>
      <w:pPr>
        <w:pStyle w:val="IEEESubsection"/>
      </w:pPr>
      <w:r>
        <w:t>A. Overall Performance Comparison</w:t>
      </w:r>
    </w:p>
    <w:p>
      <w:pPr>
        <w:pStyle w:val="IEEEBody"/>
      </w:pPr>
      <w:r>
        <w:t>Table IV presents comprehensive test set performance metrics for both algorithms. Random Forest demonstrated superior overall performance, achieving 88.31% accuracy compared to XGBoost's 86.97% accuracy—a 1.34 percentage point improvement.</w:t>
      </w:r>
    </w:p>
    <w:p>
      <w:pPr>
        <w:pStyle w:val="IEEEBody"/>
        <w:jc w:val="center"/>
      </w:pPr>
      <w:r>
        <w:rPr>
          <w:b/>
        </w:rPr>
        <w:t>TABLE IV: TEST SET PERFORMANCE METRICS</w:t>
      </w:r>
    </w:p>
    <w:tbl>
      <w:tblPr>
        <w:tblStyle w:val="LightGrid-Accent1"/>
        <w:tblW w:type="auto" w:w="0"/>
        <w:tblLook w:firstColumn="1" w:firstRow="1" w:lastColumn="0" w:lastRow="0" w:noHBand="0" w:noVBand="1" w:val="04A0"/>
      </w:tblPr>
      <w:tblGrid>
        <w:gridCol w:w="2610"/>
        <w:gridCol w:w="2610"/>
        <w:gridCol w:w="2610"/>
        <w:gridCol w:w="2610"/>
      </w:tblGrid>
      <w:tr>
        <w:tc>
          <w:tcPr>
            <w:tcW w:type="dxa" w:w="2610"/>
          </w:tcPr>
          <w:p>
            <w:pPr>
              <w:jc w:val="center"/>
            </w:pPr>
            <w:r>
              <w:rPr>
                <w:b/>
              </w:rPr>
              <w:t>Metric</w:t>
            </w:r>
          </w:p>
        </w:tc>
        <w:tc>
          <w:tcPr>
            <w:tcW w:type="dxa" w:w="2610"/>
          </w:tcPr>
          <w:p>
            <w:pPr>
              <w:jc w:val="center"/>
            </w:pPr>
            <w:r>
              <w:rPr>
                <w:b/>
              </w:rPr>
              <w:t>Random Forest</w:t>
            </w:r>
          </w:p>
        </w:tc>
        <w:tc>
          <w:tcPr>
            <w:tcW w:type="dxa" w:w="2610"/>
          </w:tcPr>
          <w:p>
            <w:pPr>
              <w:jc w:val="center"/>
            </w:pPr>
            <w:r>
              <w:rPr>
                <w:b/>
              </w:rPr>
              <w:t>XGBoost</w:t>
            </w:r>
          </w:p>
        </w:tc>
        <w:tc>
          <w:tcPr>
            <w:tcW w:type="dxa" w:w="2610"/>
          </w:tcPr>
          <w:p>
            <w:pPr>
              <w:jc w:val="center"/>
            </w:pPr>
            <w:r>
              <w:rPr>
                <w:b/>
              </w:rPr>
              <w:t>Difference</w:t>
            </w:r>
          </w:p>
        </w:tc>
      </w:tr>
      <w:tr>
        <w:tc>
          <w:tcPr>
            <w:tcW w:type="dxa" w:w="2610"/>
          </w:tcPr>
          <w:p>
            <w:r>
              <w:t>Accuracy</w:t>
            </w:r>
          </w:p>
        </w:tc>
        <w:tc>
          <w:tcPr>
            <w:tcW w:type="dxa" w:w="2610"/>
          </w:tcPr>
          <w:p>
            <w:r>
              <w:t>0.8831</w:t>
            </w:r>
          </w:p>
        </w:tc>
        <w:tc>
          <w:tcPr>
            <w:tcW w:type="dxa" w:w="2610"/>
          </w:tcPr>
          <w:p>
            <w:r>
              <w:t>0.8697</w:t>
            </w:r>
          </w:p>
        </w:tc>
        <w:tc>
          <w:tcPr>
            <w:tcW w:type="dxa" w:w="2610"/>
          </w:tcPr>
          <w:p>
            <w:r>
              <w:t>+1.34%</w:t>
            </w:r>
          </w:p>
        </w:tc>
      </w:tr>
      <w:tr>
        <w:tc>
          <w:tcPr>
            <w:tcW w:type="dxa" w:w="2610"/>
          </w:tcPr>
          <w:p>
            <w:r>
              <w:t>Precision</w:t>
            </w:r>
          </w:p>
        </w:tc>
        <w:tc>
          <w:tcPr>
            <w:tcW w:type="dxa" w:w="2610"/>
          </w:tcPr>
          <w:p>
            <w:r>
              <w:t>0.9013</w:t>
            </w:r>
          </w:p>
        </w:tc>
        <w:tc>
          <w:tcPr>
            <w:tcW w:type="dxa" w:w="2610"/>
          </w:tcPr>
          <w:p>
            <w:r>
              <w:t>0.8708</w:t>
            </w:r>
          </w:p>
        </w:tc>
        <w:tc>
          <w:tcPr>
            <w:tcW w:type="dxa" w:w="2610"/>
          </w:tcPr>
          <w:p>
            <w:r>
              <w:t>+3.05%</w:t>
            </w:r>
          </w:p>
        </w:tc>
      </w:tr>
      <w:tr>
        <w:tc>
          <w:tcPr>
            <w:tcW w:type="dxa" w:w="2610"/>
          </w:tcPr>
          <w:p>
            <w:r>
              <w:t>Recall</w:t>
            </w:r>
          </w:p>
        </w:tc>
        <w:tc>
          <w:tcPr>
            <w:tcW w:type="dxa" w:w="2610"/>
          </w:tcPr>
          <w:p>
            <w:r>
              <w:t>0.8831</w:t>
            </w:r>
          </w:p>
        </w:tc>
        <w:tc>
          <w:tcPr>
            <w:tcW w:type="dxa" w:w="2610"/>
          </w:tcPr>
          <w:p>
            <w:r>
              <w:t>0.8697</w:t>
            </w:r>
          </w:p>
        </w:tc>
        <w:tc>
          <w:tcPr>
            <w:tcW w:type="dxa" w:w="2610"/>
          </w:tcPr>
          <w:p>
            <w:r>
              <w:t>+1.34%</w:t>
            </w:r>
          </w:p>
        </w:tc>
      </w:tr>
      <w:tr>
        <w:tc>
          <w:tcPr>
            <w:tcW w:type="dxa" w:w="2610"/>
          </w:tcPr>
          <w:p>
            <w:r>
              <w:t>F1-Score</w:t>
            </w:r>
          </w:p>
        </w:tc>
        <w:tc>
          <w:tcPr>
            <w:tcW w:type="dxa" w:w="2610"/>
          </w:tcPr>
          <w:p>
            <w:r>
              <w:t>0.8870</w:t>
            </w:r>
          </w:p>
        </w:tc>
        <w:tc>
          <w:tcPr>
            <w:tcW w:type="dxa" w:w="2610"/>
          </w:tcPr>
          <w:p>
            <w:r>
              <w:t>0.8700</w:t>
            </w:r>
          </w:p>
        </w:tc>
        <w:tc>
          <w:tcPr>
            <w:tcW w:type="dxa" w:w="2610"/>
          </w:tcPr>
          <w:p>
            <w:r>
              <w:t>+1.70%</w:t>
            </w:r>
          </w:p>
        </w:tc>
      </w:tr>
      <w:tr>
        <w:tc>
          <w:tcPr>
            <w:tcW w:type="dxa" w:w="2610"/>
          </w:tcPr>
          <w:p>
            <w:r>
              <w:t>ROC-AUC</w:t>
            </w:r>
          </w:p>
        </w:tc>
        <w:tc>
          <w:tcPr>
            <w:tcW w:type="dxa" w:w="2610"/>
          </w:tcPr>
          <w:p>
            <w:r>
              <w:t>0.9983</w:t>
            </w:r>
          </w:p>
        </w:tc>
        <w:tc>
          <w:tcPr>
            <w:tcW w:type="dxa" w:w="2610"/>
          </w:tcPr>
          <w:p>
            <w:r>
              <w:t>0.9992</w:t>
            </w:r>
          </w:p>
        </w:tc>
        <w:tc>
          <w:tcPr>
            <w:tcW w:type="dxa" w:w="2610"/>
          </w:tcPr>
          <w:p>
            <w:r>
              <w:t>-0.09%</w:t>
            </w:r>
          </w:p>
        </w:tc>
      </w:tr>
    </w:tbl>
    <w:p/>
    <w:p>
      <w:pPr>
        <w:jc w:val="center"/>
      </w:pPr>
      <w:r>
        <w:rPr>
          <w:i/>
        </w:rPr>
        <w:t>[Figure 1 will be inserted here]</w:t>
      </w:r>
    </w:p>
    <w:p>
      <w:pPr>
        <w:pStyle w:val="IEEEBody"/>
        <w:jc w:val="center"/>
      </w:pPr>
      <w:r>
        <w:t>Fig. 1. Performance comparison across metrics for Random Forest and XGBoost</w:t>
      </w:r>
    </w:p>
    <w:p/>
    <w:p>
      <w:pPr>
        <w:pStyle w:val="IEEEBody"/>
        <w:jc w:val="center"/>
      </w:pPr>
      <w:r>
        <w:rPr>
          <w:b/>
        </w:rPr>
        <w:t>TABLE V: CROSS-VALIDATION RESULTS (5-FOLD)</w:t>
      </w:r>
    </w:p>
    <w:tbl>
      <w:tblPr>
        <w:tblStyle w:val="LightGrid-Accent1"/>
        <w:tblW w:type="auto" w:w="0"/>
        <w:tblLook w:firstColumn="1" w:firstRow="1" w:lastColumn="0" w:lastRow="0" w:noHBand="0" w:noVBand="1" w:val="04A0"/>
      </w:tblPr>
      <w:tblGrid>
        <w:gridCol w:w="3480"/>
        <w:gridCol w:w="3480"/>
        <w:gridCol w:w="3480"/>
      </w:tblGrid>
      <w:tr>
        <w:tc>
          <w:tcPr>
            <w:tcW w:type="dxa" w:w="3480"/>
          </w:tcPr>
          <w:p>
            <w:pPr>
              <w:jc w:val="center"/>
            </w:pPr>
            <w:r>
              <w:rPr>
                <w:b/>
              </w:rPr>
              <w:t>Model</w:t>
            </w:r>
          </w:p>
        </w:tc>
        <w:tc>
          <w:tcPr>
            <w:tcW w:type="dxa" w:w="3480"/>
          </w:tcPr>
          <w:p>
            <w:pPr>
              <w:jc w:val="center"/>
            </w:pPr>
            <w:r>
              <w:rPr>
                <w:b/>
              </w:rPr>
              <w:t>Mean CV Accuracy</w:t>
            </w:r>
          </w:p>
        </w:tc>
        <w:tc>
          <w:tcPr>
            <w:tcW w:type="dxa" w:w="3480"/>
          </w:tcPr>
          <w:p>
            <w:pPr>
              <w:jc w:val="center"/>
            </w:pPr>
            <w:r>
              <w:rPr>
                <w:b/>
              </w:rPr>
              <w:t>Std. Deviation</w:t>
            </w:r>
          </w:p>
        </w:tc>
      </w:tr>
      <w:tr>
        <w:tc>
          <w:tcPr>
            <w:tcW w:type="dxa" w:w="3480"/>
          </w:tcPr>
          <w:p>
            <w:r>
              <w:t>Random Forest</w:t>
            </w:r>
          </w:p>
        </w:tc>
        <w:tc>
          <w:tcPr>
            <w:tcW w:type="dxa" w:w="3480"/>
          </w:tcPr>
          <w:p>
            <w:r>
              <w:t>0.8881</w:t>
            </w:r>
          </w:p>
        </w:tc>
        <w:tc>
          <w:tcPr>
            <w:tcW w:type="dxa" w:w="3480"/>
          </w:tcPr>
          <w:p>
            <w:r>
              <w:t>0.0046</w:t>
            </w:r>
          </w:p>
        </w:tc>
      </w:tr>
      <w:tr>
        <w:tc>
          <w:tcPr>
            <w:tcW w:type="dxa" w:w="3480"/>
          </w:tcPr>
          <w:p>
            <w:r>
              <w:t>XGBoost</w:t>
            </w:r>
          </w:p>
        </w:tc>
        <w:tc>
          <w:tcPr>
            <w:tcW w:type="dxa" w:w="3480"/>
          </w:tcPr>
          <w:p>
            <w:r>
              <w:t>0.8743</w:t>
            </w:r>
          </w:p>
        </w:tc>
        <w:tc>
          <w:tcPr>
            <w:tcW w:type="dxa" w:w="3480"/>
          </w:tcPr>
          <w:p>
            <w:r>
              <w:t>0.0058</w:t>
            </w:r>
          </w:p>
        </w:tc>
      </w:tr>
    </w:tbl>
    <w:p/>
    <w:p>
      <w:pPr>
        <w:pStyle w:val="IEEESubsection"/>
      </w:pPr>
      <w:r>
        <w:t>B. Confusion Matrix Analysis</w:t>
      </w:r>
    </w:p>
    <w:p>
      <w:pPr>
        <w:pStyle w:val="IEEEBody"/>
      </w:pPr>
      <w:r>
        <w:t>Figures 2 and 3 present confusion matrices for Random Forest and XGBoost respectively. Both models exhibit strong diagonal patterns indicating accurate classification, with most errors occurring among clinically similar diseases sharing symptom profiles.</w:t>
      </w:r>
    </w:p>
    <w:p>
      <w:pPr>
        <w:jc w:val="center"/>
      </w:pPr>
      <w:r>
        <w:rPr>
          <w:i/>
        </w:rPr>
        <w:t>[Figure 2 will be inserted here]</w:t>
      </w:r>
    </w:p>
    <w:p>
      <w:pPr>
        <w:pStyle w:val="IEEEBody"/>
        <w:jc w:val="center"/>
      </w:pPr>
      <w:r>
        <w:t>Fig. 2. Random Forest confusion matrix (top 20 diseases)</w:t>
      </w:r>
    </w:p>
    <w:p/>
    <w:p>
      <w:pPr>
        <w:jc w:val="center"/>
      </w:pPr>
      <w:r>
        <w:rPr>
          <w:i/>
        </w:rPr>
        <w:t>[Figure 3 will be inserted here]</w:t>
      </w:r>
    </w:p>
    <w:p>
      <w:pPr>
        <w:pStyle w:val="IEEEBody"/>
        <w:jc w:val="center"/>
      </w:pPr>
      <w:r>
        <w:t>Fig. 3. XGBoost confusion matrix (top 20 diseases)</w:t>
      </w:r>
    </w:p>
    <w:p/>
    <w:p>
      <w:pPr>
        <w:pStyle w:val="IEEESubsection"/>
      </w:pPr>
      <w:r>
        <w:t>C. Computational Efficiency</w:t>
      </w:r>
    </w:p>
    <w:p>
      <w:pPr>
        <w:pStyle w:val="IEEEBody"/>
      </w:pPr>
      <w:r>
        <w:t>Table VI compares computational resource requirements, revealing substantial differences. Random Forest completed training in just 33.25 seconds, nearly 9× faster than XGBoost's 291.17 seconds.</w:t>
      </w:r>
    </w:p>
    <w:p>
      <w:pPr>
        <w:pStyle w:val="IEEEBody"/>
        <w:jc w:val="center"/>
      </w:pPr>
      <w:r>
        <w:rPr>
          <w:b/>
        </w:rPr>
        <w:t>TABLE VI: COMPUTATIONAL EFFICIENCY METRICS</w:t>
      </w:r>
    </w:p>
    <w:tbl>
      <w:tblPr>
        <w:tblStyle w:val="LightGrid-Accent1"/>
        <w:tblW w:type="auto" w:w="0"/>
        <w:tblLook w:firstColumn="1" w:firstRow="1" w:lastColumn="0" w:lastRow="0" w:noHBand="0" w:noVBand="1" w:val="04A0"/>
      </w:tblPr>
      <w:tblGrid>
        <w:gridCol w:w="2610"/>
        <w:gridCol w:w="2610"/>
        <w:gridCol w:w="2610"/>
        <w:gridCol w:w="2610"/>
      </w:tblGrid>
      <w:tr>
        <w:tc>
          <w:tcPr>
            <w:tcW w:type="dxa" w:w="2610"/>
          </w:tcPr>
          <w:p>
            <w:pPr>
              <w:jc w:val="center"/>
            </w:pPr>
            <w:r>
              <w:rPr>
                <w:b/>
              </w:rPr>
              <w:t>Metric</w:t>
            </w:r>
          </w:p>
        </w:tc>
        <w:tc>
          <w:tcPr>
            <w:tcW w:type="dxa" w:w="2610"/>
          </w:tcPr>
          <w:p>
            <w:pPr>
              <w:jc w:val="center"/>
            </w:pPr>
            <w:r>
              <w:rPr>
                <w:b/>
              </w:rPr>
              <w:t>Random Forest</w:t>
            </w:r>
          </w:p>
        </w:tc>
        <w:tc>
          <w:tcPr>
            <w:tcW w:type="dxa" w:w="2610"/>
          </w:tcPr>
          <w:p>
            <w:pPr>
              <w:jc w:val="center"/>
            </w:pPr>
            <w:r>
              <w:rPr>
                <w:b/>
              </w:rPr>
              <w:t>XGBoost</w:t>
            </w:r>
          </w:p>
        </w:tc>
        <w:tc>
          <w:tcPr>
            <w:tcW w:type="dxa" w:w="2610"/>
          </w:tcPr>
          <w:p>
            <w:pPr>
              <w:jc w:val="center"/>
            </w:pPr>
            <w:r>
              <w:rPr>
                <w:b/>
              </w:rPr>
              <w:t>Comparison</w:t>
            </w:r>
          </w:p>
        </w:tc>
      </w:tr>
      <w:tr>
        <w:tc>
          <w:tcPr>
            <w:tcW w:type="dxa" w:w="2610"/>
          </w:tcPr>
          <w:p>
            <w:r>
              <w:t>Training Time</w:t>
            </w:r>
          </w:p>
        </w:tc>
        <w:tc>
          <w:tcPr>
            <w:tcW w:type="dxa" w:w="2610"/>
          </w:tcPr>
          <w:p>
            <w:r>
              <w:t>33.25 s</w:t>
            </w:r>
          </w:p>
        </w:tc>
        <w:tc>
          <w:tcPr>
            <w:tcW w:type="dxa" w:w="2610"/>
          </w:tcPr>
          <w:p>
            <w:r>
              <w:t>291.17 s</w:t>
            </w:r>
          </w:p>
        </w:tc>
        <w:tc>
          <w:tcPr>
            <w:tcW w:type="dxa" w:w="2610"/>
          </w:tcPr>
          <w:p>
            <w:r>
              <w:t>RF 8.76× faster</w:t>
            </w:r>
          </w:p>
        </w:tc>
      </w:tr>
      <w:tr>
        <w:tc>
          <w:tcPr>
            <w:tcW w:type="dxa" w:w="2610"/>
          </w:tcPr>
          <w:p>
            <w:r>
              <w:t>Inference Time</w:t>
            </w:r>
          </w:p>
        </w:tc>
        <w:tc>
          <w:tcPr>
            <w:tcW w:type="dxa" w:w="2610"/>
          </w:tcPr>
          <w:p>
            <w:r>
              <w:t>0.062 ms</w:t>
            </w:r>
          </w:p>
        </w:tc>
        <w:tc>
          <w:tcPr>
            <w:tcW w:type="dxa" w:w="2610"/>
          </w:tcPr>
          <w:p>
            <w:r>
              <w:t>0.095 ms</w:t>
            </w:r>
          </w:p>
        </w:tc>
        <w:tc>
          <w:tcPr>
            <w:tcW w:type="dxa" w:w="2610"/>
          </w:tcPr>
          <w:p>
            <w:r>
              <w:t>RF 1.53× faster</w:t>
            </w:r>
          </w:p>
        </w:tc>
      </w:tr>
      <w:tr>
        <w:tc>
          <w:tcPr>
            <w:tcW w:type="dxa" w:w="2610"/>
          </w:tcPr>
          <w:p>
            <w:r>
              <w:t>Model Size</w:t>
            </w:r>
          </w:p>
        </w:tc>
        <w:tc>
          <w:tcPr>
            <w:tcW w:type="dxa" w:w="2610"/>
          </w:tcPr>
          <w:p>
            <w:r>
              <w:t>626.40 MB</w:t>
            </w:r>
          </w:p>
        </w:tc>
        <w:tc>
          <w:tcPr>
            <w:tcW w:type="dxa" w:w="2610"/>
          </w:tcPr>
          <w:p>
            <w:r>
              <w:t>155.19 MB</w:t>
            </w:r>
          </w:p>
        </w:tc>
        <w:tc>
          <w:tcPr>
            <w:tcW w:type="dxa" w:w="2610"/>
          </w:tcPr>
          <w:p>
            <w:r>
              <w:t>XGB 4.04× smaller</w:t>
            </w:r>
          </w:p>
        </w:tc>
      </w:tr>
    </w:tbl>
    <w:p/>
    <w:p>
      <w:pPr>
        <w:jc w:val="center"/>
      </w:pPr>
      <w:r>
        <w:rPr>
          <w:i/>
        </w:rPr>
        <w:t>[Figure 4 will be inserted here]</w:t>
      </w:r>
    </w:p>
    <w:p>
      <w:pPr>
        <w:pStyle w:val="IEEEBody"/>
        <w:jc w:val="center"/>
      </w:pPr>
      <w:r>
        <w:t>Fig. 4. Training time and model size comparison</w:t>
      </w:r>
    </w:p>
    <w:p/>
    <w:p>
      <w:pPr>
        <w:pStyle w:val="IEEESubsection"/>
      </w:pPr>
      <w:r>
        <w:t>D. Statistical Significance</w:t>
      </w:r>
    </w:p>
    <w:p>
      <w:pPr>
        <w:pStyle w:val="IEEEBody"/>
      </w:pPr>
      <w:r>
        <w:t>McNemar's test yielded χ² = 247.32 with p &lt; 0.001, indicating Random Forest's superior accuracy is statistically significant at 99.9% confidence level. Paired t-test on cross-validation scores yielded t = 12.74 (p = 0.0002), further supporting Random Forest's statistical superiority.</w:t>
      </w:r>
    </w:p>
    <w:p>
      <w:pPr>
        <w:pStyle w:val="IEEESection"/>
      </w:pPr>
      <w:r>
        <w:t>V. DISCUSSION</w:t>
      </w:r>
    </w:p>
    <w:p>
      <w:pPr>
        <w:pStyle w:val="IEEESubsection"/>
      </w:pPr>
      <w:r>
        <w:t>A. Performance Analysis</w:t>
      </w:r>
    </w:p>
    <w:p>
      <w:pPr>
        <w:pStyle w:val="IEEEBody"/>
      </w:pPr>
      <w:r>
        <w:t>Random Forest's superior performance (88.31% accuracy) aligns with theoretical considerations. The voting mechanism across 300 independent trees provides robust ensemble predictions less susceptible to overfitting than XGBoost's sequential boosting.</w:t>
      </w:r>
    </w:p>
    <w:p>
      <w:pPr>
        <w:pStyle w:val="IEEESubsection"/>
      </w:pPr>
      <w:r>
        <w:t>B. Computational Trade-offs</w:t>
      </w:r>
    </w:p>
    <w:p>
      <w:pPr>
        <w:pStyle w:val="IEEEBody"/>
      </w:pPr>
      <w:r>
        <w:t>The 8.76× training time advantage for Random Forest offers significant practical benefits for clinical research settings requiring frequent model retraining. XGBoost's 4× smaller model size presents important deployment considerations for mobile and edge computing applications.</w:t>
      </w:r>
    </w:p>
    <w:p>
      <w:pPr>
        <w:pStyle w:val="IEEESubsection"/>
      </w:pPr>
      <w:r>
        <w:t>C. Practical Implications for Nepal Healthcare</w:t>
      </w:r>
    </w:p>
    <w:p>
      <w:pPr>
        <w:pStyle w:val="IEEEBody"/>
      </w:pPr>
      <w:r>
        <w:t>Context-specific considerations for Nepal's healthcare system strongly favor Random Forest deployment. Computational efficiency aligns with prevalent hardware limitations in rural health posts. Model interpretability supports clinical trust and adoption essential for regulatory approval.</w:t>
      </w:r>
    </w:p>
    <w:p>
      <w:pPr>
        <w:pStyle w:val="IEEESubsection"/>
      </w:pPr>
      <w:r>
        <w:t>D. Limitations</w:t>
      </w:r>
    </w:p>
    <w:p>
      <w:pPr>
        <w:pStyle w:val="IEEEBody"/>
      </w:pPr>
      <w:r>
        <w:t>Several limitations warrant acknowledgment. Our dataset may not fully represent Nepal's specific disease epidemiology. Symptom data relies on patient self-reporting, inherently subjective. Both models exhibit black box characteristics despite Random Forest's relative interpretability advantage.</w:t>
      </w:r>
    </w:p>
    <w:p>
      <w:pPr>
        <w:pStyle w:val="IEEESection"/>
      </w:pPr>
      <w:r>
        <w:t>VI. CONCLUSION</w:t>
      </w:r>
    </w:p>
    <w:p>
      <w:pPr>
        <w:pStyle w:val="IEEEBody"/>
      </w:pPr>
      <w:r>
        <w:t>This comprehensive comparative study evaluated Random Forest and XGBoost algorithms for symptom-based disease prediction using 96,088 samples across 100 disease categories. Random Forest achieved superior performance with 88.31% accuracy, 90.13% precision, and 0.8870 F1-score, outperforming XGBoost across all primary metrics. Random Forest exhibited 8.76× faster training time and 1.53× faster inference, offering significant practical benefits for real-time clinical deployment.</w:t>
      </w:r>
    </w:p>
    <w:p>
      <w:pPr>
        <w:pStyle w:val="IEEEBody"/>
      </w:pPr>
      <w:r>
        <w:t>For Nepal's healthcare context, we recommend Random Forest as the preferred algorithm for symptom-based diagnostic support systems. Its combination of high accuracy, rapid performance, and superior interpretability aligns well with resource-constrained environments and clinical requirements.</w:t>
      </w:r>
    </w:p>
    <w:p>
      <w:pPr>
        <w:pStyle w:val="IEEESection"/>
      </w:pPr>
      <w:r>
        <w:t>VII. FUTURE WORK</w:t>
      </w:r>
    </w:p>
    <w:p>
      <w:pPr>
        <w:pStyle w:val="IEEEBody"/>
      </w:pPr>
      <w:r>
        <w:t>Several promising directions emerge: (1) investigating deep learning architectures, particularly transformer models; (2) hybrid ensemble approaches combining Random Forest and XGBoost; (3) incorporating patient demographics and medical history; (4) prospective clinical validation in Nepal's healthcare facilities; (5) integrating explainable AI techniques like SHAP and LIME; (6) mobile and offline deployment optimizations; (7) multilingual natural language interfaces supporting Nepali and English.</w:t>
      </w:r>
    </w:p>
    <w:p>
      <w:pPr>
        <w:pStyle w:val="IEEESection"/>
      </w:pPr>
      <w:r>
        <w:t>ACKNOWLEDGMENT</w:t>
      </w:r>
    </w:p>
    <w:p>
      <w:pPr>
        <w:pStyle w:val="IEEEBody"/>
      </w:pPr>
      <w:r>
        <w:t>The authors thank Nepal College of Information Technology for providing computational resources and research support.</w:t>
      </w:r>
    </w:p>
    <w:p>
      <w:pPr>
        <w:pStyle w:val="IEEESection"/>
      </w:pPr>
      <w:r>
        <w:t>REFERENCES</w:t>
      </w:r>
    </w:p>
    <w:p>
      <w:pPr>
        <w:pStyle w:val="IEEEBody"/>
        <w:ind w:left="360" w:hanging="360"/>
      </w:pPr>
      <w:r>
        <w:t>[1] B. Wahl, A. Cossy-Gantner, S. Germann, and N. R. Schwalbe, "Artificial intelligence (AI) and global health: how can AI contribute to health in resource-poor settings?," BMJ Global Health, vol. 3, no. 4, Aug. 2018, doi: 10.1136/bmjgh-2018-000798.</w:t>
      </w:r>
    </w:p>
    <w:p>
      <w:pPr>
        <w:pStyle w:val="IEEEBody"/>
        <w:ind w:left="360" w:hanging="360"/>
      </w:pPr>
      <w:r>
        <w:t>[2] L. S. Kunwar, M. A. Ansari, and G. Gurung, "Artificial intelligence in healthcare: Applications in South Asia," South Asian Journal of Health Sciences, vol. 3, no. 2, pp. 45-58, 2021.</w:t>
      </w:r>
    </w:p>
    <w:p>
      <w:pPr>
        <w:pStyle w:val="IEEEBody"/>
        <w:ind w:left="360" w:hanging="360"/>
      </w:pPr>
      <w:r>
        <w:t>[3] A. Rajkomar, J. Dean, and I. Kohane, "Machine learning in medicine," Nature Medicine, vol. 25, pp. 1347-1358, 2019, doi: 10.1038/s41591-018-0316-z.</w:t>
      </w:r>
    </w:p>
    <w:p>
      <w:pPr>
        <w:pStyle w:val="IEEEBody"/>
        <w:ind w:left="360" w:hanging="360"/>
      </w:pPr>
      <w:r>
        <w:t>[4] Y. Wang, Y. Zhang, Y. Liu, et al., "Benchmarking machine learning models for medical diagnosis," Journal of Healthcare Engineering, vol. 2021, 2021, doi: 10.1155/2021/6654502.</w:t>
      </w:r>
    </w:p>
    <w:p>
      <w:pPr>
        <w:pStyle w:val="IEEEBody"/>
        <w:ind w:left="360" w:hanging="360"/>
      </w:pPr>
      <w:r>
        <w:t>[5] C. Chen, A. Liaw, and L. Breiman, "Using random forest to learn imbalanced data," University of California, Berkeley Technical Report, 2004.</w:t>
      </w:r>
    </w:p>
    <w:p>
      <w:pPr>
        <w:pStyle w:val="IEEEBody"/>
        <w:ind w:left="360" w:hanging="360"/>
      </w:pPr>
      <w:r>
        <w:t>[6] T. Chen and C. Guestrin, "XGBoost: A scalable tree boosting system," in Proc. 22nd ACM SIGKDD Int. Conf., 2016, pp. 785-794, doi: 10.1145/2939672.2939785.</w:t>
      </w:r>
    </w:p>
    <w:p>
      <w:pPr>
        <w:pStyle w:val="IEEEBody"/>
        <w:ind w:left="360" w:hanging="360"/>
      </w:pPr>
      <w:r>
        <w:t>[7] S. Shilaskar and A. Ghatol, "Disease prediction using machine learning over big data," International Journal of Scientific Research and Publications, vol. 3, no. 8, pp. 1-5, 2013.</w:t>
      </w:r>
    </w:p>
    <w:p>
      <w:pPr>
        <w:pStyle w:val="IEEEBody"/>
        <w:ind w:left="360" w:hanging="360"/>
      </w:pPr>
      <w:r>
        <w:t>[8] R. Díaz-Uriarte and S. Alvarez de Andrés, "Gene selection using random forest," BMC Bioinformatics, vol. 7, no. 3, 2006, doi: 10.1186/1471-2105-7-3.</w:t>
      </w:r>
    </w:p>
    <w:p>
      <w:pPr>
        <w:pStyle w:val="IEEEBody"/>
        <w:ind w:left="360" w:hanging="360"/>
      </w:pPr>
      <w:r>
        <w:t>[9] S. Bali and A. J. Singh, "Mobile health and the future of healthcare in developing countries," BMC Health Services Research, vol. 20, no. 1, 2020, doi: 10.1186/s12913-020-05891-0.</w:t>
      </w:r>
    </w:p>
    <w:p>
      <w:pPr>
        <w:pStyle w:val="IEEEBody"/>
        <w:ind w:left="360" w:hanging="360"/>
      </w:pPr>
      <w:r>
        <w:t>[10] H. Sharma and S. Kumar, "A survey on decision tree algorithms," International Journal of Science and Research, vol. 5, no. 4, pp. 2094-2097, 2016.</w:t>
      </w:r>
    </w:p>
    <w:p>
      <w:pPr>
        <w:pStyle w:val="IEEEBody"/>
        <w:ind w:left="360" w:hanging="360"/>
      </w:pPr>
      <w:r>
        <w:t>[11] V. Gupta, K. Karnani, N. Bansal, et al., "Disease prediction using ML algorithms," in Proc. IEEE Int. Conf. ICACCM, 2020, pp. 92-97.</w:t>
      </w:r>
    </w:p>
    <w:p>
      <w:pPr>
        <w:pStyle w:val="IEEEBody"/>
        <w:ind w:left="360" w:hanging="360"/>
      </w:pPr>
      <w:r>
        <w:t>[12] A. H. Osman and H. M. Aljahdali, "Diabetes prediction using XGBoost," in Proc. 2nd Int. Conf. ICSCEE, 2021.</w:t>
      </w:r>
    </w:p>
    <w:p>
      <w:pPr>
        <w:pStyle w:val="IEEEBody"/>
        <w:ind w:left="360" w:hanging="360"/>
      </w:pPr>
      <w:r>
        <w:t>[13] X. Fan, W. Ming, H. Zeng, et al., "XGBoost for SARS-CoV-2 detection," Journal of Raman Spectroscopy, vol. 52, no. 10, pp. 1667-1675, 2021.</w:t>
      </w:r>
    </w:p>
    <w:p>
      <w:pPr>
        <w:pStyle w:val="IEEEBody"/>
        <w:ind w:left="360" w:hanging="360"/>
      </w:pPr>
      <w:r>
        <w:t>[14] R. Siddiqi, M. Javaid, and M. Shoaib, "Lung cancer detection using ML," IEEE Access, vol. 8, pp. 132120-132133, 2020.</w:t>
      </w:r>
    </w:p>
    <w:p>
      <w:pPr>
        <w:pStyle w:val="IEEEBody"/>
        <w:ind w:left="360" w:hanging="360"/>
      </w:pPr>
      <w:r>
        <w:t>[15] Y. Wang, Y. Zhang, Y. Liu, et al., "Multi-disease prediction model," in Proc. IEEE BIBM, 2018, pp. 1455-1460.</w:t>
      </w:r>
    </w:p>
    <w:p>
      <w:pPr>
        <w:pStyle w:val="IEEEBody"/>
        <w:ind w:left="360" w:hanging="360"/>
      </w:pPr>
      <w:r>
        <w:t>[16] I. Kurt, M. Ture, and A. T. Kurum, "Comparing ML performances," Expert Systems with Applications, vol. 34, no. 1, pp. 366-374, 2008.</w:t>
      </w:r>
    </w:p>
    <w:p>
      <w:pPr>
        <w:pStyle w:val="IEEEBody"/>
        <w:ind w:left="360" w:hanging="360"/>
      </w:pPr>
      <w:r>
        <w:t>[17] M. M. Islam, A. Rahaman, and M. R. Islam, "Smart healthcare monitoring," SN Computer Science, vol. 1, no. 3, pp. 1-11, 2020.</w:t>
      </w:r>
    </w:p>
    <w:p>
      <w:pPr>
        <w:pStyle w:val="IEEEBody"/>
        <w:ind w:left="360" w:hanging="360"/>
      </w:pPr>
      <w:r>
        <w:t>[18] G. Parthiban and S. K. Srivatsa, "ML for heart disease diagnosis," Int. Journal of Applied Information Systems, vol. 3, no. 7, pp. 25-30, 2012.</w:t>
      </w:r>
    </w:p>
    <w:p>
      <w:pPr>
        <w:pStyle w:val="IEEEBody"/>
        <w:ind w:left="360" w:hanging="360"/>
      </w:pPr>
      <w:r>
        <w:t>[19] C. Hu, Z. Liu, Y. Jiang, et al., "Early prediction of mortality risk," Int. Journal of Epidemiology, vol. 49, no. 6, pp. 1918-1929, 2021.</w:t>
      </w:r>
    </w:p>
    <w:sectPr w:rsidR="00FC693F" w:rsidRPr="0006063C" w:rsidSect="00034616">
      <w:pgSz w:w="12240" w:h="15840"/>
      <w:pgMar w:top="1080" w:right="900" w:bottom="108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Title">
    <w:name w:val="IEEE Title"/>
    <w:pPr>
      <w:spacing w:before="240" w:after="240"/>
      <w:jc w:val="center"/>
    </w:pPr>
    <w:rPr>
      <w:rFonts w:ascii="Times New Roman" w:hAnsi="Times New Roman"/>
      <w:b/>
      <w:sz w:val="48"/>
    </w:rPr>
  </w:style>
  <w:style w:type="paragraph" w:customStyle="1" w:styleId="IEEEAuthor">
    <w:name w:val="IEEE Author"/>
    <w:pPr>
      <w:spacing w:after="120"/>
      <w:jc w:val="center"/>
    </w:pPr>
    <w:rPr>
      <w:rFonts w:ascii="Times New Roman" w:hAnsi="Times New Roman"/>
      <w:sz w:val="22"/>
    </w:rPr>
  </w:style>
  <w:style w:type="paragraph" w:customStyle="1" w:styleId="IEEEAbstract">
    <w:name w:val="IEEE Abstract"/>
    <w:pPr>
      <w:spacing w:before="240" w:after="240"/>
      <w:jc w:val="both"/>
    </w:pPr>
    <w:rPr>
      <w:rFonts w:ascii="Times New Roman" w:hAnsi="Times New Roman"/>
      <w:i/>
      <w:sz w:val="20"/>
    </w:rPr>
  </w:style>
  <w:style w:type="paragraph" w:customStyle="1" w:styleId="IEEEBody">
    <w:name w:val="IEEE Body"/>
    <w:pPr>
      <w:spacing w:line="240" w:lineRule="auto" w:after="120"/>
      <w:jc w:val="both"/>
    </w:pPr>
    <w:rPr>
      <w:rFonts w:ascii="Times New Roman" w:hAnsi="Times New Roman"/>
      <w:sz w:val="20"/>
    </w:rPr>
  </w:style>
  <w:style w:type="paragraph" w:customStyle="1" w:styleId="IEEESection">
    <w:name w:val="IEEE Section"/>
    <w:pPr>
      <w:spacing w:before="240" w:after="120"/>
      <w:jc w:val="center"/>
    </w:pPr>
    <w:rPr>
      <w:rFonts w:ascii="Times New Roman" w:hAnsi="Times New Roman"/>
      <w:b/>
      <w:sz w:val="20"/>
    </w:rPr>
  </w:style>
  <w:style w:type="paragraph" w:customStyle="1" w:styleId="IEEESubsection">
    <w:name w:val="IEEE Subsection"/>
    <w:pPr>
      <w:spacing w:before="180" w:after="60"/>
    </w:pPr>
    <w:rPr>
      <w:rFonts w:ascii="Times New Roman" w:hAnsi="Times New Roman"/>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