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7365D"/>
          <w:sz w:val="50"/>
        </w:rPr>
        <w:t>DATA EXTRACTION,</w:t>
        <w:br/>
        <w:t>TRANSFORMATION &amp; LOADING</w:t>
      </w:r>
    </w:p>
    <w:p>
      <w:pPr>
        <w:jc w:val="center"/>
      </w:pPr>
      <w:r>
        <w:rPr>
          <w:color w:val="287271"/>
          <w:sz w:val="30"/>
        </w:rPr>
        <w:t>ETL Process Plan for Agribusiness Analytics</w:t>
      </w:r>
    </w:p>
    <w:p/>
    <w:tbl>
      <w:tblPr>
        <w:tblStyle w:val="TableGrid"/>
        <w:tblW w:type="auto" w:w="0"/>
        <w:jc w:val="center"/>
        <w:tblLook w:firstColumn="1" w:firstRow="1" w:lastColumn="0" w:lastRow="0" w:noHBand="0" w:noVBand="1" w:val="04A0"/>
      </w:tblPr>
      <w:tblGrid>
        <w:gridCol w:w="5141"/>
        <w:gridCol w:w="5141"/>
      </w:tblGrid>
      <w:tr>
        <w:tc>
          <w:tcPr>
            <w:tcW w:type="dxa" w:w="2304"/>
            <w:vAlign w:val="center"/>
            <w:shd w:fill="17365D"/>
          </w:tcPr>
          <w:p>
            <w:pPr>
              <w:spacing w:after="0"/>
            </w:pPr>
            <w:r/>
            <w:r>
              <w:rPr>
                <w:rFonts w:ascii="Aptos" w:hAnsi="Aptos"/>
                <w:b/>
                <w:color w:val="FFFFFF"/>
                <w:sz w:val="17"/>
              </w:rPr>
              <w:t>Assessment detail</w:t>
            </w:r>
          </w:p>
        </w:tc>
        <w:tc>
          <w:tcPr>
            <w:tcW w:type="dxa" w:w="7056"/>
            <w:vAlign w:val="center"/>
            <w:shd w:fill="17365D"/>
          </w:tcPr>
          <w:p>
            <w:pPr>
              <w:spacing w:after="0"/>
            </w:pPr>
            <w:r/>
            <w:r>
              <w:rPr>
                <w:rFonts w:ascii="Aptos" w:hAnsi="Aptos"/>
                <w:b/>
                <w:color w:val="FFFFFF"/>
                <w:sz w:val="17"/>
              </w:rPr>
              <w:t>Description</w:t>
            </w:r>
          </w:p>
        </w:tc>
      </w:tr>
      <w:tr>
        <w:tc>
          <w:tcPr>
            <w:tcW w:type="dxa" w:w="2304"/>
            <w:vAlign w:val="center"/>
          </w:tcPr>
          <w:p>
            <w:pPr>
              <w:spacing w:after="0"/>
            </w:pPr>
            <w:r/>
            <w:r>
              <w:rPr>
                <w:rFonts w:ascii="Aptos" w:hAnsi="Aptos"/>
                <w:b w:val="0"/>
                <w:sz w:val="17"/>
              </w:rPr>
              <w:t>Task</w:t>
            </w:r>
          </w:p>
        </w:tc>
        <w:tc>
          <w:tcPr>
            <w:tcW w:type="dxa" w:w="7056"/>
            <w:vAlign w:val="center"/>
          </w:tcPr>
          <w:p>
            <w:pPr>
              <w:spacing w:after="0"/>
            </w:pPr>
            <w:r/>
            <w:r>
              <w:rPr>
                <w:rFonts w:ascii="Aptos" w:hAnsi="Aptos"/>
                <w:b w:val="0"/>
                <w:sz w:val="17"/>
              </w:rPr>
              <w:t>Week 3 — Internship Assessment</w:t>
            </w:r>
          </w:p>
        </w:tc>
      </w:tr>
      <w:tr>
        <w:tc>
          <w:tcPr>
            <w:tcW w:type="dxa" w:w="2304"/>
            <w:vAlign w:val="center"/>
            <w:shd w:fill="F1F5F9"/>
          </w:tcPr>
          <w:p>
            <w:pPr>
              <w:spacing w:after="0"/>
            </w:pPr>
            <w:r/>
            <w:r>
              <w:rPr>
                <w:rFonts w:ascii="Aptos" w:hAnsi="Aptos"/>
                <w:b w:val="0"/>
                <w:sz w:val="17"/>
              </w:rPr>
              <w:t>Scope</w:t>
            </w:r>
          </w:p>
        </w:tc>
        <w:tc>
          <w:tcPr>
            <w:tcW w:type="dxa" w:w="7056"/>
            <w:vAlign w:val="center"/>
            <w:shd w:fill="F1F5F9"/>
          </w:tcPr>
          <w:p>
            <w:pPr>
              <w:spacing w:after="0"/>
            </w:pPr>
            <w:r/>
            <w:r>
              <w:rPr>
                <w:rFonts w:ascii="Aptos" w:hAnsi="Aptos"/>
                <w:b w:val="0"/>
                <w:sz w:val="17"/>
              </w:rPr>
              <w:t>Public data extraction, data cleaning, SQL transformation and database loading</w:t>
            </w:r>
          </w:p>
        </w:tc>
      </w:tr>
      <w:tr>
        <w:tc>
          <w:tcPr>
            <w:tcW w:type="dxa" w:w="2304"/>
            <w:vAlign w:val="center"/>
          </w:tcPr>
          <w:p>
            <w:pPr>
              <w:spacing w:after="0"/>
            </w:pPr>
            <w:r/>
            <w:r>
              <w:rPr>
                <w:rFonts w:ascii="Aptos" w:hAnsi="Aptos"/>
                <w:b w:val="0"/>
                <w:sz w:val="17"/>
              </w:rPr>
              <w:t>Proposed stack</w:t>
            </w:r>
          </w:p>
        </w:tc>
        <w:tc>
          <w:tcPr>
            <w:tcW w:type="dxa" w:w="7056"/>
            <w:vAlign w:val="center"/>
          </w:tcPr>
          <w:p>
            <w:pPr>
              <w:spacing w:after="0"/>
            </w:pPr>
            <w:r/>
            <w:r>
              <w:rPr>
                <w:rFonts w:ascii="Aptos" w:hAnsi="Aptos"/>
                <w:b w:val="0"/>
                <w:sz w:val="17"/>
              </w:rPr>
              <w:t>Python (requests/pandas), CSV/JSON, PostgreSQL</w:t>
            </w:r>
          </w:p>
        </w:tc>
      </w:tr>
      <w:tr>
        <w:tc>
          <w:tcPr>
            <w:tcW w:type="dxa" w:w="2304"/>
            <w:vAlign w:val="center"/>
            <w:shd w:fill="F1F5F9"/>
          </w:tcPr>
          <w:p>
            <w:pPr>
              <w:spacing w:after="0"/>
            </w:pPr>
            <w:r/>
            <w:r>
              <w:rPr>
                <w:rFonts w:ascii="Aptos" w:hAnsi="Aptos"/>
                <w:b w:val="0"/>
                <w:sz w:val="17"/>
              </w:rPr>
              <w:t>Prepared by</w:t>
            </w:r>
          </w:p>
        </w:tc>
        <w:tc>
          <w:tcPr>
            <w:tcW w:type="dxa" w:w="7056"/>
            <w:vAlign w:val="center"/>
            <w:shd w:fill="F1F5F9"/>
          </w:tcPr>
          <w:p>
            <w:pPr>
              <w:spacing w:after="0"/>
            </w:pPr>
            <w:r/>
            <w:r>
              <w:rPr>
                <w:rFonts w:ascii="Aptos" w:hAnsi="Aptos"/>
                <w:b w:val="0"/>
                <w:sz w:val="17"/>
              </w:rPr>
              <w:t>[Your Name]</w:t>
            </w:r>
          </w:p>
        </w:tc>
      </w:tr>
    </w:tbl>
    <w:p>
      <w:pPr>
        <w:spacing w:after="0"/>
      </w:pPr>
    </w:p>
    <w:p>
      <w:pPr>
        <w:pStyle w:val="Heading1"/>
      </w:pPr>
      <w:r>
        <w:t>Executive Summary</w:t>
      </w:r>
    </w:p>
    <w:p>
      <w:r>
        <w:rPr>
          <w:i w:val="0"/>
        </w:rPr>
        <w:t>This report presents a theoretical but implementable ETL (Extract, Transform, Load) plan for an agribusiness analytics database. It describes how publicly available crop production, market-price and weather data could be collected, standardized, validated, and loaded into a relational database for SQL reporting.</w:t>
      </w:r>
    </w:p>
    <w:p>
      <w:r>
        <w:rPr>
          <w:i w:val="0"/>
        </w:rPr>
        <w:t>The proposed pipeline uses a raw landing area to preserve source data, staging tables to support repeatable transformations, and curated tables for analysis. Source-specific extraction adapters retrieve files or API responses; transformation rules harmonize dates, units, geographic identifiers and commodity names; validation checks quarantine unreliable rows instead of silently dropping them; and an idempotent loading process uses keys and upserts to avoid duplicate records on reruns.</w:t>
      </w:r>
    </w:p>
    <w:p>
      <w:pPr>
        <w:pStyle w:val="Heading2"/>
      </w:pPr>
      <w:r>
        <w:t>Deliverables covered</w:t>
      </w:r>
    </w:p>
    <w:p>
      <w:pPr>
        <w:pStyle w:val="ListBullet"/>
        <w:spacing w:after="20"/>
      </w:pPr>
      <w:r>
        <w:t>Candidate public data sources and practical extraction approaches.</w:t>
      </w:r>
    </w:p>
    <w:p>
      <w:pPr>
        <w:pStyle w:val="ListBullet"/>
        <w:spacing w:after="20"/>
      </w:pPr>
      <w:r>
        <w:t>End-to-end ETL architecture, sequence, monitoring and failure handling.</w:t>
      </w:r>
    </w:p>
    <w:p>
      <w:pPr>
        <w:pStyle w:val="ListBullet"/>
        <w:spacing w:after="20"/>
      </w:pPr>
      <w:r>
        <w:t>Transformation rules and PostgreSQL scripts for staging and validation.</w:t>
      </w:r>
    </w:p>
    <w:p>
      <w:pPr>
        <w:pStyle w:val="ListBullet"/>
        <w:spacing w:after="20"/>
      </w:pPr>
      <w:r>
        <w:t>Loading order, conflict handling, indexing, data-quality checks and testing.</w:t>
      </w:r>
    </w:p>
    <w:p>
      <w:r>
        <w:rPr>
          <w:i w:val="0"/>
        </w:rPr>
        <w:t>Important note: this is a proposed design, not a report of a pipeline already executed. Exact endpoints, schemas, licences and download formats should be verified against each provider before implementation. No live data retrieval or performance benchmark is claimed.</w:t>
      </w:r>
    </w:p>
    <w:p>
      <w:r>
        <w:br w:type="page"/>
      </w:r>
    </w:p>
    <w:p>
      <w:pPr>
        <w:pStyle w:val="Heading1"/>
      </w:pPr>
      <w:r>
        <w:t>1. ETL Scope and Public Data Sources</w:t>
      </w:r>
    </w:p>
    <w:p>
      <w:pPr>
        <w:pStyle w:val="Heading2"/>
      </w:pPr>
      <w:r>
        <w:t>1.1 Business purpose</w:t>
      </w:r>
    </w:p>
    <w:p>
      <w:r>
        <w:rPr>
          <w:i w:val="0"/>
        </w:rPr>
        <w:t>Agribusiness decisions often require joining production outcomes with market conditions and weather context. These sources are published at different geographic levels, time intervals and units, so the pipeline must preserve provenance and avoid treating unlike measurements as directly comparable.</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7365D"/>
          </w:tcPr>
          <w:p>
            <w:pPr>
              <w:spacing w:after="0"/>
            </w:pPr>
            <w:r/>
            <w:r>
              <w:rPr>
                <w:rFonts w:ascii="Aptos" w:hAnsi="Aptos"/>
                <w:b/>
                <w:color w:val="FFFFFF"/>
                <w:sz w:val="14"/>
              </w:rPr>
              <w:t>Data domain</w:t>
            </w:r>
          </w:p>
        </w:tc>
        <w:tc>
          <w:tcPr>
            <w:tcW w:type="dxa" w:w="3528"/>
            <w:vAlign w:val="center"/>
            <w:shd w:fill="17365D"/>
          </w:tcPr>
          <w:p>
            <w:pPr>
              <w:spacing w:after="0"/>
            </w:pPr>
            <w:r/>
            <w:r>
              <w:rPr>
                <w:rFonts w:ascii="Aptos" w:hAnsi="Aptos"/>
                <w:b/>
                <w:color w:val="FFFFFF"/>
                <w:sz w:val="14"/>
              </w:rPr>
              <w:t>Candidate public source</w:t>
            </w:r>
          </w:p>
        </w:tc>
        <w:tc>
          <w:tcPr>
            <w:tcW w:type="dxa" w:w="3888"/>
            <w:vAlign w:val="center"/>
            <w:shd w:fill="17365D"/>
          </w:tcPr>
          <w:p>
            <w:pPr>
              <w:spacing w:after="0"/>
            </w:pPr>
            <w:r/>
            <w:r>
              <w:rPr>
                <w:rFonts w:ascii="Aptos" w:hAnsi="Aptos"/>
                <w:b/>
                <w:color w:val="FFFFFF"/>
                <w:sz w:val="14"/>
              </w:rPr>
              <w:t>Potential fields and use</w:t>
            </w:r>
          </w:p>
        </w:tc>
      </w:tr>
      <w:tr>
        <w:tc>
          <w:tcPr>
            <w:tcW w:type="dxa" w:w="1944"/>
            <w:vAlign w:val="center"/>
          </w:tcPr>
          <w:p>
            <w:pPr>
              <w:spacing w:after="0"/>
            </w:pPr>
            <w:r/>
            <w:r>
              <w:rPr>
                <w:rFonts w:ascii="Aptos" w:hAnsi="Aptos"/>
                <w:b w:val="0"/>
                <w:sz w:val="14"/>
              </w:rPr>
              <w:t>Crop production / crop reports</w:t>
            </w:r>
          </w:p>
        </w:tc>
        <w:tc>
          <w:tcPr>
            <w:tcW w:type="dxa" w:w="3528"/>
            <w:vAlign w:val="center"/>
          </w:tcPr>
          <w:p>
            <w:pPr>
              <w:spacing w:after="0"/>
            </w:pPr>
            <w:r/>
            <w:r>
              <w:rPr>
                <w:rFonts w:ascii="Aptos" w:hAnsi="Aptos"/>
                <w:b w:val="0"/>
                <w:sz w:val="14"/>
              </w:rPr>
              <w:t>FAOSTAT (Food and Agriculture Organization of the UN)</w:t>
            </w:r>
          </w:p>
        </w:tc>
        <w:tc>
          <w:tcPr>
            <w:tcW w:type="dxa" w:w="3888"/>
            <w:vAlign w:val="center"/>
          </w:tcPr>
          <w:p>
            <w:pPr>
              <w:spacing w:after="0"/>
            </w:pPr>
            <w:r/>
            <w:r>
              <w:rPr>
                <w:rFonts w:ascii="Aptos" w:hAnsi="Aptos"/>
                <w:b w:val="0"/>
                <w:sz w:val="14"/>
              </w:rPr>
              <w:t>Country-level crop production, area harvested and yield indicators for cross-country or long-term comparisons.</w:t>
            </w:r>
          </w:p>
        </w:tc>
      </w:tr>
      <w:tr>
        <w:tc>
          <w:tcPr>
            <w:tcW w:type="dxa" w:w="1944"/>
            <w:vAlign w:val="center"/>
            <w:shd w:fill="F1F5F9"/>
          </w:tcPr>
          <w:p>
            <w:pPr>
              <w:spacing w:after="0"/>
            </w:pPr>
            <w:r/>
            <w:r>
              <w:rPr>
                <w:rFonts w:ascii="Aptos" w:hAnsi="Aptos"/>
                <w:b w:val="0"/>
                <w:sz w:val="14"/>
              </w:rPr>
              <w:t>Market prices</w:t>
            </w:r>
          </w:p>
        </w:tc>
        <w:tc>
          <w:tcPr>
            <w:tcW w:type="dxa" w:w="3528"/>
            <w:vAlign w:val="center"/>
            <w:shd w:fill="F1F5F9"/>
          </w:tcPr>
          <w:p>
            <w:pPr>
              <w:spacing w:after="0"/>
            </w:pPr>
            <w:r/>
            <w:r>
              <w:rPr>
                <w:rFonts w:ascii="Aptos" w:hAnsi="Aptos"/>
                <w:b w:val="0"/>
                <w:sz w:val="14"/>
              </w:rPr>
              <w:t>Agmarknet / Directorate of Marketing &amp; Inspection (India)</w:t>
            </w:r>
          </w:p>
        </w:tc>
        <w:tc>
          <w:tcPr>
            <w:tcW w:type="dxa" w:w="3888"/>
            <w:vAlign w:val="center"/>
            <w:shd w:fill="F1F5F9"/>
          </w:tcPr>
          <w:p>
            <w:pPr>
              <w:spacing w:after="0"/>
            </w:pPr>
            <w:r/>
            <w:r>
              <w:rPr>
                <w:rFonts w:ascii="Aptos" w:hAnsi="Aptos"/>
                <w:b w:val="0"/>
                <w:sz w:val="14"/>
              </w:rPr>
              <w:t>Commodity, market/mandi, arrival or observation date, variety/grade and reported prices where available.</w:t>
            </w:r>
          </w:p>
        </w:tc>
      </w:tr>
      <w:tr>
        <w:tc>
          <w:tcPr>
            <w:tcW w:type="dxa" w:w="1944"/>
            <w:vAlign w:val="center"/>
          </w:tcPr>
          <w:p>
            <w:pPr>
              <w:spacing w:after="0"/>
            </w:pPr>
            <w:r/>
            <w:r>
              <w:rPr>
                <w:rFonts w:ascii="Aptos" w:hAnsi="Aptos"/>
                <w:b w:val="0"/>
                <w:sz w:val="14"/>
              </w:rPr>
              <w:t>Weather</w:t>
            </w:r>
          </w:p>
        </w:tc>
        <w:tc>
          <w:tcPr>
            <w:tcW w:type="dxa" w:w="3528"/>
            <w:vAlign w:val="center"/>
          </w:tcPr>
          <w:p>
            <w:pPr>
              <w:spacing w:after="0"/>
            </w:pPr>
            <w:r/>
            <w:r>
              <w:rPr>
                <w:rFonts w:ascii="Aptos" w:hAnsi="Aptos"/>
                <w:b w:val="0"/>
                <w:sz w:val="14"/>
              </w:rPr>
              <w:t>India Meteorological Department (IMD) public products; NASA POWER for accessible gridded weather variables</w:t>
            </w:r>
          </w:p>
        </w:tc>
        <w:tc>
          <w:tcPr>
            <w:tcW w:type="dxa" w:w="3888"/>
            <w:vAlign w:val="center"/>
          </w:tcPr>
          <w:p>
            <w:pPr>
              <w:spacing w:after="0"/>
            </w:pPr>
            <w:r/>
            <w:r>
              <w:rPr>
                <w:rFonts w:ascii="Aptos" w:hAnsi="Aptos"/>
                <w:b w:val="0"/>
                <w:sz w:val="14"/>
              </w:rPr>
              <w:t>Daily/monthly rainfall, temperature or other weather measures, matched to location and period.</w:t>
            </w:r>
          </w:p>
        </w:tc>
      </w:tr>
      <w:tr>
        <w:tc>
          <w:tcPr>
            <w:tcW w:type="dxa" w:w="1944"/>
            <w:vAlign w:val="center"/>
            <w:shd w:fill="F1F5F9"/>
          </w:tcPr>
          <w:p>
            <w:pPr>
              <w:spacing w:after="0"/>
            </w:pPr>
            <w:r/>
            <w:r>
              <w:rPr>
                <w:rFonts w:ascii="Aptos" w:hAnsi="Aptos"/>
                <w:b w:val="0"/>
                <w:sz w:val="14"/>
              </w:rPr>
              <w:t>Geography / boundaries</w:t>
            </w:r>
          </w:p>
        </w:tc>
        <w:tc>
          <w:tcPr>
            <w:tcW w:type="dxa" w:w="3528"/>
            <w:vAlign w:val="center"/>
            <w:shd w:fill="F1F5F9"/>
          </w:tcPr>
          <w:p>
            <w:pPr>
              <w:spacing w:after="0"/>
            </w:pPr>
            <w:r/>
            <w:r>
              <w:rPr>
                <w:rFonts w:ascii="Aptos" w:hAnsi="Aptos"/>
                <w:b w:val="0"/>
                <w:sz w:val="14"/>
              </w:rPr>
              <w:t>Census of India administrative references or other government geographic datasets; source identifiers from each provider</w:t>
            </w:r>
          </w:p>
        </w:tc>
        <w:tc>
          <w:tcPr>
            <w:tcW w:type="dxa" w:w="3888"/>
            <w:vAlign w:val="center"/>
            <w:shd w:fill="F1F5F9"/>
          </w:tcPr>
          <w:p>
            <w:pPr>
              <w:spacing w:after="0"/>
            </w:pPr>
            <w:r/>
            <w:r>
              <w:rPr>
                <w:rFonts w:ascii="Aptos" w:hAnsi="Aptos"/>
                <w:b w:val="0"/>
                <w:sz w:val="14"/>
              </w:rPr>
              <w:t>State/district codes and names for mapping observations to a consistent geography.</w:t>
            </w:r>
          </w:p>
        </w:tc>
      </w:tr>
    </w:tbl>
    <w:p>
      <w:pPr>
        <w:spacing w:after="0"/>
      </w:pPr>
    </w:p>
    <w:p>
      <w:pPr>
        <w:pStyle w:val="Heading2"/>
      </w:pPr>
      <w:r>
        <w:t>1.2 Choosing sources responsibly</w:t>
      </w:r>
    </w:p>
    <w:p>
      <w:pPr>
        <w:pStyle w:val="ListBullet"/>
        <w:spacing w:after="20"/>
      </w:pPr>
      <w:r>
        <w:t>Prefer official portals, documented APIs and bulk downloads over scraping whenever possible.</w:t>
      </w:r>
    </w:p>
    <w:p>
      <w:pPr>
        <w:pStyle w:val="ListBullet"/>
        <w:spacing w:after="20"/>
      </w:pPr>
      <w:r>
        <w:t>Review licence, attribution, rate limits, terms of use and update frequency before automating access.</w:t>
      </w:r>
    </w:p>
    <w:p>
      <w:pPr>
        <w:pStyle w:val="ListBullet"/>
        <w:spacing w:after="20"/>
      </w:pPr>
      <w:r>
        <w:t>Record the source URL, retrieval timestamp, dataset version and file checksum for reproducibility.</w:t>
      </w:r>
    </w:p>
    <w:p>
      <w:pPr>
        <w:pStyle w:val="ListBullet"/>
        <w:spacing w:after="20"/>
      </w:pPr>
      <w:r>
        <w:t>Do not assume that all sources use the same district boundaries, commodity names, units or reporting periods.</w:t>
      </w:r>
    </w:p>
    <w:p>
      <w:pPr>
        <w:pStyle w:val="ListBullet"/>
        <w:spacing w:after="20"/>
      </w:pPr>
      <w:r>
        <w:t>For web pages without a supported download or API, use scraping only where permitted and stable; respect robots instructions and request limits.</w:t>
      </w:r>
    </w:p>
    <w:p>
      <w:pPr>
        <w:pStyle w:val="Heading2"/>
      </w:pPr>
      <w:r>
        <w:t>1.3 Data types and formats</w:t>
      </w:r>
    </w:p>
    <w:p>
      <w:r>
        <w:rPr>
          <w:i w:val="0"/>
        </w:rPr>
        <w:t>Inputs may arrive as CSV or Excel files, JSON API responses, compressed archives, or HTML tables. Each source adapter should produce a consistent internal batch envelope containing source_name, retrieved_at, batch_id, file_name or endpoint, schema_version, and the raw payload or immutable raw-file reference. Raw data should be retained so transformations can be rerun after a mapping or validation rule changes.</w:t>
      </w:r>
    </w:p>
    <w:p>
      <w:pPr>
        <w:pStyle w:val="Heading2"/>
      </w:pPr>
      <w:r>
        <w:t>1.4 Proposed target model</w:t>
      </w:r>
    </w:p>
    <w:p>
      <w:r>
        <w:rPr>
          <w:i w:val="0"/>
        </w:rPr>
        <w:t>The curated target can reuse the Week 2 agribusiness schema: region, farm (where farm-level data exists), crop, harvest, market, market_price and weather_observation. Public national statistics may not identify individual farms; such records should be stored in a separate aggregate fact table such as crop_production_stat with geography_id, crop_id, period_start, period_end, area_harvested, production_quantity and source_id. Never invent farm identifiers for aggregate public statistics.</w:t>
      </w:r>
    </w:p>
    <w:p>
      <w:r>
        <w:br w:type="page"/>
      </w:r>
    </w:p>
    <w:p>
      <w:pPr>
        <w:pStyle w:val="Heading1"/>
      </w:pPr>
      <w:r>
        <w:t>2. Extraction Strategy</w:t>
      </w:r>
    </w:p>
    <w:p>
      <w:pPr>
        <w:pStyle w:val="Heading2"/>
      </w:pPr>
      <w:r>
        <w:t>2.1 End-to-end pipeline</w:t>
      </w:r>
    </w:p>
    <w:p>
      <w:pPr>
        <w:ind w:left="360"/>
      </w:pPr>
      <w:r>
        <w:rPr>
          <w:rFonts w:ascii="Consolas" w:hAnsi="Consolas"/>
          <w:color w:val="17365D"/>
          <w:sz w:val="16"/>
        </w:rPr>
        <w:t>PUBLIC SOURCES</w:t>
        <w:br/>
        <w:t xml:space="preserve">  ├─ Official API (JSON) ──────┐</w:t>
        <w:br/>
        <w:t xml:space="preserve">  ├─ Bulk download (CSV/XLSX) ─┼─&gt; EXTRACT ADAPTERS</w:t>
        <w:br/>
        <w:t xml:space="preserve">  └─ Permitted HTML table ─────┘         │</w:t>
        <w:br/>
        <w:t xml:space="preserve">                                        ▼</w:t>
        <w:br/>
        <w:t xml:space="preserve">                              RAW LANDING / ARCHIVE</w:t>
        <w:br/>
        <w:t xml:space="preserve">                         (unchanged payload + metadata)</w:t>
        <w:br/>
        <w:t xml:space="preserve">                                        │</w:t>
        <w:br/>
        <w:t xml:space="preserve">                                        ▼</w:t>
        <w:br/>
        <w:t xml:space="preserve">                              STAGING TABLES</w:t>
        <w:br/>
        <w:t xml:space="preserve">                       (text-first, source-specific fields)</w:t>
        <w:br/>
        <w:t xml:space="preserve">                                        │</w:t>
        <w:br/>
        <w:t xml:space="preserve">                                        ▼</w:t>
        <w:br/>
        <w:t xml:space="preserve">                         VALIDATE + TRANSFORM + DEDUPE</w:t>
        <w:br/>
        <w:t xml:space="preserve">                         ├─ accepted rows</w:t>
        <w:br/>
        <w:t xml:space="preserve">                         └─ rejected rows + reason</w:t>
        <w:br/>
        <w:t xml:space="preserve">                                        │</w:t>
        <w:br/>
        <w:t xml:space="preserve">                                        ▼</w:t>
        <w:br/>
        <w:t xml:space="preserve">                              CURATED POSTGRESQL</w:t>
        <w:br/>
        <w:t xml:space="preserve">                        (dimensions + analytical fact tables)</w:t>
        <w:br/>
        <w:t xml:space="preserve">                                        │</w:t>
        <w:br/>
        <w:t xml:space="preserve">                                        ▼</w:t>
        <w:br/>
        <w:t xml:space="preserve">                          SQL REPORTS / DASHBOARDS</w:t>
      </w:r>
    </w:p>
    <w:p>
      <w:pPr>
        <w:pStyle w:val="Heading2"/>
      </w:pPr>
      <w:r>
        <w:t>2.2 Extraction methods</w:t>
      </w:r>
    </w:p>
    <w:tbl>
      <w:tblPr>
        <w:tblStyle w:val="TableGrid"/>
        <w:tblW w:type="auto" w:w="0"/>
        <w:jc w:val="center"/>
        <w:tblLook w:firstColumn="1" w:firstRow="1" w:lastColumn="0" w:lastRow="0" w:noHBand="0" w:noVBand="1" w:val="04A0"/>
      </w:tblPr>
      <w:tblGrid>
        <w:gridCol w:w="3427"/>
        <w:gridCol w:w="3427"/>
        <w:gridCol w:w="3427"/>
      </w:tblGrid>
      <w:tr>
        <w:tc>
          <w:tcPr>
            <w:tcW w:type="dxa" w:w="1800"/>
            <w:vAlign w:val="center"/>
            <w:shd w:fill="17365D"/>
          </w:tcPr>
          <w:p>
            <w:pPr>
              <w:spacing w:after="0"/>
            </w:pPr>
            <w:r/>
            <w:r>
              <w:rPr>
                <w:rFonts w:ascii="Aptos" w:hAnsi="Aptos"/>
                <w:b/>
                <w:color w:val="FFFFFF"/>
                <w:sz w:val="14"/>
              </w:rPr>
              <w:t>Method</w:t>
            </w:r>
          </w:p>
        </w:tc>
        <w:tc>
          <w:tcPr>
            <w:tcW w:type="dxa" w:w="4320"/>
            <w:vAlign w:val="center"/>
            <w:shd w:fill="17365D"/>
          </w:tcPr>
          <w:p>
            <w:pPr>
              <w:spacing w:after="0"/>
            </w:pPr>
            <w:r/>
            <w:r>
              <w:rPr>
                <w:rFonts w:ascii="Aptos" w:hAnsi="Aptos"/>
                <w:b/>
                <w:color w:val="FFFFFF"/>
                <w:sz w:val="14"/>
              </w:rPr>
              <w:t>Process</w:t>
            </w:r>
          </w:p>
        </w:tc>
        <w:tc>
          <w:tcPr>
            <w:tcW w:type="dxa" w:w="3240"/>
            <w:vAlign w:val="center"/>
            <w:shd w:fill="17365D"/>
          </w:tcPr>
          <w:p>
            <w:pPr>
              <w:spacing w:after="0"/>
            </w:pPr>
            <w:r/>
            <w:r>
              <w:rPr>
                <w:rFonts w:ascii="Aptos" w:hAnsi="Aptos"/>
                <w:b/>
                <w:color w:val="FFFFFF"/>
                <w:sz w:val="14"/>
              </w:rPr>
              <w:t>Controls</w:t>
            </w:r>
          </w:p>
        </w:tc>
      </w:tr>
      <w:tr>
        <w:tc>
          <w:tcPr>
            <w:tcW w:type="dxa" w:w="1800"/>
            <w:vAlign w:val="center"/>
          </w:tcPr>
          <w:p>
            <w:pPr>
              <w:spacing w:after="0"/>
            </w:pPr>
            <w:r/>
            <w:r>
              <w:rPr>
                <w:rFonts w:ascii="Aptos" w:hAnsi="Aptos"/>
                <w:b w:val="0"/>
                <w:sz w:val="14"/>
              </w:rPr>
              <w:t>API request</w:t>
            </w:r>
          </w:p>
        </w:tc>
        <w:tc>
          <w:tcPr>
            <w:tcW w:type="dxa" w:w="4320"/>
            <w:vAlign w:val="center"/>
          </w:tcPr>
          <w:p>
            <w:pPr>
              <w:spacing w:after="0"/>
            </w:pPr>
            <w:r/>
            <w:r>
              <w:rPr>
                <w:rFonts w:ascii="Aptos" w:hAnsi="Aptos"/>
                <w:b w:val="0"/>
                <w:sz w:val="14"/>
              </w:rPr>
              <w:t>Call a documented endpoint with explicit date/geography filters; parse JSON into records.</w:t>
            </w:r>
          </w:p>
        </w:tc>
        <w:tc>
          <w:tcPr>
            <w:tcW w:type="dxa" w:w="3240"/>
            <w:vAlign w:val="center"/>
          </w:tcPr>
          <w:p>
            <w:pPr>
              <w:spacing w:after="0"/>
            </w:pPr>
            <w:r/>
            <w:r>
              <w:rPr>
                <w:rFonts w:ascii="Aptos" w:hAnsi="Aptos"/>
                <w:b w:val="0"/>
                <w:sz w:val="14"/>
              </w:rPr>
              <w:t>Timeouts, retries with backoff, pagination, response status and rate limits.</w:t>
            </w:r>
          </w:p>
        </w:tc>
      </w:tr>
      <w:tr>
        <w:tc>
          <w:tcPr>
            <w:tcW w:type="dxa" w:w="1800"/>
            <w:vAlign w:val="center"/>
            <w:shd w:fill="F1F5F9"/>
          </w:tcPr>
          <w:p>
            <w:pPr>
              <w:spacing w:after="0"/>
            </w:pPr>
            <w:r/>
            <w:r>
              <w:rPr>
                <w:rFonts w:ascii="Aptos" w:hAnsi="Aptos"/>
                <w:b w:val="0"/>
                <w:sz w:val="14"/>
              </w:rPr>
              <w:t>Bulk download</w:t>
            </w:r>
          </w:p>
        </w:tc>
        <w:tc>
          <w:tcPr>
            <w:tcW w:type="dxa" w:w="4320"/>
            <w:vAlign w:val="center"/>
            <w:shd w:fill="F1F5F9"/>
          </w:tcPr>
          <w:p>
            <w:pPr>
              <w:spacing w:after="0"/>
            </w:pPr>
            <w:r/>
            <w:r>
              <w:rPr>
                <w:rFonts w:ascii="Aptos" w:hAnsi="Aptos"/>
                <w:b w:val="0"/>
                <w:sz w:val="14"/>
              </w:rPr>
              <w:t>Download CSV/XLSX/ZIP from an official dataset portal and record the file hash.</w:t>
            </w:r>
          </w:p>
        </w:tc>
        <w:tc>
          <w:tcPr>
            <w:tcW w:type="dxa" w:w="3240"/>
            <w:vAlign w:val="center"/>
            <w:shd w:fill="F1F5F9"/>
          </w:tcPr>
          <w:p>
            <w:pPr>
              <w:spacing w:after="0"/>
            </w:pPr>
            <w:r/>
            <w:r>
              <w:rPr>
                <w:rFonts w:ascii="Aptos" w:hAnsi="Aptos"/>
                <w:b w:val="0"/>
                <w:sz w:val="14"/>
              </w:rPr>
              <w:t>Verify content type, file size, checksum and expected columns.</w:t>
            </w:r>
          </w:p>
        </w:tc>
      </w:tr>
      <w:tr>
        <w:tc>
          <w:tcPr>
            <w:tcW w:type="dxa" w:w="1800"/>
            <w:vAlign w:val="center"/>
          </w:tcPr>
          <w:p>
            <w:pPr>
              <w:spacing w:after="0"/>
            </w:pPr>
            <w:r/>
            <w:r>
              <w:rPr>
                <w:rFonts w:ascii="Aptos" w:hAnsi="Aptos"/>
                <w:b w:val="0"/>
                <w:sz w:val="14"/>
              </w:rPr>
              <w:t>Permitted scraping</w:t>
            </w:r>
          </w:p>
        </w:tc>
        <w:tc>
          <w:tcPr>
            <w:tcW w:type="dxa" w:w="4320"/>
            <w:vAlign w:val="center"/>
          </w:tcPr>
          <w:p>
            <w:pPr>
              <w:spacing w:after="0"/>
            </w:pPr>
            <w:r/>
            <w:r>
              <w:rPr>
                <w:rFonts w:ascii="Aptos" w:hAnsi="Aptos"/>
                <w:b w:val="0"/>
                <w:sz w:val="14"/>
              </w:rPr>
              <w:t>Parse a stable HTML table only if terms permit and no API/download is available.</w:t>
            </w:r>
          </w:p>
        </w:tc>
        <w:tc>
          <w:tcPr>
            <w:tcW w:type="dxa" w:w="3240"/>
            <w:vAlign w:val="center"/>
          </w:tcPr>
          <w:p>
            <w:pPr>
              <w:spacing w:after="0"/>
            </w:pPr>
            <w:r/>
            <w:r>
              <w:rPr>
                <w:rFonts w:ascii="Aptos" w:hAnsi="Aptos"/>
                <w:b w:val="0"/>
                <w:sz w:val="14"/>
              </w:rPr>
              <w:t>Respect robots and rate limits; detect changed page structure; do not bypass access controls.</w:t>
            </w:r>
          </w:p>
        </w:tc>
      </w:tr>
      <w:tr>
        <w:tc>
          <w:tcPr>
            <w:tcW w:type="dxa" w:w="1800"/>
            <w:vAlign w:val="center"/>
            <w:shd w:fill="F1F5F9"/>
          </w:tcPr>
          <w:p>
            <w:pPr>
              <w:spacing w:after="0"/>
            </w:pPr>
            <w:r/>
            <w:r>
              <w:rPr>
                <w:rFonts w:ascii="Aptos" w:hAnsi="Aptos"/>
                <w:b w:val="0"/>
                <w:sz w:val="14"/>
              </w:rPr>
              <w:t>Incremental pull</w:t>
            </w:r>
          </w:p>
        </w:tc>
        <w:tc>
          <w:tcPr>
            <w:tcW w:type="dxa" w:w="4320"/>
            <w:vAlign w:val="center"/>
            <w:shd w:fill="F1F5F9"/>
          </w:tcPr>
          <w:p>
            <w:pPr>
              <w:spacing w:after="0"/>
            </w:pPr>
            <w:r/>
            <w:r>
              <w:rPr>
                <w:rFonts w:ascii="Aptos" w:hAnsi="Aptos"/>
                <w:b w:val="0"/>
                <w:sz w:val="14"/>
              </w:rPr>
              <w:t>Request records updated since the last successful watermark if supported.</w:t>
            </w:r>
          </w:p>
        </w:tc>
        <w:tc>
          <w:tcPr>
            <w:tcW w:type="dxa" w:w="3240"/>
            <w:vAlign w:val="center"/>
            <w:shd w:fill="F1F5F9"/>
          </w:tcPr>
          <w:p>
            <w:pPr>
              <w:spacing w:after="0"/>
            </w:pPr>
            <w:r/>
            <w:r>
              <w:rPr>
                <w:rFonts w:ascii="Aptos" w:hAnsi="Aptos"/>
                <w:b w:val="0"/>
                <w:sz w:val="14"/>
              </w:rPr>
              <w:t>Persist watermark only after the batch commits successfully; allow overlap to capture late updates.</w:t>
            </w:r>
          </w:p>
        </w:tc>
      </w:tr>
    </w:tbl>
    <w:p>
      <w:pPr>
        <w:spacing w:after="0"/>
      </w:pPr>
    </w:p>
    <w:p>
      <w:pPr>
        <w:pStyle w:val="Heading2"/>
      </w:pPr>
      <w:r>
        <w:t>2.3 Extraction pseudocode</w:t>
      </w:r>
    </w:p>
    <w:p>
      <w:pPr>
        <w:pStyle w:val="SQLCode"/>
        <w:shd w:fill="F3F6FA"/>
      </w:pPr>
      <w:r>
        <w:t>for source in enabled_sources:</w:t>
      </w:r>
    </w:p>
    <w:p>
      <w:pPr>
        <w:pStyle w:val="SQLCode"/>
        <w:shd w:fill="F3F6FA"/>
      </w:pPr>
      <w:r>
        <w:t xml:space="preserve">    batch_id = create_batch_id()</w:t>
      </w:r>
    </w:p>
    <w:p>
      <w:pPr>
        <w:pStyle w:val="SQLCode"/>
        <w:shd w:fill="F3F6FA"/>
      </w:pPr>
      <w:r>
        <w:t xml:space="preserve">    response = source.fetch(</w:t>
      </w:r>
    </w:p>
    <w:p>
      <w:pPr>
        <w:pStyle w:val="SQLCode"/>
        <w:shd w:fill="F3F6FA"/>
      </w:pPr>
      <w:r>
        <w:t xml:space="preserve">        start_date=last_successful_watermark(source),</w:t>
      </w:r>
    </w:p>
    <w:p>
      <w:pPr>
        <w:pStyle w:val="SQLCode"/>
        <w:shd w:fill="F3F6FA"/>
      </w:pPr>
      <w:r>
        <w:t xml:space="preserve">        end_date=run_cutoff</w:t>
      </w:r>
    </w:p>
    <w:p>
      <w:pPr>
        <w:pStyle w:val="SQLCode"/>
        <w:shd w:fill="F3F6FA"/>
      </w:pPr>
      <w:r>
        <w:t xml:space="preserve">    )</w:t>
      </w:r>
    </w:p>
    <w:p>
      <w:pPr>
        <w:pStyle w:val="SQLCode"/>
        <w:shd w:fill="F3F6FA"/>
      </w:pPr>
      <w:r>
        <w:t xml:space="preserve">    validate_response_status(response)</w:t>
      </w:r>
    </w:p>
    <w:p>
      <w:pPr>
        <w:pStyle w:val="SQLCode"/>
        <w:shd w:fill="F3F6FA"/>
      </w:pPr>
      <w:r>
        <w:t xml:space="preserve">    raw_ref = save_immutable_raw_payload(response, batch_id)</w:t>
      </w:r>
    </w:p>
    <w:p>
      <w:pPr>
        <w:pStyle w:val="SQLCode"/>
        <w:shd w:fill="F3F6FA"/>
      </w:pPr>
      <w:r>
        <w:t xml:space="preserve">    metadata = record_source_metadata(</w:t>
      </w:r>
    </w:p>
    <w:p>
      <w:pPr>
        <w:pStyle w:val="SQLCode"/>
        <w:shd w:fill="F3F6FA"/>
      </w:pPr>
      <w:r>
        <w:t xml:space="preserve">        source, batch_id, raw_ref, retrieved_at=now()</w:t>
      </w:r>
    </w:p>
    <w:p>
      <w:pPr>
        <w:pStyle w:val="SQLCode"/>
        <w:shd w:fill="F3F6FA"/>
      </w:pPr>
      <w:r>
        <w:t xml:space="preserve">    )</w:t>
      </w:r>
    </w:p>
    <w:p>
      <w:pPr>
        <w:pStyle w:val="SQLCode"/>
        <w:shd w:fill="F3F6FA"/>
      </w:pPr>
      <w:r>
        <w:t xml:space="preserve">    parse_to_source_rows(raw_ref, metadata, staging_target=source.stage_table)</w:t>
      </w:r>
    </w:p>
    <w:p>
      <w:r>
        <w:rPr>
          <w:i w:val="0"/>
        </w:rPr>
        <w:t>A production implementation should not advance the watermark when parsing, validation or loading fails. Where a provider has no incremental endpoint, download a bounded date range or full snapshot and rely on deterministic keys to make repeat runs safe.</w:t>
      </w:r>
    </w:p>
    <w:p>
      <w:pPr>
        <w:pStyle w:val="Heading2"/>
      </w:pPr>
      <w:r>
        <w:t>2.4 Batch metadata</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17365D"/>
          </w:tcPr>
          <w:p>
            <w:pPr>
              <w:spacing w:after="0"/>
            </w:pPr>
            <w:r/>
            <w:r>
              <w:rPr>
                <w:rFonts w:ascii="Aptos" w:hAnsi="Aptos"/>
                <w:b/>
                <w:color w:val="FFFFFF"/>
                <w:sz w:val="15"/>
              </w:rPr>
              <w:t>Field</w:t>
            </w:r>
          </w:p>
        </w:tc>
        <w:tc>
          <w:tcPr>
            <w:tcW w:type="dxa" w:w="6480"/>
            <w:vAlign w:val="center"/>
            <w:shd w:fill="17365D"/>
          </w:tcPr>
          <w:p>
            <w:pPr>
              <w:spacing w:after="0"/>
            </w:pPr>
            <w:r/>
            <w:r>
              <w:rPr>
                <w:rFonts w:ascii="Aptos" w:hAnsi="Aptos"/>
                <w:b/>
                <w:color w:val="FFFFFF"/>
                <w:sz w:val="15"/>
              </w:rPr>
              <w:t>Purpose</w:t>
            </w:r>
          </w:p>
        </w:tc>
      </w:tr>
      <w:tr>
        <w:tc>
          <w:tcPr>
            <w:tcW w:type="dxa" w:w="2880"/>
            <w:vAlign w:val="center"/>
          </w:tcPr>
          <w:p>
            <w:pPr>
              <w:spacing w:after="0"/>
            </w:pPr>
            <w:r/>
            <w:r>
              <w:rPr>
                <w:rFonts w:ascii="Aptos" w:hAnsi="Aptos"/>
                <w:b w:val="0"/>
                <w:sz w:val="15"/>
              </w:rPr>
              <w:t>batch_id</w:t>
            </w:r>
          </w:p>
        </w:tc>
        <w:tc>
          <w:tcPr>
            <w:tcW w:type="dxa" w:w="6480"/>
            <w:vAlign w:val="center"/>
          </w:tcPr>
          <w:p>
            <w:pPr>
              <w:spacing w:after="0"/>
            </w:pPr>
            <w:r/>
            <w:r>
              <w:rPr>
                <w:rFonts w:ascii="Aptos" w:hAnsi="Aptos"/>
                <w:b w:val="0"/>
                <w:sz w:val="15"/>
              </w:rPr>
              <w:t>Unique ID connecting raw files, staging rows, rejects and load results.</w:t>
            </w:r>
          </w:p>
        </w:tc>
      </w:tr>
      <w:tr>
        <w:tc>
          <w:tcPr>
            <w:tcW w:type="dxa" w:w="2880"/>
            <w:vAlign w:val="center"/>
            <w:shd w:fill="F1F5F9"/>
          </w:tcPr>
          <w:p>
            <w:pPr>
              <w:spacing w:after="0"/>
            </w:pPr>
            <w:r/>
            <w:r>
              <w:rPr>
                <w:rFonts w:ascii="Aptos" w:hAnsi="Aptos"/>
                <w:b w:val="0"/>
                <w:sz w:val="15"/>
              </w:rPr>
              <w:t>source_name / source_uri</w:t>
            </w:r>
          </w:p>
        </w:tc>
        <w:tc>
          <w:tcPr>
            <w:tcW w:type="dxa" w:w="6480"/>
            <w:vAlign w:val="center"/>
            <w:shd w:fill="F1F5F9"/>
          </w:tcPr>
          <w:p>
            <w:pPr>
              <w:spacing w:after="0"/>
            </w:pPr>
            <w:r/>
            <w:r>
              <w:rPr>
                <w:rFonts w:ascii="Aptos" w:hAnsi="Aptos"/>
                <w:b w:val="0"/>
                <w:sz w:val="15"/>
              </w:rPr>
              <w:t>Identifies the provider and exact dataset or endpoint.</w:t>
            </w:r>
          </w:p>
        </w:tc>
      </w:tr>
      <w:tr>
        <w:tc>
          <w:tcPr>
            <w:tcW w:type="dxa" w:w="2880"/>
            <w:vAlign w:val="center"/>
          </w:tcPr>
          <w:p>
            <w:pPr>
              <w:spacing w:after="0"/>
            </w:pPr>
            <w:r/>
            <w:r>
              <w:rPr>
                <w:rFonts w:ascii="Aptos" w:hAnsi="Aptos"/>
                <w:b w:val="0"/>
                <w:sz w:val="15"/>
              </w:rPr>
              <w:t>retrieved_at / source_updated_at</w:t>
            </w:r>
          </w:p>
        </w:tc>
        <w:tc>
          <w:tcPr>
            <w:tcW w:type="dxa" w:w="6480"/>
            <w:vAlign w:val="center"/>
          </w:tcPr>
          <w:p>
            <w:pPr>
              <w:spacing w:after="0"/>
            </w:pPr>
            <w:r/>
            <w:r>
              <w:rPr>
                <w:rFonts w:ascii="Aptos" w:hAnsi="Aptos"/>
                <w:b w:val="0"/>
                <w:sz w:val="15"/>
              </w:rPr>
              <w:t>Separates retrieval time from the provider’s update time.</w:t>
            </w:r>
          </w:p>
        </w:tc>
      </w:tr>
      <w:tr>
        <w:tc>
          <w:tcPr>
            <w:tcW w:type="dxa" w:w="2880"/>
            <w:vAlign w:val="center"/>
            <w:shd w:fill="F1F5F9"/>
          </w:tcPr>
          <w:p>
            <w:pPr>
              <w:spacing w:after="0"/>
            </w:pPr>
            <w:r/>
            <w:r>
              <w:rPr>
                <w:rFonts w:ascii="Aptos" w:hAnsi="Aptos"/>
                <w:b w:val="0"/>
                <w:sz w:val="15"/>
              </w:rPr>
              <w:t>schema_version / file_hash</w:t>
            </w:r>
          </w:p>
        </w:tc>
        <w:tc>
          <w:tcPr>
            <w:tcW w:type="dxa" w:w="6480"/>
            <w:vAlign w:val="center"/>
            <w:shd w:fill="F1F5F9"/>
          </w:tcPr>
          <w:p>
            <w:pPr>
              <w:spacing w:after="0"/>
            </w:pPr>
            <w:r/>
            <w:r>
              <w:rPr>
                <w:rFonts w:ascii="Aptos" w:hAnsi="Aptos"/>
                <w:b w:val="0"/>
                <w:sz w:val="15"/>
              </w:rPr>
              <w:t>Detects format changes and duplicate or altered files.</w:t>
            </w:r>
          </w:p>
        </w:tc>
      </w:tr>
      <w:tr>
        <w:tc>
          <w:tcPr>
            <w:tcW w:type="dxa" w:w="2880"/>
            <w:vAlign w:val="center"/>
          </w:tcPr>
          <w:p>
            <w:pPr>
              <w:spacing w:after="0"/>
            </w:pPr>
            <w:r/>
            <w:r>
              <w:rPr>
                <w:rFonts w:ascii="Aptos" w:hAnsi="Aptos"/>
                <w:b w:val="0"/>
                <w:sz w:val="15"/>
              </w:rPr>
              <w:t>status / row counts</w:t>
            </w:r>
          </w:p>
        </w:tc>
        <w:tc>
          <w:tcPr>
            <w:tcW w:type="dxa" w:w="6480"/>
            <w:vAlign w:val="center"/>
          </w:tcPr>
          <w:p>
            <w:pPr>
              <w:spacing w:after="0"/>
            </w:pPr>
            <w:r/>
            <w:r>
              <w:rPr>
                <w:rFonts w:ascii="Aptos" w:hAnsi="Aptos"/>
                <w:b w:val="0"/>
                <w:sz w:val="15"/>
              </w:rPr>
              <w:t>Tracks extracted, accepted, rejected and loaded rows.</w:t>
            </w:r>
          </w:p>
        </w:tc>
      </w:tr>
    </w:tbl>
    <w:p>
      <w:pPr>
        <w:spacing w:after="0"/>
      </w:pPr>
    </w:p>
    <w:p>
      <w:r>
        <w:br w:type="page"/>
      </w:r>
    </w:p>
    <w:p>
      <w:pPr>
        <w:pStyle w:val="Heading1"/>
      </w:pPr>
      <w:r>
        <w:t>3. Transformation and Data Quality Strategy</w:t>
      </w:r>
    </w:p>
    <w:p>
      <w:pPr>
        <w:pStyle w:val="Heading2"/>
      </w:pPr>
      <w:r>
        <w:t>3.1 Transformation rules</w:t>
      </w:r>
    </w:p>
    <w:tbl>
      <w:tblPr>
        <w:tblStyle w:val="TableGrid"/>
        <w:tblW w:type="auto" w:w="0"/>
        <w:jc w:val="center"/>
        <w:tblLook w:firstColumn="1" w:firstRow="1" w:lastColumn="0" w:lastRow="0" w:noHBand="0" w:noVBand="1" w:val="04A0"/>
      </w:tblPr>
      <w:tblGrid>
        <w:gridCol w:w="3427"/>
        <w:gridCol w:w="3427"/>
        <w:gridCol w:w="3427"/>
      </w:tblGrid>
      <w:tr>
        <w:tc>
          <w:tcPr>
            <w:tcW w:type="dxa" w:w="1800"/>
            <w:vAlign w:val="center"/>
            <w:shd w:fill="17365D"/>
          </w:tcPr>
          <w:p>
            <w:pPr>
              <w:spacing w:after="0"/>
            </w:pPr>
            <w:r/>
            <w:r>
              <w:rPr>
                <w:rFonts w:ascii="Aptos" w:hAnsi="Aptos"/>
                <w:b/>
                <w:color w:val="FFFFFF"/>
                <w:sz w:val="14"/>
              </w:rPr>
              <w:t>Issue</w:t>
            </w:r>
          </w:p>
        </w:tc>
        <w:tc>
          <w:tcPr>
            <w:tcW w:type="dxa" w:w="4536"/>
            <w:vAlign w:val="center"/>
            <w:shd w:fill="17365D"/>
          </w:tcPr>
          <w:p>
            <w:pPr>
              <w:spacing w:after="0"/>
            </w:pPr>
            <w:r/>
            <w:r>
              <w:rPr>
                <w:rFonts w:ascii="Aptos" w:hAnsi="Aptos"/>
                <w:b/>
                <w:color w:val="FFFFFF"/>
                <w:sz w:val="14"/>
              </w:rPr>
              <w:t>Rule</w:t>
            </w:r>
          </w:p>
        </w:tc>
        <w:tc>
          <w:tcPr>
            <w:tcW w:type="dxa" w:w="3024"/>
            <w:vAlign w:val="center"/>
            <w:shd w:fill="17365D"/>
          </w:tcPr>
          <w:p>
            <w:pPr>
              <w:spacing w:after="0"/>
            </w:pPr>
            <w:r/>
            <w:r>
              <w:rPr>
                <w:rFonts w:ascii="Aptos" w:hAnsi="Aptos"/>
                <w:b/>
                <w:color w:val="FFFFFF"/>
                <w:sz w:val="14"/>
              </w:rPr>
              <w:t>Example</w:t>
            </w:r>
          </w:p>
        </w:tc>
      </w:tr>
      <w:tr>
        <w:tc>
          <w:tcPr>
            <w:tcW w:type="dxa" w:w="1800"/>
            <w:vAlign w:val="center"/>
          </w:tcPr>
          <w:p>
            <w:pPr>
              <w:spacing w:after="0"/>
            </w:pPr>
            <w:r/>
            <w:r>
              <w:rPr>
                <w:rFonts w:ascii="Aptos" w:hAnsi="Aptos"/>
                <w:b w:val="0"/>
                <w:sz w:val="14"/>
              </w:rPr>
              <w:t>Whitespace / casing</w:t>
            </w:r>
          </w:p>
        </w:tc>
        <w:tc>
          <w:tcPr>
            <w:tcW w:type="dxa" w:w="4536"/>
            <w:vAlign w:val="center"/>
          </w:tcPr>
          <w:p>
            <w:pPr>
              <w:spacing w:after="0"/>
            </w:pPr>
            <w:r/>
            <w:r>
              <w:rPr>
                <w:rFonts w:ascii="Aptos" w:hAnsi="Aptos"/>
                <w:b w:val="0"/>
                <w:sz w:val="14"/>
              </w:rPr>
              <w:t>Trim text; normalize labels using governed mapping tables, not casing alone.</w:t>
            </w:r>
          </w:p>
        </w:tc>
        <w:tc>
          <w:tcPr>
            <w:tcW w:type="dxa" w:w="3024"/>
            <w:vAlign w:val="center"/>
          </w:tcPr>
          <w:p>
            <w:pPr>
              <w:spacing w:after="0"/>
            </w:pPr>
            <w:r/>
            <w:r>
              <w:rPr>
                <w:rFonts w:ascii="Aptos" w:hAnsi="Aptos"/>
                <w:b w:val="0"/>
                <w:sz w:val="14"/>
              </w:rPr>
              <w:t>'  Wheat ' → 'Wheat'</w:t>
            </w:r>
          </w:p>
        </w:tc>
      </w:tr>
      <w:tr>
        <w:tc>
          <w:tcPr>
            <w:tcW w:type="dxa" w:w="1800"/>
            <w:vAlign w:val="center"/>
            <w:shd w:fill="F1F5F9"/>
          </w:tcPr>
          <w:p>
            <w:pPr>
              <w:spacing w:after="0"/>
            </w:pPr>
            <w:r/>
            <w:r>
              <w:rPr>
                <w:rFonts w:ascii="Aptos" w:hAnsi="Aptos"/>
                <w:b w:val="0"/>
                <w:sz w:val="14"/>
              </w:rPr>
              <w:t>Dates</w:t>
            </w:r>
          </w:p>
        </w:tc>
        <w:tc>
          <w:tcPr>
            <w:tcW w:type="dxa" w:w="4536"/>
            <w:vAlign w:val="center"/>
            <w:shd w:fill="F1F5F9"/>
          </w:tcPr>
          <w:p>
            <w:pPr>
              <w:spacing w:after="0"/>
            </w:pPr>
            <w:r/>
            <w:r>
              <w:rPr>
                <w:rFonts w:ascii="Aptos" w:hAnsi="Aptos"/>
                <w:b w:val="0"/>
                <w:sz w:val="14"/>
              </w:rPr>
              <w:t>Parse with explicit format and timezone assumptions; reject ambiguous dates.</w:t>
            </w:r>
          </w:p>
        </w:tc>
        <w:tc>
          <w:tcPr>
            <w:tcW w:type="dxa" w:w="3024"/>
            <w:vAlign w:val="center"/>
            <w:shd w:fill="F1F5F9"/>
          </w:tcPr>
          <w:p>
            <w:pPr>
              <w:spacing w:after="0"/>
            </w:pPr>
            <w:r/>
            <w:r>
              <w:rPr>
                <w:rFonts w:ascii="Aptos" w:hAnsi="Aptos"/>
                <w:b w:val="0"/>
                <w:sz w:val="14"/>
              </w:rPr>
              <w:t>'2025-04-30' → DATE</w:t>
            </w:r>
          </w:p>
        </w:tc>
      </w:tr>
      <w:tr>
        <w:tc>
          <w:tcPr>
            <w:tcW w:type="dxa" w:w="1800"/>
            <w:vAlign w:val="center"/>
          </w:tcPr>
          <w:p>
            <w:pPr>
              <w:spacing w:after="0"/>
            </w:pPr>
            <w:r/>
            <w:r>
              <w:rPr>
                <w:rFonts w:ascii="Aptos" w:hAnsi="Aptos"/>
                <w:b w:val="0"/>
                <w:sz w:val="14"/>
              </w:rPr>
              <w:t>Numbers</w:t>
            </w:r>
          </w:p>
        </w:tc>
        <w:tc>
          <w:tcPr>
            <w:tcW w:type="dxa" w:w="4536"/>
            <w:vAlign w:val="center"/>
          </w:tcPr>
          <w:p>
            <w:pPr>
              <w:spacing w:after="0"/>
            </w:pPr>
            <w:r/>
            <w:r>
              <w:rPr>
                <w:rFonts w:ascii="Aptos" w:hAnsi="Aptos"/>
                <w:b w:val="0"/>
                <w:sz w:val="14"/>
              </w:rPr>
              <w:t>Remove documented thousands separators; parse decimal values; reject malformed values.</w:t>
            </w:r>
          </w:p>
        </w:tc>
        <w:tc>
          <w:tcPr>
            <w:tcW w:type="dxa" w:w="3024"/>
            <w:vAlign w:val="center"/>
          </w:tcPr>
          <w:p>
            <w:pPr>
              <w:spacing w:after="0"/>
            </w:pPr>
            <w:r/>
            <w:r>
              <w:rPr>
                <w:rFonts w:ascii="Aptos" w:hAnsi="Aptos"/>
                <w:b w:val="0"/>
                <w:sz w:val="14"/>
              </w:rPr>
              <w:t>'1,250.50' → 1250.50</w:t>
            </w:r>
          </w:p>
        </w:tc>
      </w:tr>
      <w:tr>
        <w:tc>
          <w:tcPr>
            <w:tcW w:type="dxa" w:w="1800"/>
            <w:vAlign w:val="center"/>
            <w:shd w:fill="F1F5F9"/>
          </w:tcPr>
          <w:p>
            <w:pPr>
              <w:spacing w:after="0"/>
            </w:pPr>
            <w:r/>
            <w:r>
              <w:rPr>
                <w:rFonts w:ascii="Aptos" w:hAnsi="Aptos"/>
                <w:b w:val="0"/>
                <w:sz w:val="14"/>
              </w:rPr>
              <w:t>Units</w:t>
            </w:r>
          </w:p>
        </w:tc>
        <w:tc>
          <w:tcPr>
            <w:tcW w:type="dxa" w:w="4536"/>
            <w:vAlign w:val="center"/>
            <w:shd w:fill="F1F5F9"/>
          </w:tcPr>
          <w:p>
            <w:pPr>
              <w:spacing w:after="0"/>
            </w:pPr>
            <w:r/>
            <w:r>
              <w:rPr>
                <w:rFonts w:ascii="Aptos" w:hAnsi="Aptos"/>
                <w:b w:val="0"/>
                <w:sz w:val="14"/>
              </w:rPr>
              <w:t>Convert only when the source unit is known and conversion is documented.</w:t>
            </w:r>
          </w:p>
        </w:tc>
        <w:tc>
          <w:tcPr>
            <w:tcW w:type="dxa" w:w="3024"/>
            <w:vAlign w:val="center"/>
            <w:shd w:fill="F1F5F9"/>
          </w:tcPr>
          <w:p>
            <w:pPr>
              <w:spacing w:after="0"/>
            </w:pPr>
            <w:r/>
            <w:r>
              <w:rPr>
                <w:rFonts w:ascii="Aptos" w:hAnsi="Aptos"/>
                <w:b w:val="0"/>
                <w:sz w:val="14"/>
              </w:rPr>
              <w:t>quintal → tonne using 1 quintal = 0.1 tonne</w:t>
            </w:r>
          </w:p>
        </w:tc>
      </w:tr>
      <w:tr>
        <w:tc>
          <w:tcPr>
            <w:tcW w:type="dxa" w:w="1800"/>
            <w:vAlign w:val="center"/>
          </w:tcPr>
          <w:p>
            <w:pPr>
              <w:spacing w:after="0"/>
            </w:pPr>
            <w:r/>
            <w:r>
              <w:rPr>
                <w:rFonts w:ascii="Aptos" w:hAnsi="Aptos"/>
                <w:b w:val="0"/>
                <w:sz w:val="14"/>
              </w:rPr>
              <w:t>Commodity names</w:t>
            </w:r>
          </w:p>
        </w:tc>
        <w:tc>
          <w:tcPr>
            <w:tcW w:type="dxa" w:w="4536"/>
            <w:vAlign w:val="center"/>
          </w:tcPr>
          <w:p>
            <w:pPr>
              <w:spacing w:after="0"/>
            </w:pPr>
            <w:r/>
            <w:r>
              <w:rPr>
                <w:rFonts w:ascii="Aptos" w:hAnsi="Aptos"/>
                <w:b w:val="0"/>
                <w:sz w:val="14"/>
              </w:rPr>
              <w:t>Map source-specific terms to a canonical crop_id via a crosswalk table.</w:t>
            </w:r>
          </w:p>
        </w:tc>
        <w:tc>
          <w:tcPr>
            <w:tcW w:type="dxa" w:w="3024"/>
            <w:vAlign w:val="center"/>
          </w:tcPr>
          <w:p>
            <w:pPr>
              <w:spacing w:after="0"/>
            </w:pPr>
            <w:r/>
            <w:r>
              <w:rPr>
                <w:rFonts w:ascii="Aptos" w:hAnsi="Aptos"/>
                <w:b w:val="0"/>
                <w:sz w:val="14"/>
              </w:rPr>
              <w:t>Source alias → canonical commodity</w:t>
            </w:r>
          </w:p>
        </w:tc>
      </w:tr>
      <w:tr>
        <w:tc>
          <w:tcPr>
            <w:tcW w:type="dxa" w:w="1800"/>
            <w:vAlign w:val="center"/>
            <w:shd w:fill="F1F5F9"/>
          </w:tcPr>
          <w:p>
            <w:pPr>
              <w:spacing w:after="0"/>
            </w:pPr>
            <w:r/>
            <w:r>
              <w:rPr>
                <w:rFonts w:ascii="Aptos" w:hAnsi="Aptos"/>
                <w:b w:val="0"/>
                <w:sz w:val="14"/>
              </w:rPr>
              <w:t>Geography</w:t>
            </w:r>
          </w:p>
        </w:tc>
        <w:tc>
          <w:tcPr>
            <w:tcW w:type="dxa" w:w="4536"/>
            <w:vAlign w:val="center"/>
            <w:shd w:fill="F1F5F9"/>
          </w:tcPr>
          <w:p>
            <w:pPr>
              <w:spacing w:after="0"/>
            </w:pPr>
            <w:r/>
            <w:r>
              <w:rPr>
                <w:rFonts w:ascii="Aptos" w:hAnsi="Aptos"/>
                <w:b w:val="0"/>
                <w:sz w:val="14"/>
              </w:rPr>
              <w:t>Map source district/state code to stable geography keys; retain original names.</w:t>
            </w:r>
          </w:p>
        </w:tc>
        <w:tc>
          <w:tcPr>
            <w:tcW w:type="dxa" w:w="3024"/>
            <w:vAlign w:val="center"/>
            <w:shd w:fill="F1F5F9"/>
          </w:tcPr>
          <w:p>
            <w:pPr>
              <w:spacing w:after="0"/>
            </w:pPr>
            <w:r/>
            <w:r>
              <w:rPr>
                <w:rFonts w:ascii="Aptos" w:hAnsi="Aptos"/>
                <w:b w:val="0"/>
                <w:sz w:val="14"/>
              </w:rPr>
              <w:t>Provider district code → geography_id</w:t>
            </w:r>
          </w:p>
        </w:tc>
      </w:tr>
      <w:tr>
        <w:tc>
          <w:tcPr>
            <w:tcW w:type="dxa" w:w="1800"/>
            <w:vAlign w:val="center"/>
          </w:tcPr>
          <w:p>
            <w:pPr>
              <w:spacing w:after="0"/>
            </w:pPr>
            <w:r/>
            <w:r>
              <w:rPr>
                <w:rFonts w:ascii="Aptos" w:hAnsi="Aptos"/>
                <w:b w:val="0"/>
                <w:sz w:val="14"/>
              </w:rPr>
              <w:t>Missing values</w:t>
            </w:r>
          </w:p>
        </w:tc>
        <w:tc>
          <w:tcPr>
            <w:tcW w:type="dxa" w:w="4536"/>
            <w:vAlign w:val="center"/>
          </w:tcPr>
          <w:p>
            <w:pPr>
              <w:spacing w:after="0"/>
            </w:pPr>
            <w:r/>
            <w:r>
              <w:rPr>
                <w:rFonts w:ascii="Aptos" w:hAnsi="Aptos"/>
                <w:b w:val="0"/>
                <w:sz w:val="14"/>
              </w:rPr>
              <w:t>Distinguish unknown, not reported and true zero; use NULL for unknown numeric values.</w:t>
            </w:r>
          </w:p>
        </w:tc>
        <w:tc>
          <w:tcPr>
            <w:tcW w:type="dxa" w:w="3024"/>
            <w:vAlign w:val="center"/>
          </w:tcPr>
          <w:p>
            <w:pPr>
              <w:spacing w:after="0"/>
            </w:pPr>
            <w:r/>
            <w:r>
              <w:rPr>
                <w:rFonts w:ascii="Aptos" w:hAnsi="Aptos"/>
                <w:b w:val="0"/>
                <w:sz w:val="14"/>
              </w:rPr>
              <w:t>Blank rainfall ≠ 0 mm</w:t>
            </w:r>
          </w:p>
        </w:tc>
      </w:tr>
      <w:tr>
        <w:tc>
          <w:tcPr>
            <w:tcW w:type="dxa" w:w="1800"/>
            <w:vAlign w:val="center"/>
            <w:shd w:fill="F1F5F9"/>
          </w:tcPr>
          <w:p>
            <w:pPr>
              <w:spacing w:after="0"/>
            </w:pPr>
            <w:r/>
            <w:r>
              <w:rPr>
                <w:rFonts w:ascii="Aptos" w:hAnsi="Aptos"/>
                <w:b w:val="0"/>
                <w:sz w:val="14"/>
              </w:rPr>
              <w:t>Duplicates</w:t>
            </w:r>
          </w:p>
        </w:tc>
        <w:tc>
          <w:tcPr>
            <w:tcW w:type="dxa" w:w="4536"/>
            <w:vAlign w:val="center"/>
            <w:shd w:fill="F1F5F9"/>
          </w:tcPr>
          <w:p>
            <w:pPr>
              <w:spacing w:after="0"/>
            </w:pPr>
            <w:r/>
            <w:r>
              <w:rPr>
                <w:rFonts w:ascii="Aptos" w:hAnsi="Aptos"/>
                <w:b w:val="0"/>
                <w:sz w:val="14"/>
              </w:rPr>
              <w:t>Deduplicate using business key plus source update/version rule.</w:t>
            </w:r>
          </w:p>
        </w:tc>
        <w:tc>
          <w:tcPr>
            <w:tcW w:type="dxa" w:w="3024"/>
            <w:vAlign w:val="center"/>
            <w:shd w:fill="F1F5F9"/>
          </w:tcPr>
          <w:p>
            <w:pPr>
              <w:spacing w:after="0"/>
            </w:pPr>
            <w:r/>
            <w:r>
              <w:rPr>
                <w:rFonts w:ascii="Aptos" w:hAnsi="Aptos"/>
                <w:b w:val="0"/>
                <w:sz w:val="14"/>
              </w:rPr>
              <w:t>market + crop + date + grade + source</w:t>
            </w:r>
          </w:p>
        </w:tc>
      </w:tr>
      <w:tr>
        <w:tc>
          <w:tcPr>
            <w:tcW w:type="dxa" w:w="1800"/>
            <w:vAlign w:val="center"/>
          </w:tcPr>
          <w:p>
            <w:pPr>
              <w:spacing w:after="0"/>
            </w:pPr>
            <w:r/>
            <w:r>
              <w:rPr>
                <w:rFonts w:ascii="Aptos" w:hAnsi="Aptos"/>
                <w:b w:val="0"/>
                <w:sz w:val="14"/>
              </w:rPr>
              <w:t>Outliers</w:t>
            </w:r>
          </w:p>
        </w:tc>
        <w:tc>
          <w:tcPr>
            <w:tcW w:type="dxa" w:w="4536"/>
            <w:vAlign w:val="center"/>
          </w:tcPr>
          <w:p>
            <w:pPr>
              <w:spacing w:after="0"/>
            </w:pPr>
            <w:r/>
            <w:r>
              <w:rPr>
                <w:rFonts w:ascii="Aptos" w:hAnsi="Aptos"/>
                <w:b w:val="0"/>
                <w:sz w:val="14"/>
              </w:rPr>
              <w:t>Flag suspicious values against documented domain rules; do not auto-delete solely because they are unusual.</w:t>
            </w:r>
          </w:p>
        </w:tc>
        <w:tc>
          <w:tcPr>
            <w:tcW w:type="dxa" w:w="3024"/>
            <w:vAlign w:val="center"/>
          </w:tcPr>
          <w:p>
            <w:pPr>
              <w:spacing w:after="0"/>
            </w:pPr>
            <w:r/>
            <w:r>
              <w:rPr>
                <w:rFonts w:ascii="Aptos" w:hAnsi="Aptos"/>
                <w:b w:val="0"/>
                <w:sz w:val="14"/>
              </w:rPr>
              <w:t>Negative price rejected; extreme rainfall flagged for review</w:t>
            </w:r>
          </w:p>
        </w:tc>
      </w:tr>
    </w:tbl>
    <w:p>
      <w:pPr>
        <w:spacing w:after="0"/>
      </w:pPr>
    </w:p>
    <w:p>
      <w:pPr>
        <w:pStyle w:val="Heading2"/>
      </w:pPr>
      <w:r>
        <w:t>3.2 Suggested validation checks</w:t>
      </w:r>
    </w:p>
    <w:p>
      <w:pPr>
        <w:pStyle w:val="ListBullet"/>
        <w:spacing w:after="20"/>
      </w:pPr>
      <w:r>
        <w:t>Required keys and dates are present.</w:t>
      </w:r>
    </w:p>
    <w:p>
      <w:pPr>
        <w:pStyle w:val="ListBullet"/>
        <w:spacing w:after="20"/>
      </w:pPr>
      <w:r>
        <w:t>Production, area, rainfall and prices meet domain-specific bounds; zero is allowed only when meaningful.</w:t>
      </w:r>
    </w:p>
    <w:p>
      <w:pPr>
        <w:pStyle w:val="ListBullet"/>
        <w:spacing w:after="20"/>
      </w:pPr>
      <w:r>
        <w:t>The canonical crop and geography mappings exist before a record is promoted.</w:t>
      </w:r>
    </w:p>
    <w:p>
      <w:pPr>
        <w:pStyle w:val="ListBullet"/>
        <w:spacing w:after="20"/>
      </w:pPr>
      <w:r>
        <w:t>Unit and currency are explicit for measures that require them.</w:t>
      </w:r>
    </w:p>
    <w:p>
      <w:pPr>
        <w:pStyle w:val="ListBullet"/>
        <w:spacing w:after="20"/>
      </w:pPr>
      <w:r>
        <w:t>Duplicate business keys are either merged according to a documented rule or quarantined.</w:t>
      </w:r>
    </w:p>
    <w:p>
      <w:pPr>
        <w:pStyle w:val="ListBullet"/>
        <w:spacing w:after="20"/>
      </w:pPr>
      <w:r>
        <w:t>Accepted + rejected row counts equal parsed row counts; the reconciliation is stored per batch.</w:t>
      </w:r>
    </w:p>
    <w:p>
      <w:pPr>
        <w:pStyle w:val="Heading2"/>
      </w:pPr>
      <w:r>
        <w:t>3.3 Staging design</w:t>
      </w:r>
    </w:p>
    <w:p>
      <w:r>
        <w:rPr>
          <w:i w:val="0"/>
        </w:rPr>
        <w:t>Staging tables should retain source fields and often use TEXT for raw values to prevent early parsing failures from aborting a whole file. Add batch_id, source_row_number, source_updated_at and validation_status. Transformation then casts fields into typed columns in a controlled step. Rejected records should be saved with a reason code and raw values so they can be inspected and corrected.</w:t>
      </w:r>
    </w:p>
    <w:p>
      <w:pPr>
        <w:pStyle w:val="Heading2"/>
      </w:pPr>
      <w:r>
        <w:t>3.4 Example canonical crosswalks</w:t>
      </w:r>
    </w:p>
    <w:p>
      <w:pPr>
        <w:pStyle w:val="SQLCode"/>
        <w:shd w:fill="F3F6FA"/>
      </w:pPr>
      <w:r>
        <w:t>CREATE TABLE crop_alias (</w:t>
      </w:r>
    </w:p>
    <w:p>
      <w:pPr>
        <w:pStyle w:val="SQLCode"/>
        <w:shd w:fill="F3F6FA"/>
      </w:pPr>
      <w:r>
        <w:t xml:space="preserve">  source_name TEXT NOT NULL,</w:t>
      </w:r>
    </w:p>
    <w:p>
      <w:pPr>
        <w:pStyle w:val="SQLCode"/>
        <w:shd w:fill="F3F6FA"/>
      </w:pPr>
      <w:r>
        <w:t xml:space="preserve">  source_crop_label TEXT NOT NULL,</w:t>
      </w:r>
    </w:p>
    <w:p>
      <w:pPr>
        <w:pStyle w:val="SQLCode"/>
        <w:shd w:fill="F3F6FA"/>
      </w:pPr>
      <w:r>
        <w:t xml:space="preserve">  crop_id BIGINT NOT NULL REFERENCES crop(crop_id),</w:t>
      </w:r>
    </w:p>
    <w:p>
      <w:pPr>
        <w:pStyle w:val="SQLCode"/>
        <w:shd w:fill="F3F6FA"/>
      </w:pPr>
      <w:r>
        <w:t xml:space="preserve">  PRIMARY KEY (source_name, source_crop_label)</w:t>
      </w:r>
    </w:p>
    <w:p>
      <w:pPr>
        <w:pStyle w:val="SQLCode"/>
        <w:shd w:fill="F3F6FA"/>
      </w:pPr>
      <w:r>
        <w:t>);</w:t>
      </w:r>
    </w:p>
    <w:p>
      <w:pPr>
        <w:pStyle w:val="SQLCode"/>
        <w:shd w:fill="F3F6FA"/>
      </w:pPr>
      <w:r>
        <w:t xml:space="preserve"> </w:t>
      </w:r>
    </w:p>
    <w:p>
      <w:pPr>
        <w:pStyle w:val="SQLCode"/>
        <w:shd w:fill="F3F6FA"/>
      </w:pPr>
      <w:r>
        <w:t>CREATE TABLE geography_alias (</w:t>
      </w:r>
    </w:p>
    <w:p>
      <w:pPr>
        <w:pStyle w:val="SQLCode"/>
        <w:shd w:fill="F3F6FA"/>
      </w:pPr>
      <w:r>
        <w:t xml:space="preserve">  source_name TEXT NOT NULL,</w:t>
      </w:r>
    </w:p>
    <w:p>
      <w:pPr>
        <w:pStyle w:val="SQLCode"/>
        <w:shd w:fill="F3F6FA"/>
      </w:pPr>
      <w:r>
        <w:t xml:space="preserve">  source_geo_code TEXT NOT NULL,</w:t>
      </w:r>
    </w:p>
    <w:p>
      <w:pPr>
        <w:pStyle w:val="SQLCode"/>
        <w:shd w:fill="F3F6FA"/>
      </w:pPr>
      <w:r>
        <w:t xml:space="preserve">  geography_id BIGINT NOT NULL REFERENCES region(region_id),</w:t>
      </w:r>
    </w:p>
    <w:p>
      <w:pPr>
        <w:pStyle w:val="SQLCode"/>
        <w:shd w:fill="F3F6FA"/>
      </w:pPr>
      <w:r>
        <w:t xml:space="preserve">  PRIMARY KEY (source_name, source_geo_code)</w:t>
      </w:r>
    </w:p>
    <w:p>
      <w:pPr>
        <w:pStyle w:val="SQLCode"/>
        <w:shd w:fill="F3F6FA"/>
      </w:pPr>
      <w:r>
        <w:t>);</w:t>
      </w:r>
    </w:p>
    <w:p>
      <w:r>
        <w:rPr>
          <w:i w:val="0"/>
        </w:rPr>
        <w:t>Crosswalk tables are safer than hard-coded CASE expressions scattered across scripts. They make new source labels auditable and allow mapping changes without rewriting the whole ETL program.</w:t>
      </w:r>
    </w:p>
    <w:p>
      <w:r>
        <w:br w:type="page"/>
      </w:r>
    </w:p>
    <w:p>
      <w:pPr>
        <w:pStyle w:val="Heading1"/>
      </w:pPr>
      <w:r>
        <w:t>4. SQL Transformation Examples</w:t>
      </w:r>
    </w:p>
    <w:p>
      <w:r>
        <w:rPr>
          <w:i w:val="0"/>
        </w:rPr>
        <w:t>The examples below assume PostgreSQL. They show the SQL portion of the transform stage after a source adapter has placed raw rows in staging. Column names and parsing formats must be adapted to the actual source files.</w:t>
      </w:r>
    </w:p>
    <w:p>
      <w:pPr>
        <w:pStyle w:val="Heading2"/>
      </w:pPr>
      <w:r>
        <w:t>4.1 Staging and rejects</w:t>
      </w:r>
    </w:p>
    <w:p>
      <w:pPr>
        <w:pStyle w:val="SQLCode"/>
        <w:shd w:fill="F3F6FA"/>
      </w:pPr>
      <w:r>
        <w:t>CREATE TABLE stg_market_price (</w:t>
      </w:r>
    </w:p>
    <w:p>
      <w:pPr>
        <w:pStyle w:val="SQLCode"/>
        <w:shd w:fill="F3F6FA"/>
      </w:pPr>
      <w:r>
        <w:t xml:space="preserve">  batch_id UUID NOT NULL,</w:t>
      </w:r>
    </w:p>
    <w:p>
      <w:pPr>
        <w:pStyle w:val="SQLCode"/>
        <w:shd w:fill="F3F6FA"/>
      </w:pPr>
      <w:r>
        <w:t xml:space="preserve">  source_row_number BIGINT NOT NULL,</w:t>
      </w:r>
    </w:p>
    <w:p>
      <w:pPr>
        <w:pStyle w:val="SQLCode"/>
        <w:shd w:fill="F3F6FA"/>
      </w:pPr>
      <w:r>
        <w:t xml:space="preserve">  source_market_name TEXT,</w:t>
      </w:r>
    </w:p>
    <w:p>
      <w:pPr>
        <w:pStyle w:val="SQLCode"/>
        <w:shd w:fill="F3F6FA"/>
      </w:pPr>
      <w:r>
        <w:t xml:space="preserve">  source_crop_label TEXT,</w:t>
      </w:r>
    </w:p>
    <w:p>
      <w:pPr>
        <w:pStyle w:val="SQLCode"/>
        <w:shd w:fill="F3F6FA"/>
      </w:pPr>
      <w:r>
        <w:t xml:space="preserve">  observed_on_raw TEXT,</w:t>
      </w:r>
    </w:p>
    <w:p>
      <w:pPr>
        <w:pStyle w:val="SQLCode"/>
        <w:shd w:fill="F3F6FA"/>
      </w:pPr>
      <w:r>
        <w:t xml:space="preserve">  price_raw TEXT,</w:t>
      </w:r>
    </w:p>
    <w:p>
      <w:pPr>
        <w:pStyle w:val="SQLCode"/>
        <w:shd w:fill="F3F6FA"/>
      </w:pPr>
      <w:r>
        <w:t xml:space="preserve">  unit_raw TEXT,</w:t>
      </w:r>
    </w:p>
    <w:p>
      <w:pPr>
        <w:pStyle w:val="SQLCode"/>
        <w:shd w:fill="F3F6FA"/>
      </w:pPr>
      <w:r>
        <w:t xml:space="preserve">  currency_raw TEXT,</w:t>
      </w:r>
    </w:p>
    <w:p>
      <w:pPr>
        <w:pStyle w:val="SQLCode"/>
        <w:shd w:fill="F3F6FA"/>
      </w:pPr>
      <w:r>
        <w:t xml:space="preserve">  source_updated_at TIMESTAMPTZ,</w:t>
      </w:r>
    </w:p>
    <w:p>
      <w:pPr>
        <w:pStyle w:val="SQLCode"/>
        <w:shd w:fill="F3F6FA"/>
      </w:pPr>
      <w:r>
        <w:t xml:space="preserve">  PRIMARY KEY (batch_id, source_row_number)</w:t>
      </w:r>
    </w:p>
    <w:p>
      <w:pPr>
        <w:pStyle w:val="SQLCode"/>
        <w:shd w:fill="F3F6FA"/>
      </w:pPr>
      <w:r>
        <w:t>);</w:t>
      </w:r>
    </w:p>
    <w:p>
      <w:pPr>
        <w:pStyle w:val="SQLCode"/>
        <w:shd w:fill="F3F6FA"/>
      </w:pPr>
      <w:r>
        <w:t xml:space="preserve"> </w:t>
      </w:r>
    </w:p>
    <w:p>
      <w:pPr>
        <w:pStyle w:val="SQLCode"/>
        <w:shd w:fill="F3F6FA"/>
      </w:pPr>
      <w:r>
        <w:t>CREATE TABLE etl_reject (</w:t>
      </w:r>
    </w:p>
    <w:p>
      <w:pPr>
        <w:pStyle w:val="SQLCode"/>
        <w:shd w:fill="F3F6FA"/>
      </w:pPr>
      <w:r>
        <w:t xml:space="preserve">  batch_id UUID NOT NULL,</w:t>
      </w:r>
    </w:p>
    <w:p>
      <w:pPr>
        <w:pStyle w:val="SQLCode"/>
        <w:shd w:fill="F3F6FA"/>
      </w:pPr>
      <w:r>
        <w:t xml:space="preserve">  source_row_number BIGINT NOT NULL,</w:t>
      </w:r>
    </w:p>
    <w:p>
      <w:pPr>
        <w:pStyle w:val="SQLCode"/>
        <w:shd w:fill="F3F6FA"/>
      </w:pPr>
      <w:r>
        <w:t xml:space="preserve">  reason_code TEXT NOT NULL,</w:t>
      </w:r>
    </w:p>
    <w:p>
      <w:pPr>
        <w:pStyle w:val="SQLCode"/>
        <w:shd w:fill="F3F6FA"/>
      </w:pPr>
      <w:r>
        <w:t xml:space="preserve">  raw_record JSONB,</w:t>
      </w:r>
    </w:p>
    <w:p>
      <w:pPr>
        <w:pStyle w:val="SQLCode"/>
        <w:shd w:fill="F3F6FA"/>
      </w:pPr>
      <w:r>
        <w:t xml:space="preserve">  rejected_at TIMESTAMPTZ NOT NULL DEFAULT CURRENT_TIMESTAMP</w:t>
      </w:r>
    </w:p>
    <w:p>
      <w:pPr>
        <w:pStyle w:val="SQLCode"/>
        <w:shd w:fill="F3F6FA"/>
      </w:pPr>
      <w:r>
        <w:t>);</w:t>
      </w:r>
    </w:p>
    <w:p>
      <w:pPr>
        <w:pStyle w:val="Heading2"/>
      </w:pPr>
      <w:r>
        <w:t>4.2 Clean strings and parse numeric/date fields</w:t>
      </w:r>
    </w:p>
    <w:p>
      <w:pPr>
        <w:pStyle w:val="SQLCode"/>
        <w:shd w:fill="F3F6FA"/>
      </w:pPr>
      <w:r>
        <w:t>CREATE TEMP TABLE parsed_market_price AS</w:t>
      </w:r>
    </w:p>
    <w:p>
      <w:pPr>
        <w:pStyle w:val="SQLCode"/>
        <w:shd w:fill="F3F6FA"/>
      </w:pPr>
      <w:r>
        <w:t>SELECT batch_id, source_row_number,</w:t>
      </w:r>
    </w:p>
    <w:p>
      <w:pPr>
        <w:pStyle w:val="SQLCode"/>
        <w:shd w:fill="F3F6FA"/>
      </w:pPr>
      <w:r>
        <w:t xml:space="preserve">       NULLIF(BTRIM(source_market_name), '') AS market_name,</w:t>
      </w:r>
    </w:p>
    <w:p>
      <w:pPr>
        <w:pStyle w:val="SQLCode"/>
        <w:shd w:fill="F3F6FA"/>
      </w:pPr>
      <w:r>
        <w:t xml:space="preserve">       NULLIF(BTRIM(source_crop_label), '') AS crop_label,</w:t>
      </w:r>
    </w:p>
    <w:p>
      <w:pPr>
        <w:pStyle w:val="SQLCode"/>
        <w:shd w:fill="F3F6FA"/>
      </w:pPr>
      <w:r>
        <w:t xml:space="preserve">       TO_DATE(observed_on_raw, 'YYYY-MM-DD') AS observed_on,</w:t>
      </w:r>
    </w:p>
    <w:p>
      <w:pPr>
        <w:pStyle w:val="SQLCode"/>
        <w:shd w:fill="F3F6FA"/>
      </w:pPr>
      <w:r>
        <w:t xml:space="preserve">       REPLACE(NULLIF(BTRIM(price_raw), ''), ',', '')::NUMERIC</w:t>
      </w:r>
    </w:p>
    <w:p>
      <w:pPr>
        <w:pStyle w:val="SQLCode"/>
        <w:shd w:fill="F3F6FA"/>
      </w:pPr>
      <w:r>
        <w:t xml:space="preserve">         AS price_value,</w:t>
      </w:r>
    </w:p>
    <w:p>
      <w:pPr>
        <w:pStyle w:val="SQLCode"/>
        <w:shd w:fill="F3F6FA"/>
      </w:pPr>
      <w:r>
        <w:t xml:space="preserve">       LOWER(BTRIM(unit_raw)) AS unit_label,</w:t>
      </w:r>
    </w:p>
    <w:p>
      <w:pPr>
        <w:pStyle w:val="SQLCode"/>
        <w:shd w:fill="F3F6FA"/>
      </w:pPr>
      <w:r>
        <w:t xml:space="preserve">       UPPER(BTRIM(currency_raw)) AS currency_code</w:t>
      </w:r>
    </w:p>
    <w:p>
      <w:pPr>
        <w:pStyle w:val="SQLCode"/>
        <w:shd w:fill="F3F6FA"/>
      </w:pPr>
      <w:r>
        <w:t>FROM stg_market_price</w:t>
      </w:r>
    </w:p>
    <w:p>
      <w:pPr>
        <w:pStyle w:val="SQLCode"/>
        <w:shd w:fill="F3F6FA"/>
      </w:pPr>
      <w:r>
        <w:t>WHERE batch_id = :batch_id;</w:t>
      </w:r>
    </w:p>
    <w:p>
      <w:r>
        <w:rPr>
          <w:i w:val="0"/>
        </w:rPr>
        <w:t>The cast above assumes ISO date strings and well-formed numeric strings. In a robust pipeline, parse each row in Python or through guarded SQL validation before casting, because malformed values can raise errors. Do not use a broad exception handler that silently turns bad input into NULL without recording a reject reason.</w:t>
      </w:r>
    </w:p>
    <w:p>
      <w:pPr>
        <w:pStyle w:val="Heading2"/>
      </w:pPr>
      <w:r>
        <w:t>4.3 Validate and identify invalid records</w:t>
      </w:r>
    </w:p>
    <w:p>
      <w:pPr>
        <w:pStyle w:val="SQLCode"/>
        <w:shd w:fill="F3F6FA"/>
      </w:pPr>
      <w:r>
        <w:t>INSERT INTO etl_reject</w:t>
      </w:r>
    </w:p>
    <w:p>
      <w:pPr>
        <w:pStyle w:val="SQLCode"/>
        <w:shd w:fill="F3F6FA"/>
      </w:pPr>
      <w:r>
        <w:t xml:space="preserve">  (batch_id, source_row_number, reason_code, raw_record)</w:t>
      </w:r>
    </w:p>
    <w:p>
      <w:pPr>
        <w:pStyle w:val="SQLCode"/>
        <w:shd w:fill="F3F6FA"/>
      </w:pPr>
      <w:r>
        <w:t>SELECT s.batch_id, s.source_row_number,</w:t>
      </w:r>
    </w:p>
    <w:p>
      <w:pPr>
        <w:pStyle w:val="SQLCode"/>
        <w:shd w:fill="F3F6FA"/>
      </w:pPr>
      <w:r>
        <w:t xml:space="preserve">       CASE</w:t>
      </w:r>
    </w:p>
    <w:p>
      <w:pPr>
        <w:pStyle w:val="SQLCode"/>
        <w:shd w:fill="F3F6FA"/>
      </w:pPr>
      <w:r>
        <w:t xml:space="preserve">         WHEN NULLIF(BTRIM(s.source_market_name), '') IS NULL</w:t>
      </w:r>
    </w:p>
    <w:p>
      <w:pPr>
        <w:pStyle w:val="SQLCode"/>
        <w:shd w:fill="F3F6FA"/>
      </w:pPr>
      <w:r>
        <w:t xml:space="preserve">           THEN 'MISSING_MARKET'</w:t>
      </w:r>
    </w:p>
    <w:p>
      <w:pPr>
        <w:pStyle w:val="SQLCode"/>
        <w:shd w:fill="F3F6FA"/>
      </w:pPr>
      <w:r>
        <w:t xml:space="preserve">         WHEN NULLIF(BTRIM(s.source_crop_label), '') IS NULL</w:t>
      </w:r>
    </w:p>
    <w:p>
      <w:pPr>
        <w:pStyle w:val="SQLCode"/>
        <w:shd w:fill="F3F6FA"/>
      </w:pPr>
      <w:r>
        <w:t xml:space="preserve">           THEN 'MISSING_CROP'</w:t>
      </w:r>
    </w:p>
    <w:p>
      <w:pPr>
        <w:pStyle w:val="SQLCode"/>
        <w:shd w:fill="F3F6FA"/>
      </w:pPr>
      <w:r>
        <w:t xml:space="preserve">         WHEN s.observed_on_raw !~ '^\d{4}-\d{2}-\d{2}$'</w:t>
      </w:r>
    </w:p>
    <w:p>
      <w:pPr>
        <w:pStyle w:val="SQLCode"/>
        <w:shd w:fill="F3F6FA"/>
      </w:pPr>
      <w:r>
        <w:t xml:space="preserve">           THEN 'INVALID_DATE_FORMAT'</w:t>
      </w:r>
    </w:p>
    <w:p>
      <w:pPr>
        <w:pStyle w:val="SQLCode"/>
        <w:shd w:fill="F3F6FA"/>
      </w:pPr>
      <w:r>
        <w:t xml:space="preserve">         WHEN REPLACE(BTRIM(s.price_raw), ',', '') !~ '^\d+(\.\d+)?$'</w:t>
      </w:r>
    </w:p>
    <w:p>
      <w:pPr>
        <w:pStyle w:val="SQLCode"/>
        <w:shd w:fill="F3F6FA"/>
      </w:pPr>
      <w:r>
        <w:t xml:space="preserve">           THEN 'INVALID_PRICE'</w:t>
      </w:r>
    </w:p>
    <w:p>
      <w:pPr>
        <w:pStyle w:val="SQLCode"/>
        <w:shd w:fill="F3F6FA"/>
      </w:pPr>
      <w:r>
        <w:t xml:space="preserve">         WHEN REPLACE(BTRIM(s.price_raw), ',', '')::NUMERIC &lt; 0</w:t>
      </w:r>
    </w:p>
    <w:p>
      <w:pPr>
        <w:pStyle w:val="SQLCode"/>
        <w:shd w:fill="F3F6FA"/>
      </w:pPr>
      <w:r>
        <w:t xml:space="preserve">           THEN 'NEGATIVE_PRICE'</w:t>
      </w:r>
    </w:p>
    <w:p>
      <w:pPr>
        <w:pStyle w:val="SQLCode"/>
        <w:shd w:fill="F3F6FA"/>
      </w:pPr>
      <w:r>
        <w:t xml:space="preserve">       END,</w:t>
      </w:r>
    </w:p>
    <w:p>
      <w:pPr>
        <w:pStyle w:val="SQLCode"/>
        <w:shd w:fill="F3F6FA"/>
      </w:pPr>
      <w:r>
        <w:t xml:space="preserve">       jsonb_build_object(</w:t>
      </w:r>
    </w:p>
    <w:p>
      <w:pPr>
        <w:pStyle w:val="SQLCode"/>
        <w:shd w:fill="F3F6FA"/>
      </w:pPr>
      <w:r>
        <w:t xml:space="preserve">         'market', s.source_market_name,</w:t>
      </w:r>
    </w:p>
    <w:p>
      <w:pPr>
        <w:pStyle w:val="SQLCode"/>
        <w:shd w:fill="F3F6FA"/>
      </w:pPr>
      <w:r>
        <w:t xml:space="preserve">         'crop', s.source_crop_label,</w:t>
      </w:r>
    </w:p>
    <w:p>
      <w:pPr>
        <w:pStyle w:val="SQLCode"/>
        <w:shd w:fill="F3F6FA"/>
      </w:pPr>
      <w:r>
        <w:t xml:space="preserve">         'date', s.observed_on_raw,</w:t>
      </w:r>
    </w:p>
    <w:p>
      <w:pPr>
        <w:pStyle w:val="SQLCode"/>
        <w:shd w:fill="F3F6FA"/>
      </w:pPr>
      <w:r>
        <w:t xml:space="preserve">         'price', s.price_raw</w:t>
      </w:r>
    </w:p>
    <w:p>
      <w:pPr>
        <w:pStyle w:val="SQLCode"/>
        <w:shd w:fill="F3F6FA"/>
      </w:pPr>
      <w:r>
        <w:t xml:space="preserve">       )</w:t>
      </w:r>
    </w:p>
    <w:p>
      <w:pPr>
        <w:pStyle w:val="SQLCode"/>
        <w:shd w:fill="F3F6FA"/>
      </w:pPr>
      <w:r>
        <w:t>FROM stg_market_price s</w:t>
      </w:r>
    </w:p>
    <w:p>
      <w:pPr>
        <w:pStyle w:val="SQLCode"/>
        <w:shd w:fill="F3F6FA"/>
      </w:pPr>
      <w:r>
        <w:t>WHERE s.batch_id = :batch_id</w:t>
      </w:r>
    </w:p>
    <w:p>
      <w:pPr>
        <w:pStyle w:val="SQLCode"/>
        <w:shd w:fill="F3F6FA"/>
      </w:pPr>
      <w:r>
        <w:t xml:space="preserve">  AND (</w:t>
      </w:r>
    </w:p>
    <w:p>
      <w:pPr>
        <w:pStyle w:val="SQLCode"/>
        <w:shd w:fill="F3F6FA"/>
      </w:pPr>
      <w:r>
        <w:t xml:space="preserve">       NULLIF(BTRIM(s.source_market_name), '') IS NULL</w:t>
      </w:r>
    </w:p>
    <w:p>
      <w:pPr>
        <w:pStyle w:val="SQLCode"/>
        <w:shd w:fill="F3F6FA"/>
      </w:pPr>
      <w:r>
        <w:t xml:space="preserve">    OR NULLIF(BTRIM(s.source_crop_label), '') IS NULL</w:t>
      </w:r>
    </w:p>
    <w:p>
      <w:pPr>
        <w:pStyle w:val="SQLCode"/>
        <w:shd w:fill="F3F6FA"/>
      </w:pPr>
      <w:r>
        <w:t xml:space="preserve">    OR s.observed_on_raw !~ '^\d{4}-\d{2}-\d{2}$'</w:t>
      </w:r>
    </w:p>
    <w:p>
      <w:pPr>
        <w:pStyle w:val="SQLCode"/>
        <w:shd w:fill="F3F6FA"/>
      </w:pPr>
      <w:r>
        <w:t xml:space="preserve">    OR REPLACE(BTRIM(s.price_raw), ',', '') !~ '^\d+(\.\d+)?$'</w:t>
      </w:r>
    </w:p>
    <w:p>
      <w:pPr>
        <w:pStyle w:val="SQLCode"/>
        <w:shd w:fill="F3F6FA"/>
      </w:pPr>
      <w:r>
        <w:t xml:space="preserve">    OR (REPLACE(BTRIM(s.price_raw), ',', '') ~ '^\d+(\.\d+)?$'</w:t>
      </w:r>
    </w:p>
    <w:p>
      <w:pPr>
        <w:pStyle w:val="SQLCode"/>
        <w:shd w:fill="F3F6FA"/>
      </w:pPr>
      <w:r>
        <w:t xml:space="preserve">        AND REPLACE(BTRIM(s.price_raw), ',', '')::NUMERIC &lt; 0)</w:t>
      </w:r>
    </w:p>
    <w:p>
      <w:pPr>
        <w:pStyle w:val="SQLCode"/>
        <w:shd w:fill="F3F6FA"/>
      </w:pPr>
      <w:r>
        <w:t xml:space="preserve">  );</w:t>
      </w:r>
    </w:p>
    <w:p>
      <w:r>
        <w:rPr>
          <w:i w:val="0"/>
        </w:rPr>
        <w:t>Production-grade SQL should protect casts with a validated intermediate step or a safe parsing function. The pattern demonstrates the checks conceptually; it should be tested against malformed and locale-specific input before use.</w:t>
      </w:r>
    </w:p>
    <w:p>
      <w:r>
        <w:br w:type="page"/>
      </w:r>
    </w:p>
    <w:p>
      <w:pPr>
        <w:pStyle w:val="Heading1"/>
      </w:pPr>
      <w:r>
        <w:t>5. Loading Strategy and Target Design</w:t>
      </w:r>
    </w:p>
    <w:p>
      <w:pPr>
        <w:pStyle w:val="Heading2"/>
      </w:pPr>
      <w:r>
        <w:t>5.1 Load sequence</w:t>
      </w:r>
    </w:p>
    <w:p>
      <w:pPr>
        <w:pStyle w:val="ListBullet"/>
        <w:spacing w:after="20"/>
      </w:pPr>
      <w:r>
        <w:t>Create or update batch metadata and persist the raw input before transforming.</w:t>
      </w:r>
    </w:p>
    <w:p>
      <w:pPr>
        <w:pStyle w:val="ListBullet"/>
        <w:spacing w:after="20"/>
      </w:pPr>
      <w:r>
        <w:t>Load or update reference dimensions first (regions, crops, markets and aliases).</w:t>
      </w:r>
    </w:p>
    <w:p>
      <w:pPr>
        <w:pStyle w:val="ListBullet"/>
        <w:spacing w:after="20"/>
      </w:pPr>
      <w:r>
        <w:t>Resolve source labels to surrogate keys through crosswalk tables.</w:t>
      </w:r>
    </w:p>
    <w:p>
      <w:pPr>
        <w:pStyle w:val="ListBullet"/>
        <w:spacing w:after="20"/>
      </w:pPr>
      <w:r>
        <w:t>Insert valid fact rows into curated tables within a transaction, using unique business keys and ON CONFLICT rules where appropriate.</w:t>
      </w:r>
    </w:p>
    <w:p>
      <w:pPr>
        <w:pStyle w:val="ListBullet"/>
        <w:spacing w:after="20"/>
      </w:pPr>
      <w:r>
        <w:t>Record accepted/rejected/loaded counts, commit the batch, then advance the source watermark.</w:t>
      </w:r>
    </w:p>
    <w:p>
      <w:pPr>
        <w:pStyle w:val="ListBullet"/>
        <w:spacing w:after="20"/>
      </w:pPr>
      <w:r>
        <w:t>Refresh summaries or materialized views after a successful load if reporting requires them.</w:t>
      </w:r>
    </w:p>
    <w:p>
      <w:pPr>
        <w:pStyle w:val="Heading2"/>
      </w:pPr>
      <w:r>
        <w:t>5.2 Example idempotent upsert</w:t>
      </w:r>
    </w:p>
    <w:p>
      <w:pPr>
        <w:pStyle w:val="SQLCode"/>
        <w:shd w:fill="F3F6FA"/>
      </w:pPr>
      <w:r>
        <w:t>-- Assumes a unique constraint for one daily quote per market/crop/currency.</w:t>
      </w:r>
    </w:p>
    <w:p>
      <w:pPr>
        <w:pStyle w:val="SQLCode"/>
        <w:shd w:fill="F3F6FA"/>
      </w:pPr>
      <w:r>
        <w:t>INSERT INTO market_price</w:t>
      </w:r>
    </w:p>
    <w:p>
      <w:pPr>
        <w:pStyle w:val="SQLCode"/>
        <w:shd w:fill="F3F6FA"/>
      </w:pPr>
      <w:r>
        <w:t xml:space="preserve">  (market_id, crop_id, observed_on, price_per_tonne, currency_code)</w:t>
      </w:r>
    </w:p>
    <w:p>
      <w:pPr>
        <w:pStyle w:val="SQLCode"/>
        <w:shd w:fill="F3F6FA"/>
      </w:pPr>
      <w:r>
        <w:t>SELECT m.market_id, ca.crop_id, p.observed_on,</w:t>
      </w:r>
    </w:p>
    <w:p>
      <w:pPr>
        <w:pStyle w:val="SQLCode"/>
        <w:shd w:fill="F3F6FA"/>
      </w:pPr>
      <w:r>
        <w:t xml:space="preserve">       p.price_value, p.currency_code</w:t>
      </w:r>
    </w:p>
    <w:p>
      <w:pPr>
        <w:pStyle w:val="SQLCode"/>
        <w:shd w:fill="F3F6FA"/>
      </w:pPr>
      <w:r>
        <w:t>FROM parsed_market_price p</w:t>
      </w:r>
    </w:p>
    <w:p>
      <w:pPr>
        <w:pStyle w:val="SQLCode"/>
        <w:shd w:fill="F3F6FA"/>
      </w:pPr>
      <w:r>
        <w:t>JOIN market_alias ma</w:t>
      </w:r>
    </w:p>
    <w:p>
      <w:pPr>
        <w:pStyle w:val="SQLCode"/>
        <w:shd w:fill="F3F6FA"/>
      </w:pPr>
      <w:r>
        <w:t xml:space="preserve">  ON ma.source_name = 'agmarknet'</w:t>
      </w:r>
    </w:p>
    <w:p>
      <w:pPr>
        <w:pStyle w:val="SQLCode"/>
        <w:shd w:fill="F3F6FA"/>
      </w:pPr>
      <w:r>
        <w:t xml:space="preserve"> AND ma.source_market_label = p.market_name</w:t>
      </w:r>
    </w:p>
    <w:p>
      <w:pPr>
        <w:pStyle w:val="SQLCode"/>
        <w:shd w:fill="F3F6FA"/>
      </w:pPr>
      <w:r>
        <w:t>JOIN crop_alias ca</w:t>
      </w:r>
    </w:p>
    <w:p>
      <w:pPr>
        <w:pStyle w:val="SQLCode"/>
        <w:shd w:fill="F3F6FA"/>
      </w:pPr>
      <w:r>
        <w:t xml:space="preserve">  ON ca.source_name = 'agmarknet'</w:t>
      </w:r>
    </w:p>
    <w:p>
      <w:pPr>
        <w:pStyle w:val="SQLCode"/>
        <w:shd w:fill="F3F6FA"/>
      </w:pPr>
      <w:r>
        <w:t xml:space="preserve"> AND ca.source_crop_label = p.crop_label</w:t>
      </w:r>
    </w:p>
    <w:p>
      <w:pPr>
        <w:pStyle w:val="SQLCode"/>
        <w:shd w:fill="F3F6FA"/>
      </w:pPr>
      <w:r>
        <w:t>JOIN market m ON m.market_id = ma.market_id</w:t>
      </w:r>
    </w:p>
    <w:p>
      <w:pPr>
        <w:pStyle w:val="SQLCode"/>
        <w:shd w:fill="F3F6FA"/>
      </w:pPr>
      <w:r>
        <w:t>WHERE p.batch_id = :batch_id</w:t>
      </w:r>
    </w:p>
    <w:p>
      <w:pPr>
        <w:pStyle w:val="SQLCode"/>
        <w:shd w:fill="F3F6FA"/>
      </w:pPr>
      <w:r>
        <w:t xml:space="preserve">  AND p.observed_on IS NOT NULL</w:t>
      </w:r>
    </w:p>
    <w:p>
      <w:pPr>
        <w:pStyle w:val="SQLCode"/>
        <w:shd w:fill="F3F6FA"/>
      </w:pPr>
      <w:r>
        <w:t xml:space="preserve">  AND p.price_value &gt;= 0</w:t>
      </w:r>
    </w:p>
    <w:p>
      <w:pPr>
        <w:pStyle w:val="SQLCode"/>
        <w:shd w:fill="F3F6FA"/>
      </w:pPr>
      <w:r>
        <w:t xml:space="preserve">  AND p.currency_code IS NOT NULL</w:t>
      </w:r>
    </w:p>
    <w:p>
      <w:pPr>
        <w:pStyle w:val="SQLCode"/>
        <w:shd w:fill="F3F6FA"/>
      </w:pPr>
      <w:r>
        <w:t>ON CONFLICT (market_id, crop_id, observed_on, currency_code)</w:t>
      </w:r>
    </w:p>
    <w:p>
      <w:pPr>
        <w:pStyle w:val="SQLCode"/>
        <w:shd w:fill="F3F6FA"/>
      </w:pPr>
      <w:r>
        <w:t>DO UPDATE SET price_per_tonne = EXCLUDED.price_per_tonne;</w:t>
      </w:r>
    </w:p>
    <w:p>
      <w:r>
        <w:rPr>
          <w:i w:val="0"/>
        </w:rPr>
        <w:t>Only use this conflict key if the source truly guarantees one quote for that combination. If prices vary by grade, variety, seller or source, include those attributes in the target grain and unique constraint. If historical corrections matter, retain source_updated_at or a version history instead of blindly overwriting.</w:t>
      </w:r>
    </w:p>
    <w:p>
      <w:pPr>
        <w:pStyle w:val="Heading2"/>
      </w:pPr>
      <w:r>
        <w:t>5.3 Indexing plan</w:t>
      </w:r>
    </w:p>
    <w:tbl>
      <w:tblPr>
        <w:tblStyle w:val="TableGrid"/>
        <w:tblW w:type="auto" w:w="0"/>
        <w:jc w:val="center"/>
        <w:tblLook w:firstColumn="1" w:firstRow="1" w:lastColumn="0" w:lastRow="0" w:noHBand="0" w:noVBand="1" w:val="04A0"/>
      </w:tblPr>
      <w:tblGrid>
        <w:gridCol w:w="3427"/>
        <w:gridCol w:w="3427"/>
        <w:gridCol w:w="3427"/>
      </w:tblGrid>
      <w:tr>
        <w:tc>
          <w:tcPr>
            <w:tcW w:type="dxa" w:w="2160"/>
            <w:vAlign w:val="center"/>
            <w:shd w:fill="17365D"/>
          </w:tcPr>
          <w:p>
            <w:pPr>
              <w:spacing w:after="0"/>
            </w:pPr>
            <w:r/>
            <w:r>
              <w:rPr>
                <w:rFonts w:ascii="Aptos" w:hAnsi="Aptos"/>
                <w:b/>
                <w:color w:val="FFFFFF"/>
                <w:sz w:val="14"/>
              </w:rPr>
              <w:t>Target</w:t>
            </w:r>
          </w:p>
        </w:tc>
        <w:tc>
          <w:tcPr>
            <w:tcW w:type="dxa" w:w="3888"/>
            <w:vAlign w:val="center"/>
            <w:shd w:fill="17365D"/>
          </w:tcPr>
          <w:p>
            <w:pPr>
              <w:spacing w:after="0"/>
            </w:pPr>
            <w:r/>
            <w:r>
              <w:rPr>
                <w:rFonts w:ascii="Aptos" w:hAnsi="Aptos"/>
                <w:b/>
                <w:color w:val="FFFFFF"/>
                <w:sz w:val="14"/>
              </w:rPr>
              <w:t>Suggested index / constraint</w:t>
            </w:r>
          </w:p>
        </w:tc>
        <w:tc>
          <w:tcPr>
            <w:tcW w:type="dxa" w:w="3312"/>
            <w:vAlign w:val="center"/>
            <w:shd w:fill="17365D"/>
          </w:tcPr>
          <w:p>
            <w:pPr>
              <w:spacing w:after="0"/>
            </w:pPr>
            <w:r/>
            <w:r>
              <w:rPr>
                <w:rFonts w:ascii="Aptos" w:hAnsi="Aptos"/>
                <w:b/>
                <w:color w:val="FFFFFF"/>
                <w:sz w:val="14"/>
              </w:rPr>
              <w:t>Purpose</w:t>
            </w:r>
          </w:p>
        </w:tc>
      </w:tr>
      <w:tr>
        <w:tc>
          <w:tcPr>
            <w:tcW w:type="dxa" w:w="2160"/>
            <w:vAlign w:val="center"/>
          </w:tcPr>
          <w:p>
            <w:pPr>
              <w:spacing w:after="0"/>
            </w:pPr>
            <w:r/>
            <w:r>
              <w:rPr>
                <w:rFonts w:ascii="Aptos" w:hAnsi="Aptos"/>
                <w:b w:val="0"/>
                <w:sz w:val="14"/>
              </w:rPr>
              <w:t>market_price</w:t>
            </w:r>
          </w:p>
        </w:tc>
        <w:tc>
          <w:tcPr>
            <w:tcW w:type="dxa" w:w="3888"/>
            <w:vAlign w:val="center"/>
          </w:tcPr>
          <w:p>
            <w:pPr>
              <w:spacing w:after="0"/>
            </w:pPr>
            <w:r/>
            <w:r>
              <w:rPr>
                <w:rFonts w:ascii="Aptos" w:hAnsi="Aptos"/>
                <w:b w:val="0"/>
                <w:sz w:val="14"/>
              </w:rPr>
              <w:t>UNIQUE(market_id, crop_id, observed_on, currency_code) if valid</w:t>
            </w:r>
          </w:p>
        </w:tc>
        <w:tc>
          <w:tcPr>
            <w:tcW w:type="dxa" w:w="3312"/>
            <w:vAlign w:val="center"/>
          </w:tcPr>
          <w:p>
            <w:pPr>
              <w:spacing w:after="0"/>
            </w:pPr>
            <w:r/>
            <w:r>
              <w:rPr>
                <w:rFonts w:ascii="Aptos" w:hAnsi="Aptos"/>
                <w:b w:val="0"/>
                <w:sz w:val="14"/>
              </w:rPr>
              <w:t>Prevents duplicates and supports conflict handling.</w:t>
            </w:r>
          </w:p>
        </w:tc>
      </w:tr>
      <w:tr>
        <w:tc>
          <w:tcPr>
            <w:tcW w:type="dxa" w:w="2160"/>
            <w:vAlign w:val="center"/>
            <w:shd w:fill="F1F5F9"/>
          </w:tcPr>
          <w:p>
            <w:pPr>
              <w:spacing w:after="0"/>
            </w:pPr>
            <w:r/>
            <w:r>
              <w:rPr>
                <w:rFonts w:ascii="Aptos" w:hAnsi="Aptos"/>
                <w:b w:val="0"/>
                <w:sz w:val="14"/>
              </w:rPr>
              <w:t>market_price</w:t>
            </w:r>
          </w:p>
        </w:tc>
        <w:tc>
          <w:tcPr>
            <w:tcW w:type="dxa" w:w="3888"/>
            <w:vAlign w:val="center"/>
            <w:shd w:fill="F1F5F9"/>
          </w:tcPr>
          <w:p>
            <w:pPr>
              <w:spacing w:after="0"/>
            </w:pPr>
            <w:r/>
            <w:r>
              <w:rPr>
                <w:rFonts w:ascii="Aptos" w:hAnsi="Aptos"/>
                <w:b w:val="0"/>
                <w:sz w:val="14"/>
              </w:rPr>
              <w:t>(crop_id, observed_on)</w:t>
            </w:r>
          </w:p>
        </w:tc>
        <w:tc>
          <w:tcPr>
            <w:tcW w:type="dxa" w:w="3312"/>
            <w:vAlign w:val="center"/>
            <w:shd w:fill="F1F5F9"/>
          </w:tcPr>
          <w:p>
            <w:pPr>
              <w:spacing w:after="0"/>
            </w:pPr>
            <w:r/>
            <w:r>
              <w:rPr>
                <w:rFonts w:ascii="Aptos" w:hAnsi="Aptos"/>
                <w:b w:val="0"/>
                <w:sz w:val="14"/>
              </w:rPr>
              <w:t>Supports commodity price history queries.</w:t>
            </w:r>
          </w:p>
        </w:tc>
      </w:tr>
      <w:tr>
        <w:tc>
          <w:tcPr>
            <w:tcW w:type="dxa" w:w="2160"/>
            <w:vAlign w:val="center"/>
          </w:tcPr>
          <w:p>
            <w:pPr>
              <w:spacing w:after="0"/>
            </w:pPr>
            <w:r/>
            <w:r>
              <w:rPr>
                <w:rFonts w:ascii="Aptos" w:hAnsi="Aptos"/>
                <w:b w:val="0"/>
                <w:sz w:val="14"/>
              </w:rPr>
              <w:t>harvest / crop stats</w:t>
            </w:r>
          </w:p>
        </w:tc>
        <w:tc>
          <w:tcPr>
            <w:tcW w:type="dxa" w:w="3888"/>
            <w:vAlign w:val="center"/>
          </w:tcPr>
          <w:p>
            <w:pPr>
              <w:spacing w:after="0"/>
            </w:pPr>
            <w:r/>
            <w:r>
              <w:rPr>
                <w:rFonts w:ascii="Aptos" w:hAnsi="Aptos"/>
                <w:b w:val="0"/>
                <w:sz w:val="14"/>
              </w:rPr>
              <w:t>(geography_id, period_start, crop_id)</w:t>
            </w:r>
          </w:p>
        </w:tc>
        <w:tc>
          <w:tcPr>
            <w:tcW w:type="dxa" w:w="3312"/>
            <w:vAlign w:val="center"/>
          </w:tcPr>
          <w:p>
            <w:pPr>
              <w:spacing w:after="0"/>
            </w:pPr>
            <w:r/>
            <w:r>
              <w:rPr>
                <w:rFonts w:ascii="Aptos" w:hAnsi="Aptos"/>
                <w:b w:val="0"/>
                <w:sz w:val="14"/>
              </w:rPr>
              <w:t>Supports region-period production reports.</w:t>
            </w:r>
          </w:p>
        </w:tc>
      </w:tr>
      <w:tr>
        <w:tc>
          <w:tcPr>
            <w:tcW w:type="dxa" w:w="2160"/>
            <w:vAlign w:val="center"/>
            <w:shd w:fill="F1F5F9"/>
          </w:tcPr>
          <w:p>
            <w:pPr>
              <w:spacing w:after="0"/>
            </w:pPr>
            <w:r/>
            <w:r>
              <w:rPr>
                <w:rFonts w:ascii="Aptos" w:hAnsi="Aptos"/>
                <w:b w:val="0"/>
                <w:sz w:val="14"/>
              </w:rPr>
              <w:t>weather_observation</w:t>
            </w:r>
          </w:p>
        </w:tc>
        <w:tc>
          <w:tcPr>
            <w:tcW w:type="dxa" w:w="3888"/>
            <w:vAlign w:val="center"/>
            <w:shd w:fill="F1F5F9"/>
          </w:tcPr>
          <w:p>
            <w:pPr>
              <w:spacing w:after="0"/>
            </w:pPr>
            <w:r/>
            <w:r>
              <w:rPr>
                <w:rFonts w:ascii="Aptos" w:hAnsi="Aptos"/>
                <w:b w:val="0"/>
                <w:sz w:val="14"/>
              </w:rPr>
              <w:t>(geography_id, observed_on)</w:t>
            </w:r>
          </w:p>
        </w:tc>
        <w:tc>
          <w:tcPr>
            <w:tcW w:type="dxa" w:w="3312"/>
            <w:vAlign w:val="center"/>
            <w:shd w:fill="F1F5F9"/>
          </w:tcPr>
          <w:p>
            <w:pPr>
              <w:spacing w:after="0"/>
            </w:pPr>
            <w:r/>
            <w:r>
              <w:rPr>
                <w:rFonts w:ascii="Aptos" w:hAnsi="Aptos"/>
                <w:b w:val="0"/>
                <w:sz w:val="14"/>
              </w:rPr>
              <w:t>Supports location and time-window joins.</w:t>
            </w:r>
          </w:p>
        </w:tc>
      </w:tr>
      <w:tr>
        <w:tc>
          <w:tcPr>
            <w:tcW w:type="dxa" w:w="2160"/>
            <w:vAlign w:val="center"/>
          </w:tcPr>
          <w:p>
            <w:pPr>
              <w:spacing w:after="0"/>
            </w:pPr>
            <w:r/>
            <w:r>
              <w:rPr>
                <w:rFonts w:ascii="Aptos" w:hAnsi="Aptos"/>
                <w:b w:val="0"/>
                <w:sz w:val="14"/>
              </w:rPr>
              <w:t>staging</w:t>
            </w:r>
          </w:p>
        </w:tc>
        <w:tc>
          <w:tcPr>
            <w:tcW w:type="dxa" w:w="3888"/>
            <w:vAlign w:val="center"/>
          </w:tcPr>
          <w:p>
            <w:pPr>
              <w:spacing w:after="0"/>
            </w:pPr>
            <w:r/>
            <w:r>
              <w:rPr>
                <w:rFonts w:ascii="Aptos" w:hAnsi="Aptos"/>
                <w:b w:val="0"/>
                <w:sz w:val="14"/>
              </w:rPr>
              <w:t>(batch_id)</w:t>
            </w:r>
          </w:p>
        </w:tc>
        <w:tc>
          <w:tcPr>
            <w:tcW w:type="dxa" w:w="3312"/>
            <w:vAlign w:val="center"/>
          </w:tcPr>
          <w:p>
            <w:pPr>
              <w:spacing w:after="0"/>
            </w:pPr>
            <w:r/>
            <w:r>
              <w:rPr>
                <w:rFonts w:ascii="Aptos" w:hAnsi="Aptos"/>
                <w:b w:val="0"/>
                <w:sz w:val="14"/>
              </w:rPr>
              <w:t>Makes batch-specific validation and loading efficient.</w:t>
            </w:r>
          </w:p>
        </w:tc>
      </w:tr>
    </w:tbl>
    <w:p>
      <w:pPr>
        <w:spacing w:after="0"/>
      </w:pPr>
    </w:p>
    <w:p>
      <w:r>
        <w:rPr>
          <w:i w:val="0"/>
        </w:rPr>
        <w:t>Create indexes on curated tables based on measured queries and data volume. Excess indexes slow inserts and consume storage; do not index every column. PostgreSQL automatically indexes primary keys and unique constraints, but does not automatically create indexes on every foreign-key column.</w:t>
      </w:r>
    </w:p>
    <w:p>
      <w:pPr>
        <w:pStyle w:val="Heading2"/>
      </w:pPr>
      <w:r>
        <w:t>5.4 Transactions and recovery</w:t>
      </w:r>
    </w:p>
    <w:p>
      <w:r>
        <w:rPr>
          <w:i w:val="0"/>
        </w:rPr>
        <w:t>Use a transaction for a logically consistent curated load. On failure, roll back the affected load and retain raw/staging data for retry. For large datasets, process in bounded batches and make each batch restartable. Use a dead-letter/reject table for records that need review, and ensure retries do not duplicate accepted facts.</w:t>
      </w:r>
    </w:p>
    <w:p>
      <w:r>
        <w:br w:type="page"/>
      </w:r>
    </w:p>
    <w:p>
      <w:pPr>
        <w:pStyle w:val="Heading1"/>
      </w:pPr>
      <w:r>
        <w:t>6. Orchestration, Monitoring and Testing</w:t>
      </w:r>
    </w:p>
    <w:p>
      <w:pPr>
        <w:pStyle w:val="Heading2"/>
      </w:pPr>
      <w:r>
        <w:t>6.1 Batch audit table</w:t>
      </w:r>
    </w:p>
    <w:p>
      <w:pPr>
        <w:pStyle w:val="SQLCode"/>
        <w:shd w:fill="F3F6FA"/>
      </w:pPr>
      <w:r>
        <w:t>CREATE TABLE etl_batch (</w:t>
      </w:r>
    </w:p>
    <w:p>
      <w:pPr>
        <w:pStyle w:val="SQLCode"/>
        <w:shd w:fill="F3F6FA"/>
      </w:pPr>
      <w:r>
        <w:t xml:space="preserve">  batch_id UUID PRIMARY KEY,</w:t>
      </w:r>
    </w:p>
    <w:p>
      <w:pPr>
        <w:pStyle w:val="SQLCode"/>
        <w:shd w:fill="F3F6FA"/>
      </w:pPr>
      <w:r>
        <w:t xml:space="preserve">  source_name TEXT NOT NULL,</w:t>
      </w:r>
    </w:p>
    <w:p>
      <w:pPr>
        <w:pStyle w:val="SQLCode"/>
        <w:shd w:fill="F3F6FA"/>
      </w:pPr>
      <w:r>
        <w:t xml:space="preserve">  source_uri TEXT,</w:t>
      </w:r>
    </w:p>
    <w:p>
      <w:pPr>
        <w:pStyle w:val="SQLCode"/>
        <w:shd w:fill="F3F6FA"/>
      </w:pPr>
      <w:r>
        <w:t xml:space="preserve">  retrieved_at TIMESTAMPTZ NOT NULL DEFAULT CURRENT_TIMESTAMP,</w:t>
      </w:r>
    </w:p>
    <w:p>
      <w:pPr>
        <w:pStyle w:val="SQLCode"/>
        <w:shd w:fill="F3F6FA"/>
      </w:pPr>
      <w:r>
        <w:t xml:space="preserve">  status TEXT NOT NULL CHECK</w:t>
      </w:r>
    </w:p>
    <w:p>
      <w:pPr>
        <w:pStyle w:val="SQLCode"/>
        <w:shd w:fill="F3F6FA"/>
      </w:pPr>
      <w:r>
        <w:t xml:space="preserve">    (status IN ('started','extracted','validated','loaded','failed')),</w:t>
      </w:r>
    </w:p>
    <w:p>
      <w:pPr>
        <w:pStyle w:val="SQLCode"/>
        <w:shd w:fill="F3F6FA"/>
      </w:pPr>
      <w:r>
        <w:t xml:space="preserve">  extracted_rows BIGINT DEFAULT 0,</w:t>
      </w:r>
    </w:p>
    <w:p>
      <w:pPr>
        <w:pStyle w:val="SQLCode"/>
        <w:shd w:fill="F3F6FA"/>
      </w:pPr>
      <w:r>
        <w:t xml:space="preserve">  accepted_rows BIGINT DEFAULT 0,</w:t>
      </w:r>
    </w:p>
    <w:p>
      <w:pPr>
        <w:pStyle w:val="SQLCode"/>
        <w:shd w:fill="F3F6FA"/>
      </w:pPr>
      <w:r>
        <w:t xml:space="preserve">  rejected_rows BIGINT DEFAULT 0,</w:t>
      </w:r>
    </w:p>
    <w:p>
      <w:pPr>
        <w:pStyle w:val="SQLCode"/>
        <w:shd w:fill="F3F6FA"/>
      </w:pPr>
      <w:r>
        <w:t xml:space="preserve">  loaded_rows BIGINT DEFAULT 0,</w:t>
      </w:r>
    </w:p>
    <w:p>
      <w:pPr>
        <w:pStyle w:val="SQLCode"/>
        <w:shd w:fill="F3F6FA"/>
      </w:pPr>
      <w:r>
        <w:t xml:space="preserve">  error_message TEXT</w:t>
      </w:r>
    </w:p>
    <w:p>
      <w:pPr>
        <w:pStyle w:val="SQLCode"/>
        <w:shd w:fill="F3F6FA"/>
      </w:pPr>
      <w:r>
        <w:t>);</w:t>
      </w:r>
    </w:p>
    <w:p>
      <w:pPr>
        <w:pStyle w:val="Heading2"/>
      </w:pPr>
      <w:r>
        <w:t>6.2 Monitoring metrics</w:t>
      </w:r>
    </w:p>
    <w:tbl>
      <w:tblPr>
        <w:tblStyle w:val="TableGrid"/>
        <w:tblW w:type="auto" w:w="0"/>
        <w:jc w:val="center"/>
        <w:tblLook w:firstColumn="1" w:firstRow="1" w:lastColumn="0" w:lastRow="0" w:noHBand="0" w:noVBand="1" w:val="04A0"/>
      </w:tblPr>
      <w:tblGrid>
        <w:gridCol w:w="3427"/>
        <w:gridCol w:w="3427"/>
        <w:gridCol w:w="3427"/>
      </w:tblGrid>
      <w:tr>
        <w:tc>
          <w:tcPr>
            <w:tcW w:type="dxa" w:w="2088"/>
            <w:vAlign w:val="center"/>
            <w:shd w:fill="17365D"/>
          </w:tcPr>
          <w:p>
            <w:pPr>
              <w:spacing w:after="0"/>
            </w:pPr>
            <w:r/>
            <w:r>
              <w:rPr>
                <w:rFonts w:ascii="Aptos" w:hAnsi="Aptos"/>
                <w:b/>
                <w:color w:val="FFFFFF"/>
                <w:sz w:val="14"/>
              </w:rPr>
              <w:t>Metric</w:t>
            </w:r>
          </w:p>
        </w:tc>
        <w:tc>
          <w:tcPr>
            <w:tcW w:type="dxa" w:w="3600"/>
            <w:vAlign w:val="center"/>
            <w:shd w:fill="17365D"/>
          </w:tcPr>
          <w:p>
            <w:pPr>
              <w:spacing w:after="0"/>
            </w:pPr>
            <w:r/>
            <w:r>
              <w:rPr>
                <w:rFonts w:ascii="Aptos" w:hAnsi="Aptos"/>
                <w:b/>
                <w:color w:val="FFFFFF"/>
                <w:sz w:val="14"/>
              </w:rPr>
              <w:t>Why it matters</w:t>
            </w:r>
          </w:p>
        </w:tc>
        <w:tc>
          <w:tcPr>
            <w:tcW w:type="dxa" w:w="3672"/>
            <w:vAlign w:val="center"/>
            <w:shd w:fill="17365D"/>
          </w:tcPr>
          <w:p>
            <w:pPr>
              <w:spacing w:after="0"/>
            </w:pPr>
            <w:r/>
            <w:r>
              <w:rPr>
                <w:rFonts w:ascii="Aptos" w:hAnsi="Aptos"/>
                <w:b/>
                <w:color w:val="FFFFFF"/>
                <w:sz w:val="14"/>
              </w:rPr>
              <w:t>Example alert condition</w:t>
            </w:r>
          </w:p>
        </w:tc>
      </w:tr>
      <w:tr>
        <w:tc>
          <w:tcPr>
            <w:tcW w:type="dxa" w:w="2088"/>
            <w:vAlign w:val="center"/>
          </w:tcPr>
          <w:p>
            <w:pPr>
              <w:spacing w:after="0"/>
            </w:pPr>
            <w:r/>
            <w:r>
              <w:rPr>
                <w:rFonts w:ascii="Aptos" w:hAnsi="Aptos"/>
                <w:b w:val="0"/>
                <w:sz w:val="14"/>
              </w:rPr>
              <w:t>Batch completion time</w:t>
            </w:r>
          </w:p>
        </w:tc>
        <w:tc>
          <w:tcPr>
            <w:tcW w:type="dxa" w:w="3600"/>
            <w:vAlign w:val="center"/>
          </w:tcPr>
          <w:p>
            <w:pPr>
              <w:spacing w:after="0"/>
            </w:pPr>
            <w:r/>
            <w:r>
              <w:rPr>
                <w:rFonts w:ascii="Aptos" w:hAnsi="Aptos"/>
                <w:b w:val="0"/>
                <w:sz w:val="14"/>
              </w:rPr>
              <w:t>Detects slow or stalled source pulls.</w:t>
            </w:r>
          </w:p>
        </w:tc>
        <w:tc>
          <w:tcPr>
            <w:tcW w:type="dxa" w:w="3672"/>
            <w:vAlign w:val="center"/>
          </w:tcPr>
          <w:p>
            <w:pPr>
              <w:spacing w:after="0"/>
            </w:pPr>
            <w:r/>
            <w:r>
              <w:rPr>
                <w:rFonts w:ascii="Aptos" w:hAnsi="Aptos"/>
                <w:b w:val="0"/>
                <w:sz w:val="14"/>
              </w:rPr>
              <w:t>Run exceeds expected duration.</w:t>
            </w:r>
          </w:p>
        </w:tc>
      </w:tr>
      <w:tr>
        <w:tc>
          <w:tcPr>
            <w:tcW w:type="dxa" w:w="2088"/>
            <w:vAlign w:val="center"/>
            <w:shd w:fill="F1F5F9"/>
          </w:tcPr>
          <w:p>
            <w:pPr>
              <w:spacing w:after="0"/>
            </w:pPr>
            <w:r/>
            <w:r>
              <w:rPr>
                <w:rFonts w:ascii="Aptos" w:hAnsi="Aptos"/>
                <w:b w:val="0"/>
                <w:sz w:val="14"/>
              </w:rPr>
              <w:t>Row-count variance</w:t>
            </w:r>
          </w:p>
        </w:tc>
        <w:tc>
          <w:tcPr>
            <w:tcW w:type="dxa" w:w="3600"/>
            <w:vAlign w:val="center"/>
            <w:shd w:fill="F1F5F9"/>
          </w:tcPr>
          <w:p>
            <w:pPr>
              <w:spacing w:after="0"/>
            </w:pPr>
            <w:r/>
            <w:r>
              <w:rPr>
                <w:rFonts w:ascii="Aptos" w:hAnsi="Aptos"/>
                <w:b w:val="0"/>
                <w:sz w:val="14"/>
              </w:rPr>
              <w:t>Detects empty files or sudden source changes.</w:t>
            </w:r>
          </w:p>
        </w:tc>
        <w:tc>
          <w:tcPr>
            <w:tcW w:type="dxa" w:w="3672"/>
            <w:vAlign w:val="center"/>
            <w:shd w:fill="F1F5F9"/>
          </w:tcPr>
          <w:p>
            <w:pPr>
              <w:spacing w:after="0"/>
            </w:pPr>
            <w:r/>
            <w:r>
              <w:rPr>
                <w:rFonts w:ascii="Aptos" w:hAnsi="Aptos"/>
                <w:b w:val="0"/>
                <w:sz w:val="14"/>
              </w:rPr>
              <w:t>Daily row count changes by more than agreed threshold.</w:t>
            </w:r>
          </w:p>
        </w:tc>
      </w:tr>
      <w:tr>
        <w:tc>
          <w:tcPr>
            <w:tcW w:type="dxa" w:w="2088"/>
            <w:vAlign w:val="center"/>
          </w:tcPr>
          <w:p>
            <w:pPr>
              <w:spacing w:after="0"/>
            </w:pPr>
            <w:r/>
            <w:r>
              <w:rPr>
                <w:rFonts w:ascii="Aptos" w:hAnsi="Aptos"/>
                <w:b w:val="0"/>
                <w:sz w:val="14"/>
              </w:rPr>
              <w:t>Reject percentage</w:t>
            </w:r>
          </w:p>
        </w:tc>
        <w:tc>
          <w:tcPr>
            <w:tcW w:type="dxa" w:w="3600"/>
            <w:vAlign w:val="center"/>
          </w:tcPr>
          <w:p>
            <w:pPr>
              <w:spacing w:after="0"/>
            </w:pPr>
            <w:r/>
            <w:r>
              <w:rPr>
                <w:rFonts w:ascii="Aptos" w:hAnsi="Aptos"/>
                <w:b w:val="0"/>
                <w:sz w:val="14"/>
              </w:rPr>
              <w:t>Tracks quality degradation.</w:t>
            </w:r>
          </w:p>
        </w:tc>
        <w:tc>
          <w:tcPr>
            <w:tcW w:type="dxa" w:w="3672"/>
            <w:vAlign w:val="center"/>
          </w:tcPr>
          <w:p>
            <w:pPr>
              <w:spacing w:after="0"/>
            </w:pPr>
            <w:r/>
            <w:r>
              <w:rPr>
                <w:rFonts w:ascii="Aptos" w:hAnsi="Aptos"/>
                <w:b w:val="0"/>
                <w:sz w:val="14"/>
              </w:rPr>
              <w:t>Reject rate exceeds 5% (example threshold; tune per source).</w:t>
            </w:r>
          </w:p>
        </w:tc>
      </w:tr>
      <w:tr>
        <w:tc>
          <w:tcPr>
            <w:tcW w:type="dxa" w:w="2088"/>
            <w:vAlign w:val="center"/>
            <w:shd w:fill="F1F5F9"/>
          </w:tcPr>
          <w:p>
            <w:pPr>
              <w:spacing w:after="0"/>
            </w:pPr>
            <w:r/>
            <w:r>
              <w:rPr>
                <w:rFonts w:ascii="Aptos" w:hAnsi="Aptos"/>
                <w:b w:val="0"/>
                <w:sz w:val="14"/>
              </w:rPr>
              <w:t>Freshness lag</w:t>
            </w:r>
          </w:p>
        </w:tc>
        <w:tc>
          <w:tcPr>
            <w:tcW w:type="dxa" w:w="3600"/>
            <w:vAlign w:val="center"/>
            <w:shd w:fill="F1F5F9"/>
          </w:tcPr>
          <w:p>
            <w:pPr>
              <w:spacing w:after="0"/>
            </w:pPr>
            <w:r/>
            <w:r>
              <w:rPr>
                <w:rFonts w:ascii="Aptos" w:hAnsi="Aptos"/>
                <w:b w:val="0"/>
                <w:sz w:val="14"/>
              </w:rPr>
              <w:t>Measures delay between source update and curated availability.</w:t>
            </w:r>
          </w:p>
        </w:tc>
        <w:tc>
          <w:tcPr>
            <w:tcW w:type="dxa" w:w="3672"/>
            <w:vAlign w:val="center"/>
            <w:shd w:fill="F1F5F9"/>
          </w:tcPr>
          <w:p>
            <w:pPr>
              <w:spacing w:after="0"/>
            </w:pPr>
            <w:r/>
            <w:r>
              <w:rPr>
                <w:rFonts w:ascii="Aptos" w:hAnsi="Aptos"/>
                <w:b w:val="0"/>
                <w:sz w:val="14"/>
              </w:rPr>
              <w:t>Latest data is older than reporting SLA.</w:t>
            </w:r>
          </w:p>
        </w:tc>
      </w:tr>
      <w:tr>
        <w:tc>
          <w:tcPr>
            <w:tcW w:type="dxa" w:w="2088"/>
            <w:vAlign w:val="center"/>
          </w:tcPr>
          <w:p>
            <w:pPr>
              <w:spacing w:after="0"/>
            </w:pPr>
            <w:r/>
            <w:r>
              <w:rPr>
                <w:rFonts w:ascii="Aptos" w:hAnsi="Aptos"/>
                <w:b w:val="0"/>
                <w:sz w:val="14"/>
              </w:rPr>
              <w:t>Duplicate business keys</w:t>
            </w:r>
          </w:p>
        </w:tc>
        <w:tc>
          <w:tcPr>
            <w:tcW w:type="dxa" w:w="3600"/>
            <w:vAlign w:val="center"/>
          </w:tcPr>
          <w:p>
            <w:pPr>
              <w:spacing w:after="0"/>
            </w:pPr>
            <w:r/>
            <w:r>
              <w:rPr>
                <w:rFonts w:ascii="Aptos" w:hAnsi="Aptos"/>
                <w:b w:val="0"/>
                <w:sz w:val="14"/>
              </w:rPr>
              <w:t>Protects fact grain and prevents inflated metrics.</w:t>
            </w:r>
          </w:p>
        </w:tc>
        <w:tc>
          <w:tcPr>
            <w:tcW w:type="dxa" w:w="3672"/>
            <w:vAlign w:val="center"/>
          </w:tcPr>
          <w:p>
            <w:pPr>
              <w:spacing w:after="0"/>
            </w:pPr>
            <w:r/>
            <w:r>
              <w:rPr>
                <w:rFonts w:ascii="Aptos" w:hAnsi="Aptos"/>
                <w:b w:val="0"/>
                <w:sz w:val="14"/>
              </w:rPr>
              <w:t>Any duplicate after deduplication.</w:t>
            </w:r>
          </w:p>
        </w:tc>
      </w:tr>
      <w:tr>
        <w:tc>
          <w:tcPr>
            <w:tcW w:type="dxa" w:w="2088"/>
            <w:vAlign w:val="center"/>
            <w:shd w:fill="F1F5F9"/>
          </w:tcPr>
          <w:p>
            <w:pPr>
              <w:spacing w:after="0"/>
            </w:pPr>
            <w:r/>
            <w:r>
              <w:rPr>
                <w:rFonts w:ascii="Aptos" w:hAnsi="Aptos"/>
                <w:b w:val="0"/>
                <w:sz w:val="14"/>
              </w:rPr>
              <w:t>Load reconciliation</w:t>
            </w:r>
          </w:p>
        </w:tc>
        <w:tc>
          <w:tcPr>
            <w:tcW w:type="dxa" w:w="3600"/>
            <w:vAlign w:val="center"/>
            <w:shd w:fill="F1F5F9"/>
          </w:tcPr>
          <w:p>
            <w:pPr>
              <w:spacing w:after="0"/>
            </w:pPr>
            <w:r/>
            <w:r>
              <w:rPr>
                <w:rFonts w:ascii="Aptos" w:hAnsi="Aptos"/>
                <w:b w:val="0"/>
                <w:sz w:val="14"/>
              </w:rPr>
              <w:t>Confirms all parsed rows are accounted for.</w:t>
            </w:r>
          </w:p>
        </w:tc>
        <w:tc>
          <w:tcPr>
            <w:tcW w:type="dxa" w:w="3672"/>
            <w:vAlign w:val="center"/>
            <w:shd w:fill="F1F5F9"/>
          </w:tcPr>
          <w:p>
            <w:pPr>
              <w:spacing w:after="0"/>
            </w:pPr>
            <w:r/>
            <w:r>
              <w:rPr>
                <w:rFonts w:ascii="Aptos" w:hAnsi="Aptos"/>
                <w:b w:val="0"/>
                <w:sz w:val="14"/>
              </w:rPr>
              <w:t>Parsed rows != accepted + rejected rows.</w:t>
            </w:r>
          </w:p>
        </w:tc>
      </w:tr>
    </w:tbl>
    <w:p>
      <w:pPr>
        <w:spacing w:after="0"/>
      </w:pPr>
    </w:p>
    <w:p>
      <w:pPr>
        <w:pStyle w:val="Heading2"/>
      </w:pPr>
      <w:r>
        <w:t>6.3 Test plan</w:t>
      </w:r>
    </w:p>
    <w:p>
      <w:pPr>
        <w:pStyle w:val="ListBullet"/>
        <w:spacing w:after="20"/>
      </w:pPr>
      <w:r>
        <w:t>Unit tests: date parsing, unit conversions, label mapping, null handling and numeric validation.</w:t>
      </w:r>
    </w:p>
    <w:p>
      <w:pPr>
        <w:pStyle w:val="ListBullet"/>
        <w:spacing w:after="20"/>
      </w:pPr>
      <w:r>
        <w:t>Schema tests: primary keys, foreign keys, uniqueness and CHECK constraints.</w:t>
      </w:r>
    </w:p>
    <w:p>
      <w:pPr>
        <w:pStyle w:val="ListBullet"/>
        <w:spacing w:after="20"/>
      </w:pPr>
      <w:r>
        <w:t>Integration tests: one small batch flows from raw input to curated tables.</w:t>
      </w:r>
    </w:p>
    <w:p>
      <w:pPr>
        <w:pStyle w:val="ListBullet"/>
        <w:spacing w:after="20"/>
      </w:pPr>
      <w:r>
        <w:t>Idempotency test: re-run the same batch and confirm no duplicate facts or unexpected total changes.</w:t>
      </w:r>
    </w:p>
    <w:p>
      <w:pPr>
        <w:pStyle w:val="ListBullet"/>
        <w:spacing w:after="20"/>
      </w:pPr>
      <w:r>
        <w:t>Failure test: interrupt extraction or loading and verify the watermark does not advance.</w:t>
      </w:r>
    </w:p>
    <w:p>
      <w:pPr>
        <w:pStyle w:val="ListBullet"/>
        <w:spacing w:after="20"/>
      </w:pPr>
      <w:r>
        <w:t>Reconciliation test: compare source totals with accepted plus rejected rows and curated totals where definitions align.</w:t>
      </w:r>
    </w:p>
    <w:p>
      <w:pPr>
        <w:pStyle w:val="Heading1"/>
      </w:pPr>
      <w:r>
        <w:t>7. Implementation Roadmap and Conclusion</w:t>
      </w:r>
    </w:p>
    <w:tbl>
      <w:tblPr>
        <w:tblStyle w:val="TableGrid"/>
        <w:tblW w:type="auto" w:w="0"/>
        <w:jc w:val="center"/>
        <w:tblLook w:firstColumn="1" w:firstRow="1" w:lastColumn="0" w:lastRow="0" w:noHBand="0" w:noVBand="1" w:val="04A0"/>
      </w:tblPr>
      <w:tblGrid>
        <w:gridCol w:w="3427"/>
        <w:gridCol w:w="3427"/>
        <w:gridCol w:w="3427"/>
      </w:tblGrid>
      <w:tr>
        <w:tc>
          <w:tcPr>
            <w:tcW w:type="dxa" w:w="3168"/>
            <w:vAlign w:val="center"/>
            <w:shd w:fill="17365D"/>
          </w:tcPr>
          <w:p>
            <w:pPr>
              <w:spacing w:after="0"/>
            </w:pPr>
            <w:r/>
            <w:r>
              <w:rPr>
                <w:rFonts w:ascii="Aptos" w:hAnsi="Aptos"/>
                <w:b/>
                <w:color w:val="FFFFFF"/>
                <w:sz w:val="14"/>
              </w:rPr>
              <w:t>Phase</w:t>
            </w:r>
          </w:p>
        </w:tc>
        <w:tc>
          <w:tcPr>
            <w:tcW w:type="dxa" w:w="1800"/>
            <w:vAlign w:val="center"/>
            <w:shd w:fill="17365D"/>
          </w:tcPr>
          <w:p>
            <w:pPr>
              <w:spacing w:after="0"/>
            </w:pPr>
            <w:r/>
            <w:r>
              <w:rPr>
                <w:rFonts w:ascii="Aptos" w:hAnsi="Aptos"/>
                <w:b/>
                <w:color w:val="FFFFFF"/>
                <w:sz w:val="14"/>
              </w:rPr>
              <w:t>Estimated effort</w:t>
            </w:r>
          </w:p>
        </w:tc>
        <w:tc>
          <w:tcPr>
            <w:tcW w:type="dxa" w:w="4392"/>
            <w:vAlign w:val="center"/>
            <w:shd w:fill="17365D"/>
          </w:tcPr>
          <w:p>
            <w:pPr>
              <w:spacing w:after="0"/>
            </w:pPr>
            <w:r/>
            <w:r>
              <w:rPr>
                <w:rFonts w:ascii="Aptos" w:hAnsi="Aptos"/>
                <w:b/>
                <w:color w:val="FFFFFF"/>
                <w:sz w:val="14"/>
              </w:rPr>
              <w:t>Output</w:t>
            </w:r>
          </w:p>
        </w:tc>
      </w:tr>
      <w:tr>
        <w:tc>
          <w:tcPr>
            <w:tcW w:type="dxa" w:w="3168"/>
            <w:vAlign w:val="center"/>
          </w:tcPr>
          <w:p>
            <w:pPr>
              <w:spacing w:after="0"/>
            </w:pPr>
            <w:r/>
            <w:r>
              <w:rPr>
                <w:rFonts w:ascii="Aptos" w:hAnsi="Aptos"/>
                <w:b w:val="0"/>
                <w:sz w:val="14"/>
              </w:rPr>
              <w:t>1. Source discovery and access review</w:t>
            </w:r>
          </w:p>
        </w:tc>
        <w:tc>
          <w:tcPr>
            <w:tcW w:type="dxa" w:w="1800"/>
            <w:vAlign w:val="center"/>
          </w:tcPr>
          <w:p>
            <w:pPr>
              <w:spacing w:after="0"/>
            </w:pPr>
            <w:r/>
            <w:r>
              <w:rPr>
                <w:rFonts w:ascii="Aptos" w:hAnsi="Aptos"/>
                <w:b w:val="0"/>
                <w:sz w:val="14"/>
              </w:rPr>
              <w:t>4–5 hours</w:t>
            </w:r>
          </w:p>
        </w:tc>
        <w:tc>
          <w:tcPr>
            <w:tcW w:type="dxa" w:w="4392"/>
            <w:vAlign w:val="center"/>
          </w:tcPr>
          <w:p>
            <w:pPr>
              <w:spacing w:after="0"/>
            </w:pPr>
            <w:r/>
            <w:r>
              <w:rPr>
                <w:rFonts w:ascii="Aptos" w:hAnsi="Aptos"/>
                <w:b w:val="0"/>
                <w:sz w:val="14"/>
              </w:rPr>
              <w:t>Source inventory, formats, licence/terms notes and sample files.</w:t>
            </w:r>
          </w:p>
        </w:tc>
      </w:tr>
      <w:tr>
        <w:tc>
          <w:tcPr>
            <w:tcW w:type="dxa" w:w="3168"/>
            <w:vAlign w:val="center"/>
            <w:shd w:fill="F1F5F9"/>
          </w:tcPr>
          <w:p>
            <w:pPr>
              <w:spacing w:after="0"/>
            </w:pPr>
            <w:r/>
            <w:r>
              <w:rPr>
                <w:rFonts w:ascii="Aptos" w:hAnsi="Aptos"/>
                <w:b w:val="0"/>
                <w:sz w:val="14"/>
              </w:rPr>
              <w:t>2. Extraction and raw landing</w:t>
            </w:r>
          </w:p>
        </w:tc>
        <w:tc>
          <w:tcPr>
            <w:tcW w:type="dxa" w:w="1800"/>
            <w:vAlign w:val="center"/>
            <w:shd w:fill="F1F5F9"/>
          </w:tcPr>
          <w:p>
            <w:pPr>
              <w:spacing w:after="0"/>
            </w:pPr>
            <w:r/>
            <w:r>
              <w:rPr>
                <w:rFonts w:ascii="Aptos" w:hAnsi="Aptos"/>
                <w:b w:val="0"/>
                <w:sz w:val="14"/>
              </w:rPr>
              <w:t>5–6 hours</w:t>
            </w:r>
          </w:p>
        </w:tc>
        <w:tc>
          <w:tcPr>
            <w:tcW w:type="dxa" w:w="4392"/>
            <w:vAlign w:val="center"/>
            <w:shd w:fill="F1F5F9"/>
          </w:tcPr>
          <w:p>
            <w:pPr>
              <w:spacing w:after="0"/>
            </w:pPr>
            <w:r/>
            <w:r>
              <w:rPr>
                <w:rFonts w:ascii="Aptos" w:hAnsi="Aptos"/>
                <w:b w:val="0"/>
                <w:sz w:val="14"/>
              </w:rPr>
              <w:t>Repeatable download/API adapters and batch metadata.</w:t>
            </w:r>
          </w:p>
        </w:tc>
      </w:tr>
      <w:tr>
        <w:tc>
          <w:tcPr>
            <w:tcW w:type="dxa" w:w="3168"/>
            <w:vAlign w:val="center"/>
          </w:tcPr>
          <w:p>
            <w:pPr>
              <w:spacing w:after="0"/>
            </w:pPr>
            <w:r/>
            <w:r>
              <w:rPr>
                <w:rFonts w:ascii="Aptos" w:hAnsi="Aptos"/>
                <w:b w:val="0"/>
                <w:sz w:val="14"/>
              </w:rPr>
              <w:t>3. Transformation and validation</w:t>
            </w:r>
          </w:p>
        </w:tc>
        <w:tc>
          <w:tcPr>
            <w:tcW w:type="dxa" w:w="1800"/>
            <w:vAlign w:val="center"/>
          </w:tcPr>
          <w:p>
            <w:pPr>
              <w:spacing w:after="0"/>
            </w:pPr>
            <w:r/>
            <w:r>
              <w:rPr>
                <w:rFonts w:ascii="Aptos" w:hAnsi="Aptos"/>
                <w:b w:val="0"/>
                <w:sz w:val="14"/>
              </w:rPr>
              <w:t>8–9 hours</w:t>
            </w:r>
          </w:p>
        </w:tc>
        <w:tc>
          <w:tcPr>
            <w:tcW w:type="dxa" w:w="4392"/>
            <w:vAlign w:val="center"/>
          </w:tcPr>
          <w:p>
            <w:pPr>
              <w:spacing w:after="0"/>
            </w:pPr>
            <w:r/>
            <w:r>
              <w:rPr>
                <w:rFonts w:ascii="Aptos" w:hAnsi="Aptos"/>
                <w:b w:val="0"/>
                <w:sz w:val="14"/>
              </w:rPr>
              <w:t>Canonical mappings, typed staging, rejects and SQL transforms.</w:t>
            </w:r>
          </w:p>
        </w:tc>
      </w:tr>
      <w:tr>
        <w:tc>
          <w:tcPr>
            <w:tcW w:type="dxa" w:w="3168"/>
            <w:vAlign w:val="center"/>
            <w:shd w:fill="F1F5F9"/>
          </w:tcPr>
          <w:p>
            <w:pPr>
              <w:spacing w:after="0"/>
            </w:pPr>
            <w:r/>
            <w:r>
              <w:rPr>
                <w:rFonts w:ascii="Aptos" w:hAnsi="Aptos"/>
                <w:b w:val="0"/>
                <w:sz w:val="14"/>
              </w:rPr>
              <w:t>4. Database loading</w:t>
            </w:r>
          </w:p>
        </w:tc>
        <w:tc>
          <w:tcPr>
            <w:tcW w:type="dxa" w:w="1800"/>
            <w:vAlign w:val="center"/>
            <w:shd w:fill="F1F5F9"/>
          </w:tcPr>
          <w:p>
            <w:pPr>
              <w:spacing w:after="0"/>
            </w:pPr>
            <w:r/>
            <w:r>
              <w:rPr>
                <w:rFonts w:ascii="Aptos" w:hAnsi="Aptos"/>
                <w:b w:val="0"/>
                <w:sz w:val="14"/>
              </w:rPr>
              <w:t>5–6 hours</w:t>
            </w:r>
          </w:p>
        </w:tc>
        <w:tc>
          <w:tcPr>
            <w:tcW w:type="dxa" w:w="4392"/>
            <w:vAlign w:val="center"/>
            <w:shd w:fill="F1F5F9"/>
          </w:tcPr>
          <w:p>
            <w:pPr>
              <w:spacing w:after="0"/>
            </w:pPr>
            <w:r/>
            <w:r>
              <w:rPr>
                <w:rFonts w:ascii="Aptos" w:hAnsi="Aptos"/>
                <w:b w:val="0"/>
                <w:sz w:val="14"/>
              </w:rPr>
              <w:t>Transactional upserts, keys, indexes and restartable batches.</w:t>
            </w:r>
          </w:p>
        </w:tc>
      </w:tr>
      <w:tr>
        <w:tc>
          <w:tcPr>
            <w:tcW w:type="dxa" w:w="3168"/>
            <w:vAlign w:val="center"/>
          </w:tcPr>
          <w:p>
            <w:pPr>
              <w:spacing w:after="0"/>
            </w:pPr>
            <w:r/>
            <w:r>
              <w:rPr>
                <w:rFonts w:ascii="Aptos" w:hAnsi="Aptos"/>
                <w:b w:val="0"/>
                <w:sz w:val="14"/>
              </w:rPr>
              <w:t>5. Testing and documentation</w:t>
            </w:r>
          </w:p>
        </w:tc>
        <w:tc>
          <w:tcPr>
            <w:tcW w:type="dxa" w:w="1800"/>
            <w:vAlign w:val="center"/>
          </w:tcPr>
          <w:p>
            <w:pPr>
              <w:spacing w:after="0"/>
            </w:pPr>
            <w:r/>
            <w:r>
              <w:rPr>
                <w:rFonts w:ascii="Aptos" w:hAnsi="Aptos"/>
                <w:b w:val="0"/>
                <w:sz w:val="14"/>
              </w:rPr>
              <w:t>6–8 hours</w:t>
            </w:r>
          </w:p>
        </w:tc>
        <w:tc>
          <w:tcPr>
            <w:tcW w:type="dxa" w:w="4392"/>
            <w:vAlign w:val="center"/>
          </w:tcPr>
          <w:p>
            <w:pPr>
              <w:spacing w:after="0"/>
            </w:pPr>
            <w:r/>
            <w:r>
              <w:rPr>
                <w:rFonts w:ascii="Aptos" w:hAnsi="Aptos"/>
                <w:b w:val="0"/>
                <w:sz w:val="14"/>
              </w:rPr>
              <w:t>Reconciliation tests, failure tests, runbook and final report.</w:t>
            </w:r>
          </w:p>
        </w:tc>
      </w:tr>
    </w:tbl>
    <w:p>
      <w:pPr>
        <w:spacing w:after="0"/>
      </w:pPr>
    </w:p>
    <w:p>
      <w:r>
        <w:rPr>
          <w:i w:val="0"/>
        </w:rPr>
        <w:t>Total planned effort: approximately 28–34 hours, consistent with the 30–35 hour task expectation once source-specific investigation and review are included.</w:t>
      </w:r>
    </w:p>
    <w:p>
      <w:r>
        <w:rPr>
          <w:i w:val="0"/>
        </w:rPr>
        <w:t>The proposed ETL design creates a traceable path from public agribusiness data to SQL-ready analytical tables. Its most important safeguards are immutable raw retention, explicit mappings, validation with visible rejects, correct fact-table grain, idempotent loads and batch-level reconciliation. These controls make the pipeline easier to debug, rerun and trust as new data arrives.</w:t>
      </w:r>
    </w:p>
    <w:p>
      <w:pPr>
        <w:pStyle w:val="Heading2"/>
      </w:pPr>
      <w:r>
        <w:t>Submission checklist</w:t>
      </w:r>
    </w:p>
    <w:p>
      <w:pPr>
        <w:pStyle w:val="ListBullet"/>
        <w:spacing w:after="20"/>
      </w:pPr>
      <w:r>
        <w:t>Replace [Your Name] and confirm the chosen database platform.</w:t>
      </w:r>
    </w:p>
    <w:p>
      <w:pPr>
        <w:pStyle w:val="ListBullet"/>
        <w:spacing w:after="20"/>
      </w:pPr>
      <w:r>
        <w:t>Verify each source’s current access method, terms, schema and data licence before implementation.</w:t>
      </w:r>
    </w:p>
    <w:p>
      <w:pPr>
        <w:pStyle w:val="ListBullet"/>
        <w:spacing w:after="20"/>
      </w:pPr>
      <w:r>
        <w:t>Adapt table names and unique keys to the actual grain of each source dataset.</w:t>
      </w:r>
    </w:p>
    <w:p>
      <w:pPr>
        <w:pStyle w:val="ListBullet"/>
        <w:spacing w:after="20"/>
      </w:pPr>
      <w:r>
        <w:t>Label the scripts as examples until they have been tested against real sample files.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Agribusiness Data Pipeline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WEEK 3 INTERNSHIP ASSESSMENT  |  AGRIBUSINESS ETL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8727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35" w:lineRule="auto"/>
      <w:ind w:left="144" w:right="72"/>
    </w:pPr>
    <w:rPr>
      <w:rFonts w:ascii="Consolas" w:hAnsi="Consolas"/>
      <w:color w:val="232F3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ETL Process Plan for Agribusiness Analytics</dc:title>
  <dc:subject>Internship task assessment: extraction, transformation and loading</dc:subject>
  <dc:creator>[Your Name]</dc:creator>
  <cp:keywords>ETL, agribusiness, SQL, PostgreSQL, data quality, data pipeline</cp:keywords>
  <dc:description>generated by python-docx</dc:description>
  <cp:lastModifiedBy/>
  <cp:revision>1</cp:revision>
  <dcterms:created xsi:type="dcterms:W3CDTF">2013-12-23T23:15:00Z</dcterms:created>
  <dcterms:modified xsi:type="dcterms:W3CDTF">2013-12-23T23:15:00Z</dcterms:modified>
  <cp:category/>
</cp:coreProperties>
</file>