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7365D"/>
          <w:sz w:val="52"/>
        </w:rPr>
        <w:t>DATA AGGREGATION</w:t>
        <w:br/>
        <w:t>&amp; BUSINESS REPORTING</w:t>
      </w:r>
    </w:p>
    <w:p>
      <w:pPr>
        <w:jc w:val="center"/>
      </w:pPr>
      <w:r>
        <w:rPr>
          <w:color w:val="287271"/>
          <w:sz w:val="28"/>
        </w:rPr>
        <w:t>SQL-Based Agribusiness Performance Reporting Plan</w:t>
      </w:r>
    </w:p>
    <w:p/>
    <w:tbl>
      <w:tblPr>
        <w:tblStyle w:val="TableGrid"/>
        <w:tblW w:type="auto" w:w="0"/>
        <w:jc w:val="center"/>
        <w:tblLook w:firstColumn="1" w:firstRow="1" w:lastColumn="0" w:lastRow="0" w:noHBand="0" w:noVBand="1" w:val="04A0"/>
      </w:tblPr>
      <w:tblGrid>
        <w:gridCol w:w="5141"/>
        <w:gridCol w:w="5141"/>
      </w:tblGrid>
      <w:tr>
        <w:tc>
          <w:tcPr>
            <w:tcW w:type="dxa" w:w="2304"/>
            <w:vAlign w:val="center"/>
            <w:shd w:fill="17365D"/>
          </w:tcPr>
          <w:p>
            <w:pPr>
              <w:spacing w:after="0"/>
            </w:pPr>
            <w:r/>
            <w:r>
              <w:rPr>
                <w:rFonts w:ascii="Aptos" w:hAnsi="Aptos"/>
                <w:b/>
                <w:color w:val="FFFFFF"/>
                <w:sz w:val="17"/>
              </w:rPr>
              <w:t>Assessment detail</w:t>
            </w:r>
          </w:p>
        </w:tc>
        <w:tc>
          <w:tcPr>
            <w:tcW w:type="dxa" w:w="7056"/>
            <w:vAlign w:val="center"/>
            <w:shd w:fill="17365D"/>
          </w:tcPr>
          <w:p>
            <w:pPr>
              <w:spacing w:after="0"/>
            </w:pPr>
            <w:r/>
            <w:r>
              <w:rPr>
                <w:rFonts w:ascii="Aptos" w:hAnsi="Aptos"/>
                <w:b/>
                <w:color w:val="FFFFFF"/>
                <w:sz w:val="17"/>
              </w:rPr>
              <w:t>Description</w:t>
            </w:r>
          </w:p>
        </w:tc>
      </w:tr>
      <w:tr>
        <w:tc>
          <w:tcPr>
            <w:tcW w:type="dxa" w:w="2304"/>
            <w:vAlign w:val="center"/>
          </w:tcPr>
          <w:p>
            <w:pPr>
              <w:spacing w:after="0"/>
            </w:pPr>
            <w:r/>
            <w:r>
              <w:rPr>
                <w:rFonts w:ascii="Aptos" w:hAnsi="Aptos"/>
                <w:b w:val="0"/>
                <w:sz w:val="17"/>
              </w:rPr>
              <w:t>Task</w:t>
            </w:r>
          </w:p>
        </w:tc>
        <w:tc>
          <w:tcPr>
            <w:tcW w:type="dxa" w:w="7056"/>
            <w:vAlign w:val="center"/>
          </w:tcPr>
          <w:p>
            <w:pPr>
              <w:spacing w:after="0"/>
            </w:pPr>
            <w:r/>
            <w:r>
              <w:rPr>
                <w:rFonts w:ascii="Aptos" w:hAnsi="Aptos"/>
                <w:b w:val="0"/>
                <w:sz w:val="17"/>
              </w:rPr>
              <w:t>Week 4 — Internship Assessment</w:t>
            </w:r>
          </w:p>
        </w:tc>
      </w:tr>
      <w:tr>
        <w:tc>
          <w:tcPr>
            <w:tcW w:type="dxa" w:w="2304"/>
            <w:vAlign w:val="center"/>
            <w:shd w:fill="F1F5F9"/>
          </w:tcPr>
          <w:p>
            <w:pPr>
              <w:spacing w:after="0"/>
            </w:pPr>
            <w:r/>
            <w:r>
              <w:rPr>
                <w:rFonts w:ascii="Aptos" w:hAnsi="Aptos"/>
                <w:b w:val="0"/>
                <w:sz w:val="17"/>
              </w:rPr>
              <w:t>Focus</w:t>
            </w:r>
          </w:p>
        </w:tc>
        <w:tc>
          <w:tcPr>
            <w:tcW w:type="dxa" w:w="7056"/>
            <w:vAlign w:val="center"/>
            <w:shd w:fill="F1F5F9"/>
          </w:tcPr>
          <w:p>
            <w:pPr>
              <w:spacing w:after="0"/>
            </w:pPr>
            <w:r/>
            <w:r>
              <w:rPr>
                <w:rFonts w:ascii="Aptos" w:hAnsi="Aptos"/>
                <w:b w:val="0"/>
                <w:sz w:val="17"/>
              </w:rPr>
              <w:t>SQL aggregation, agribusiness KPIs, reporting and visualization strategy</w:t>
            </w:r>
          </w:p>
        </w:tc>
      </w:tr>
      <w:tr>
        <w:tc>
          <w:tcPr>
            <w:tcW w:type="dxa" w:w="2304"/>
            <w:vAlign w:val="center"/>
          </w:tcPr>
          <w:p>
            <w:pPr>
              <w:spacing w:after="0"/>
            </w:pPr>
            <w:r/>
            <w:r>
              <w:rPr>
                <w:rFonts w:ascii="Aptos" w:hAnsi="Aptos"/>
                <w:b w:val="0"/>
                <w:sz w:val="17"/>
              </w:rPr>
              <w:t>Database assumption</w:t>
            </w:r>
          </w:p>
        </w:tc>
        <w:tc>
          <w:tcPr>
            <w:tcW w:type="dxa" w:w="7056"/>
            <w:vAlign w:val="center"/>
          </w:tcPr>
          <w:p>
            <w:pPr>
              <w:spacing w:after="0"/>
            </w:pPr>
            <w:r/>
            <w:r>
              <w:rPr>
                <w:rFonts w:ascii="Aptos" w:hAnsi="Aptos"/>
                <w:b w:val="0"/>
                <w:sz w:val="17"/>
              </w:rPr>
              <w:t>PostgreSQL; uses the Week 2 logical schema and Week 3 ETL principles</w:t>
            </w:r>
          </w:p>
        </w:tc>
      </w:tr>
      <w:tr>
        <w:tc>
          <w:tcPr>
            <w:tcW w:type="dxa" w:w="2304"/>
            <w:vAlign w:val="center"/>
            <w:shd w:fill="F1F5F9"/>
          </w:tcPr>
          <w:p>
            <w:pPr>
              <w:spacing w:after="0"/>
            </w:pPr>
            <w:r/>
            <w:r>
              <w:rPr>
                <w:rFonts w:ascii="Aptos" w:hAnsi="Aptos"/>
                <w:b w:val="0"/>
                <w:sz w:val="17"/>
              </w:rPr>
              <w:t>Prepared by</w:t>
            </w:r>
          </w:p>
        </w:tc>
        <w:tc>
          <w:tcPr>
            <w:tcW w:type="dxa" w:w="7056"/>
            <w:vAlign w:val="center"/>
            <w:shd w:fill="F1F5F9"/>
          </w:tcPr>
          <w:p>
            <w:pPr>
              <w:spacing w:after="0"/>
            </w:pPr>
            <w:r/>
            <w:r>
              <w:rPr>
                <w:rFonts w:ascii="Aptos" w:hAnsi="Aptos"/>
                <w:b w:val="0"/>
                <w:sz w:val="17"/>
              </w:rPr>
              <w:t>[Your Name]</w:t>
            </w:r>
          </w:p>
        </w:tc>
      </w:tr>
    </w:tbl>
    <w:p>
      <w:pPr>
        <w:spacing w:after="0"/>
      </w:pPr>
    </w:p>
    <w:p>
      <w:pPr>
        <w:pStyle w:val="Heading1"/>
      </w:pPr>
      <w:r>
        <w:t>Executive Summary</w:t>
      </w:r>
    </w:p>
    <w:p>
      <w:r>
        <w:t>This report proposes a repeatable business reporting framework for an agribusiness analytics database. It defines operational and commercial metrics, supplies SQL queries that summarize crop production, yield, market prices, livestock inventory and seasonal patterns, and explains how the results can be presented to decision-makers.</w:t>
      </w:r>
    </w:p>
    <w:p>
      <w:r>
        <w:t>The strategy separates fact tables by their grain, aggregates each dataset before combining measures where necessary, and applies explicit date, region and currency filters. This reduces the risk of inflated totals caused by one-to-many joins. Reporting outputs are designed to answer practical questions: where production is strongest, whether yield is improving, how prices move across markets, and where further investigation is needed.</w:t>
      </w:r>
    </w:p>
    <w:p>
      <w:pPr>
        <w:pStyle w:val="Heading2"/>
      </w:pPr>
      <w:r>
        <w:t>Deliverables in this report</w:t>
      </w:r>
    </w:p>
    <w:p>
      <w:pPr>
        <w:pStyle w:val="ListBullet"/>
        <w:spacing w:after="20"/>
      </w:pPr>
      <w:r>
        <w:t>A KPI catalogue with definitions and business relevance.</w:t>
      </w:r>
    </w:p>
    <w:p>
      <w:pPr>
        <w:pStyle w:val="ListBullet"/>
        <w:spacing w:after="20"/>
      </w:pPr>
      <w:r>
        <w:t>PostgreSQL query examples using filters, grouping, sorting, joins and window functions.</w:t>
      </w:r>
    </w:p>
    <w:p>
      <w:pPr>
        <w:pStyle w:val="ListBullet"/>
        <w:spacing w:after="20"/>
      </w:pPr>
      <w:r>
        <w:t>A report structure and visualization recommendations.</w:t>
      </w:r>
    </w:p>
    <w:p>
      <w:pPr>
        <w:pStyle w:val="ListBullet"/>
        <w:spacing w:after="20"/>
      </w:pPr>
      <w:r>
        <w:t>Data reliability, query performance and implementation guidance.</w:t>
      </w:r>
    </w:p>
    <w:p>
      <w:r>
        <w:t>The examples are templates, not executed results. No actual KPI values, business outcomes or performance improvements are claimed because no live database or dataset was provided. Before use, confirm source data, measurement units and reporting periods.</w:t>
      </w:r>
    </w:p>
    <w:p>
      <w:r>
        <w:br w:type="page"/>
      </w:r>
    </w:p>
    <w:p>
      <w:pPr>
        <w:pStyle w:val="Heading1"/>
      </w:pPr>
      <w:r>
        <w:t>1. Reporting Objectives and Key Metrics</w:t>
      </w:r>
    </w:p>
    <w:p>
      <w:pPr>
        <w:pStyle w:val="Heading2"/>
      </w:pPr>
      <w:r>
        <w:t>1.1 Reporting objectives</w:t>
      </w:r>
    </w:p>
    <w:p>
      <w:pPr>
        <w:pStyle w:val="ListBullet"/>
        <w:spacing w:after="20"/>
      </w:pPr>
      <w:r>
        <w:t>Turn row-level agricultural records into clear, comparable indicators.</w:t>
      </w:r>
    </w:p>
    <w:p>
      <w:pPr>
        <w:pStyle w:val="ListBullet"/>
        <w:spacing w:after="20"/>
      </w:pPr>
      <w:r>
        <w:t>Compare crop performance across regions, farms and seasons.</w:t>
      </w:r>
    </w:p>
    <w:p>
      <w:pPr>
        <w:pStyle w:val="ListBullet"/>
        <w:spacing w:after="20"/>
      </w:pPr>
      <w:r>
        <w:t>Track market-price movement without mixing currencies or incompatible units.</w:t>
      </w:r>
    </w:p>
    <w:p>
      <w:pPr>
        <w:pStyle w:val="ListBullet"/>
        <w:spacing w:after="20"/>
      </w:pPr>
      <w:r>
        <w:t>Provide livestock inventory visibility based on the latest valid observation.</w:t>
      </w:r>
    </w:p>
    <w:p>
      <w:pPr>
        <w:pStyle w:val="ListBullet"/>
        <w:spacing w:after="20"/>
      </w:pPr>
      <w:r>
        <w:t>Support timely, evidence-based decisions while documenting data limitations.</w:t>
      </w:r>
    </w:p>
    <w:p>
      <w:pPr>
        <w:pStyle w:val="Heading2"/>
      </w:pPr>
      <w:r>
        <w:t>1.2 KPI catalogue</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7365D"/>
          </w:tcPr>
          <w:p>
            <w:pPr>
              <w:spacing w:after="0"/>
            </w:pPr>
            <w:r/>
            <w:r>
              <w:rPr>
                <w:rFonts w:ascii="Aptos" w:hAnsi="Aptos"/>
                <w:b/>
                <w:color w:val="FFFFFF"/>
                <w:sz w:val="14"/>
              </w:rPr>
              <w:t>Metric</w:t>
            </w:r>
          </w:p>
        </w:tc>
        <w:tc>
          <w:tcPr>
            <w:tcW w:type="dxa" w:w="4032"/>
            <w:vAlign w:val="center"/>
            <w:shd w:fill="17365D"/>
          </w:tcPr>
          <w:p>
            <w:pPr>
              <w:spacing w:after="0"/>
            </w:pPr>
            <w:r/>
            <w:r>
              <w:rPr>
                <w:rFonts w:ascii="Aptos" w:hAnsi="Aptos"/>
                <w:b/>
                <w:color w:val="FFFFFF"/>
                <w:sz w:val="14"/>
              </w:rPr>
              <w:t>Definition / formula</w:t>
            </w:r>
          </w:p>
        </w:tc>
        <w:tc>
          <w:tcPr>
            <w:tcW w:type="dxa" w:w="3384"/>
            <w:vAlign w:val="center"/>
            <w:shd w:fill="17365D"/>
          </w:tcPr>
          <w:p>
            <w:pPr>
              <w:spacing w:after="0"/>
            </w:pPr>
            <w:r/>
            <w:r>
              <w:rPr>
                <w:rFonts w:ascii="Aptos" w:hAnsi="Aptos"/>
                <w:b/>
                <w:color w:val="FFFFFF"/>
                <w:sz w:val="14"/>
              </w:rPr>
              <w:t>Decision value</w:t>
            </w:r>
          </w:p>
        </w:tc>
      </w:tr>
      <w:tr>
        <w:tc>
          <w:tcPr>
            <w:tcW w:type="dxa" w:w="1944"/>
            <w:vAlign w:val="center"/>
          </w:tcPr>
          <w:p>
            <w:pPr>
              <w:spacing w:after="0"/>
            </w:pPr>
            <w:r/>
            <w:r>
              <w:rPr>
                <w:rFonts w:ascii="Aptos" w:hAnsi="Aptos"/>
                <w:b w:val="0"/>
                <w:sz w:val="14"/>
              </w:rPr>
              <w:t>Total production</w:t>
            </w:r>
          </w:p>
        </w:tc>
        <w:tc>
          <w:tcPr>
            <w:tcW w:type="dxa" w:w="4032"/>
            <w:vAlign w:val="center"/>
          </w:tcPr>
          <w:p>
            <w:pPr>
              <w:spacing w:after="0"/>
            </w:pPr>
            <w:r/>
            <w:r>
              <w:rPr>
                <w:rFonts w:ascii="Aptos" w:hAnsi="Aptos"/>
                <w:b w:val="0"/>
                <w:sz w:val="14"/>
              </w:rPr>
              <w:t>SUM(quantity_tonnes) for a defined crop, region and period.</w:t>
            </w:r>
          </w:p>
        </w:tc>
        <w:tc>
          <w:tcPr>
            <w:tcW w:type="dxa" w:w="3384"/>
            <w:vAlign w:val="center"/>
          </w:tcPr>
          <w:p>
            <w:pPr>
              <w:spacing w:after="0"/>
            </w:pPr>
            <w:r/>
            <w:r>
              <w:rPr>
                <w:rFonts w:ascii="Aptos" w:hAnsi="Aptos"/>
                <w:b w:val="0"/>
                <w:sz w:val="14"/>
              </w:rPr>
              <w:t>Measures output and supports supply planning.</w:t>
            </w:r>
          </w:p>
        </w:tc>
      </w:tr>
      <w:tr>
        <w:tc>
          <w:tcPr>
            <w:tcW w:type="dxa" w:w="1944"/>
            <w:vAlign w:val="center"/>
            <w:shd w:fill="F1F5F9"/>
          </w:tcPr>
          <w:p>
            <w:pPr>
              <w:spacing w:after="0"/>
            </w:pPr>
            <w:r/>
            <w:r>
              <w:rPr>
                <w:rFonts w:ascii="Aptos" w:hAnsi="Aptos"/>
                <w:b w:val="0"/>
                <w:sz w:val="14"/>
              </w:rPr>
              <w:t>Crop yield</w:t>
            </w:r>
          </w:p>
        </w:tc>
        <w:tc>
          <w:tcPr>
            <w:tcW w:type="dxa" w:w="4032"/>
            <w:vAlign w:val="center"/>
            <w:shd w:fill="F1F5F9"/>
          </w:tcPr>
          <w:p>
            <w:pPr>
              <w:spacing w:after="0"/>
            </w:pPr>
            <w:r/>
            <w:r>
              <w:rPr>
                <w:rFonts w:ascii="Aptos" w:hAnsi="Aptos"/>
                <w:b w:val="0"/>
                <w:sz w:val="14"/>
              </w:rPr>
              <w:t>SUM(production) / SUM(area harvested or planted), using a consistent area definition.</w:t>
            </w:r>
          </w:p>
        </w:tc>
        <w:tc>
          <w:tcPr>
            <w:tcW w:type="dxa" w:w="3384"/>
            <w:vAlign w:val="center"/>
            <w:shd w:fill="F1F5F9"/>
          </w:tcPr>
          <w:p>
            <w:pPr>
              <w:spacing w:after="0"/>
            </w:pPr>
            <w:r/>
            <w:r>
              <w:rPr>
                <w:rFonts w:ascii="Aptos" w:hAnsi="Aptos"/>
                <w:b w:val="0"/>
                <w:sz w:val="14"/>
              </w:rPr>
              <w:t>Compares productivity while accounting for cultivated area.</w:t>
            </w:r>
          </w:p>
        </w:tc>
      </w:tr>
      <w:tr>
        <w:tc>
          <w:tcPr>
            <w:tcW w:type="dxa" w:w="1944"/>
            <w:vAlign w:val="center"/>
          </w:tcPr>
          <w:p>
            <w:pPr>
              <w:spacing w:after="0"/>
            </w:pPr>
            <w:r/>
            <w:r>
              <w:rPr>
                <w:rFonts w:ascii="Aptos" w:hAnsi="Aptos"/>
                <w:b w:val="0"/>
                <w:sz w:val="14"/>
              </w:rPr>
              <w:t>Production change (%)</w:t>
            </w:r>
          </w:p>
        </w:tc>
        <w:tc>
          <w:tcPr>
            <w:tcW w:type="dxa" w:w="4032"/>
            <w:vAlign w:val="center"/>
          </w:tcPr>
          <w:p>
            <w:pPr>
              <w:spacing w:after="0"/>
            </w:pPr>
            <w:r/>
            <w:r>
              <w:rPr>
                <w:rFonts w:ascii="Aptos" w:hAnsi="Aptos"/>
                <w:b w:val="0"/>
                <w:sz w:val="14"/>
              </w:rPr>
              <w:t>(current period − prior period) / prior period × 100; undefined if prior period is zero.</w:t>
            </w:r>
          </w:p>
        </w:tc>
        <w:tc>
          <w:tcPr>
            <w:tcW w:type="dxa" w:w="3384"/>
            <w:vAlign w:val="center"/>
          </w:tcPr>
          <w:p>
            <w:pPr>
              <w:spacing w:after="0"/>
            </w:pPr>
            <w:r/>
            <w:r>
              <w:rPr>
                <w:rFonts w:ascii="Aptos" w:hAnsi="Aptos"/>
                <w:b w:val="0"/>
                <w:sz w:val="14"/>
              </w:rPr>
              <w:t>Highlights growth, decline or unusual season-to-season changes.</w:t>
            </w:r>
          </w:p>
        </w:tc>
      </w:tr>
      <w:tr>
        <w:tc>
          <w:tcPr>
            <w:tcW w:type="dxa" w:w="1944"/>
            <w:vAlign w:val="center"/>
            <w:shd w:fill="F1F5F9"/>
          </w:tcPr>
          <w:p>
            <w:pPr>
              <w:spacing w:after="0"/>
            </w:pPr>
            <w:r/>
            <w:r>
              <w:rPr>
                <w:rFonts w:ascii="Aptos" w:hAnsi="Aptos"/>
                <w:b w:val="0"/>
                <w:sz w:val="14"/>
              </w:rPr>
              <w:t>Average market price</w:t>
            </w:r>
          </w:p>
        </w:tc>
        <w:tc>
          <w:tcPr>
            <w:tcW w:type="dxa" w:w="4032"/>
            <w:vAlign w:val="center"/>
            <w:shd w:fill="F1F5F9"/>
          </w:tcPr>
          <w:p>
            <w:pPr>
              <w:spacing w:after="0"/>
            </w:pPr>
            <w:r/>
            <w:r>
              <w:rPr>
                <w:rFonts w:ascii="Aptos" w:hAnsi="Aptos"/>
                <w:b w:val="0"/>
                <w:sz w:val="14"/>
              </w:rPr>
              <w:t>AVG(price per standardized unit), for one currency, grade and period.</w:t>
            </w:r>
          </w:p>
        </w:tc>
        <w:tc>
          <w:tcPr>
            <w:tcW w:type="dxa" w:w="3384"/>
            <w:vAlign w:val="center"/>
            <w:shd w:fill="F1F5F9"/>
          </w:tcPr>
          <w:p>
            <w:pPr>
              <w:spacing w:after="0"/>
            </w:pPr>
            <w:r/>
            <w:r>
              <w:rPr>
                <w:rFonts w:ascii="Aptos" w:hAnsi="Aptos"/>
                <w:b w:val="0"/>
                <w:sz w:val="14"/>
              </w:rPr>
              <w:t>Supports selling timing, price monitoring and market comparison.</w:t>
            </w:r>
          </w:p>
        </w:tc>
      </w:tr>
      <w:tr>
        <w:tc>
          <w:tcPr>
            <w:tcW w:type="dxa" w:w="1944"/>
            <w:vAlign w:val="center"/>
          </w:tcPr>
          <w:p>
            <w:pPr>
              <w:spacing w:after="0"/>
            </w:pPr>
            <w:r/>
            <w:r>
              <w:rPr>
                <w:rFonts w:ascii="Aptos" w:hAnsi="Aptos"/>
                <w:b w:val="0"/>
                <w:sz w:val="14"/>
              </w:rPr>
              <w:t>Price change (%)</w:t>
            </w:r>
          </w:p>
        </w:tc>
        <w:tc>
          <w:tcPr>
            <w:tcW w:type="dxa" w:w="4032"/>
            <w:vAlign w:val="center"/>
          </w:tcPr>
          <w:p>
            <w:pPr>
              <w:spacing w:after="0"/>
            </w:pPr>
            <w:r/>
            <w:r>
              <w:rPr>
                <w:rFonts w:ascii="Aptos" w:hAnsi="Aptos"/>
                <w:b w:val="0"/>
                <w:sz w:val="14"/>
              </w:rPr>
              <w:t>(current period average − prior period average) / prior period average × 100.</w:t>
            </w:r>
          </w:p>
        </w:tc>
        <w:tc>
          <w:tcPr>
            <w:tcW w:type="dxa" w:w="3384"/>
            <w:vAlign w:val="center"/>
          </w:tcPr>
          <w:p>
            <w:pPr>
              <w:spacing w:after="0"/>
            </w:pPr>
            <w:r/>
            <w:r>
              <w:rPr>
                <w:rFonts w:ascii="Aptos" w:hAnsi="Aptos"/>
                <w:b w:val="0"/>
                <w:sz w:val="14"/>
              </w:rPr>
              <w:t>Shows price direction and magnitude.</w:t>
            </w:r>
          </w:p>
        </w:tc>
      </w:tr>
      <w:tr>
        <w:tc>
          <w:tcPr>
            <w:tcW w:type="dxa" w:w="1944"/>
            <w:vAlign w:val="center"/>
            <w:shd w:fill="F1F5F9"/>
          </w:tcPr>
          <w:p>
            <w:pPr>
              <w:spacing w:after="0"/>
            </w:pPr>
            <w:r/>
            <w:r>
              <w:rPr>
                <w:rFonts w:ascii="Aptos" w:hAnsi="Aptos"/>
                <w:b w:val="0"/>
                <w:sz w:val="14"/>
              </w:rPr>
              <w:t>Livestock inventory</w:t>
            </w:r>
          </w:p>
        </w:tc>
        <w:tc>
          <w:tcPr>
            <w:tcW w:type="dxa" w:w="4032"/>
            <w:vAlign w:val="center"/>
            <w:shd w:fill="F1F5F9"/>
          </w:tcPr>
          <w:p>
            <w:pPr>
              <w:spacing w:after="0"/>
            </w:pPr>
            <w:r/>
            <w:r>
              <w:rPr>
                <w:rFonts w:ascii="Aptos" w:hAnsi="Aptos"/>
                <w:b w:val="0"/>
                <w:sz w:val="14"/>
              </w:rPr>
              <w:t>Latest animal_count by farm and livestock type, not the sum of every historical observation.</w:t>
            </w:r>
          </w:p>
        </w:tc>
        <w:tc>
          <w:tcPr>
            <w:tcW w:type="dxa" w:w="3384"/>
            <w:vAlign w:val="center"/>
            <w:shd w:fill="F1F5F9"/>
          </w:tcPr>
          <w:p>
            <w:pPr>
              <w:spacing w:after="0"/>
            </w:pPr>
            <w:r/>
            <w:r>
              <w:rPr>
                <w:rFonts w:ascii="Aptos" w:hAnsi="Aptos"/>
                <w:b w:val="0"/>
                <w:sz w:val="14"/>
              </w:rPr>
              <w:t>Supports capacity, feed planning and inventory review.</w:t>
            </w:r>
          </w:p>
        </w:tc>
      </w:tr>
      <w:tr>
        <w:tc>
          <w:tcPr>
            <w:tcW w:type="dxa" w:w="1944"/>
            <w:vAlign w:val="center"/>
          </w:tcPr>
          <w:p>
            <w:pPr>
              <w:spacing w:after="0"/>
            </w:pPr>
            <w:r/>
            <w:r>
              <w:rPr>
                <w:rFonts w:ascii="Aptos" w:hAnsi="Aptos"/>
                <w:b w:val="0"/>
                <w:sz w:val="14"/>
              </w:rPr>
              <w:t>Production concentration</w:t>
            </w:r>
          </w:p>
        </w:tc>
        <w:tc>
          <w:tcPr>
            <w:tcW w:type="dxa" w:w="4032"/>
            <w:vAlign w:val="center"/>
          </w:tcPr>
          <w:p>
            <w:pPr>
              <w:spacing w:after="0"/>
            </w:pPr>
            <w:r/>
            <w:r>
              <w:rPr>
                <w:rFonts w:ascii="Aptos" w:hAnsi="Aptos"/>
                <w:b w:val="0"/>
                <w:sz w:val="14"/>
              </w:rPr>
              <w:t>Region/crop production divided by total production for the same scope × 100.</w:t>
            </w:r>
          </w:p>
        </w:tc>
        <w:tc>
          <w:tcPr>
            <w:tcW w:type="dxa" w:w="3384"/>
            <w:vAlign w:val="center"/>
          </w:tcPr>
          <w:p>
            <w:pPr>
              <w:spacing w:after="0"/>
            </w:pPr>
            <w:r/>
            <w:r>
              <w:rPr>
                <w:rFonts w:ascii="Aptos" w:hAnsi="Aptos"/>
                <w:b w:val="0"/>
                <w:sz w:val="14"/>
              </w:rPr>
              <w:t>Shows reliance on a small number of regions or commodities.</w:t>
            </w:r>
          </w:p>
        </w:tc>
      </w:tr>
      <w:tr>
        <w:tc>
          <w:tcPr>
            <w:tcW w:type="dxa" w:w="1944"/>
            <w:vAlign w:val="center"/>
            <w:shd w:fill="F1F5F9"/>
          </w:tcPr>
          <w:p>
            <w:pPr>
              <w:spacing w:after="0"/>
            </w:pPr>
            <w:r/>
            <w:r>
              <w:rPr>
                <w:rFonts w:ascii="Aptos" w:hAnsi="Aptos"/>
                <w:b w:val="0"/>
                <w:sz w:val="14"/>
              </w:rPr>
              <w:t>Data quality rate</w:t>
            </w:r>
          </w:p>
        </w:tc>
        <w:tc>
          <w:tcPr>
            <w:tcW w:type="dxa" w:w="4032"/>
            <w:vAlign w:val="center"/>
            <w:shd w:fill="F1F5F9"/>
          </w:tcPr>
          <w:p>
            <w:pPr>
              <w:spacing w:after="0"/>
            </w:pPr>
            <w:r/>
            <w:r>
              <w:rPr>
                <w:rFonts w:ascii="Aptos" w:hAnsi="Aptos"/>
                <w:b w:val="0"/>
                <w:sz w:val="14"/>
              </w:rPr>
              <w:t>Accepted rows / parsed rows × 100, alongside reject count.</w:t>
            </w:r>
          </w:p>
        </w:tc>
        <w:tc>
          <w:tcPr>
            <w:tcW w:type="dxa" w:w="3384"/>
            <w:vAlign w:val="center"/>
            <w:shd w:fill="F1F5F9"/>
          </w:tcPr>
          <w:p>
            <w:pPr>
              <w:spacing w:after="0"/>
            </w:pPr>
            <w:r/>
            <w:r>
              <w:rPr>
                <w:rFonts w:ascii="Aptos" w:hAnsi="Aptos"/>
                <w:b w:val="0"/>
                <w:sz w:val="14"/>
              </w:rPr>
              <w:t>Indicates whether reported results are based on reliable source data.</w:t>
            </w:r>
          </w:p>
        </w:tc>
      </w:tr>
    </w:tbl>
    <w:p>
      <w:pPr>
        <w:spacing w:after="0"/>
      </w:pPr>
    </w:p>
    <w:p>
      <w:pPr>
        <w:pStyle w:val="Heading2"/>
      </w:pPr>
      <w:r>
        <w:t>1.3 Metric definitions must be explicit</w:t>
      </w:r>
    </w:p>
    <w:p>
      <w:r>
        <w:t>Yield is meaningful only when numerator and denominator describe the same crop, season and reporting population. If area_planted_ha is used, label the result accordingly; if harvested area is available, prefer it for standard yield reporting. Average prices should not blend currencies, grades or different units. Inventory is a snapshot metric, so summing all historical livestock observations would double-count animals over time.</w:t>
      </w:r>
    </w:p>
    <w:p>
      <w:pPr>
        <w:pStyle w:val="Heading2"/>
      </w:pPr>
      <w:r>
        <w:t>1.4 Reporting dimensions</w:t>
      </w:r>
    </w:p>
    <w:p>
      <w:r>
        <w:t>Common dimensions include date/month/season, crop, region, farm, market, livestock type and currency. Every report should display the selected time range, geography, units and refresh timestamp. Comparisons should use consistent boundaries and like-for-like periods.</w:t>
      </w:r>
    </w:p>
    <w:p>
      <w:r>
        <w:br w:type="page"/>
      </w:r>
    </w:p>
    <w:p>
      <w:pPr>
        <w:pStyle w:val="Heading1"/>
      </w:pPr>
      <w:r>
        <w:t>2. Data Model and Aggregation Strategy</w:t>
      </w:r>
    </w:p>
    <w:p>
      <w:pPr>
        <w:pStyle w:val="Heading2"/>
      </w:pPr>
      <w:r>
        <w:t>2.1 Assumed tables</w:t>
      </w:r>
    </w:p>
    <w:tbl>
      <w:tblPr>
        <w:tblStyle w:val="TableGrid"/>
        <w:tblW w:type="auto" w:w="0"/>
        <w:jc w:val="center"/>
        <w:tblLook w:firstColumn="1" w:firstRow="1" w:lastColumn="0" w:lastRow="0" w:noHBand="0" w:noVBand="1" w:val="04A0"/>
      </w:tblPr>
      <w:tblGrid>
        <w:gridCol w:w="3427"/>
        <w:gridCol w:w="3427"/>
        <w:gridCol w:w="3427"/>
      </w:tblGrid>
      <w:tr>
        <w:tc>
          <w:tcPr>
            <w:tcW w:type="dxa" w:w="2232"/>
            <w:vAlign w:val="center"/>
            <w:shd w:fill="17365D"/>
          </w:tcPr>
          <w:p>
            <w:pPr>
              <w:spacing w:after="0"/>
            </w:pPr>
            <w:r/>
            <w:r>
              <w:rPr>
                <w:rFonts w:ascii="Aptos" w:hAnsi="Aptos"/>
                <w:b/>
                <w:color w:val="FFFFFF"/>
                <w:sz w:val="14"/>
              </w:rPr>
              <w:t>Table</w:t>
            </w:r>
          </w:p>
        </w:tc>
        <w:tc>
          <w:tcPr>
            <w:tcW w:type="dxa" w:w="3744"/>
            <w:vAlign w:val="center"/>
            <w:shd w:fill="17365D"/>
          </w:tcPr>
          <w:p>
            <w:pPr>
              <w:spacing w:after="0"/>
            </w:pPr>
            <w:r/>
            <w:r>
              <w:rPr>
                <w:rFonts w:ascii="Aptos" w:hAnsi="Aptos"/>
                <w:b/>
                <w:color w:val="FFFFFF"/>
                <w:sz w:val="14"/>
              </w:rPr>
              <w:t>Grain</w:t>
            </w:r>
          </w:p>
        </w:tc>
        <w:tc>
          <w:tcPr>
            <w:tcW w:type="dxa" w:w="3384"/>
            <w:vAlign w:val="center"/>
            <w:shd w:fill="17365D"/>
          </w:tcPr>
          <w:p>
            <w:pPr>
              <w:spacing w:after="0"/>
            </w:pPr>
            <w:r/>
            <w:r>
              <w:rPr>
                <w:rFonts w:ascii="Aptos" w:hAnsi="Aptos"/>
                <w:b/>
                <w:color w:val="FFFFFF"/>
                <w:sz w:val="14"/>
              </w:rPr>
              <w:t>Primary measures / dimensions</w:t>
            </w:r>
          </w:p>
        </w:tc>
      </w:tr>
      <w:tr>
        <w:tc>
          <w:tcPr>
            <w:tcW w:type="dxa" w:w="2232"/>
            <w:vAlign w:val="center"/>
          </w:tcPr>
          <w:p>
            <w:pPr>
              <w:spacing w:after="0"/>
            </w:pPr>
            <w:r/>
            <w:r>
              <w:rPr>
                <w:rFonts w:ascii="Aptos" w:hAnsi="Aptos"/>
                <w:b w:val="0"/>
                <w:sz w:val="14"/>
              </w:rPr>
              <w:t>region</w:t>
            </w:r>
          </w:p>
        </w:tc>
        <w:tc>
          <w:tcPr>
            <w:tcW w:type="dxa" w:w="3744"/>
            <w:vAlign w:val="center"/>
          </w:tcPr>
          <w:p>
            <w:pPr>
              <w:spacing w:after="0"/>
            </w:pPr>
            <w:r/>
            <w:r>
              <w:rPr>
                <w:rFonts w:ascii="Aptos" w:hAnsi="Aptos"/>
                <w:b w:val="0"/>
                <w:sz w:val="14"/>
              </w:rPr>
              <w:t>One administrative region</w:t>
            </w:r>
          </w:p>
        </w:tc>
        <w:tc>
          <w:tcPr>
            <w:tcW w:type="dxa" w:w="3384"/>
            <w:vAlign w:val="center"/>
          </w:tcPr>
          <w:p>
            <w:pPr>
              <w:spacing w:after="0"/>
            </w:pPr>
            <w:r/>
            <w:r>
              <w:rPr>
                <w:rFonts w:ascii="Aptos" w:hAnsi="Aptos"/>
                <w:b w:val="0"/>
                <w:sz w:val="14"/>
              </w:rPr>
              <w:t>region_id, region_name, country_code</w:t>
            </w:r>
          </w:p>
        </w:tc>
      </w:tr>
      <w:tr>
        <w:tc>
          <w:tcPr>
            <w:tcW w:type="dxa" w:w="2232"/>
            <w:vAlign w:val="center"/>
            <w:shd w:fill="F1F5F9"/>
          </w:tcPr>
          <w:p>
            <w:pPr>
              <w:spacing w:after="0"/>
            </w:pPr>
            <w:r/>
            <w:r>
              <w:rPr>
                <w:rFonts w:ascii="Aptos" w:hAnsi="Aptos"/>
                <w:b w:val="0"/>
                <w:sz w:val="14"/>
              </w:rPr>
              <w:t>farm</w:t>
            </w:r>
          </w:p>
        </w:tc>
        <w:tc>
          <w:tcPr>
            <w:tcW w:type="dxa" w:w="3744"/>
            <w:vAlign w:val="center"/>
            <w:shd w:fill="F1F5F9"/>
          </w:tcPr>
          <w:p>
            <w:pPr>
              <w:spacing w:after="0"/>
            </w:pPr>
            <w:r/>
            <w:r>
              <w:rPr>
                <w:rFonts w:ascii="Aptos" w:hAnsi="Aptos"/>
                <w:b w:val="0"/>
                <w:sz w:val="14"/>
              </w:rPr>
              <w:t>One registered farm</w:t>
            </w:r>
          </w:p>
        </w:tc>
        <w:tc>
          <w:tcPr>
            <w:tcW w:type="dxa" w:w="3384"/>
            <w:vAlign w:val="center"/>
            <w:shd w:fill="F1F5F9"/>
          </w:tcPr>
          <w:p>
            <w:pPr>
              <w:spacing w:after="0"/>
            </w:pPr>
            <w:r/>
            <w:r>
              <w:rPr>
                <w:rFonts w:ascii="Aptos" w:hAnsi="Aptos"/>
                <w:b w:val="0"/>
                <w:sz w:val="14"/>
              </w:rPr>
              <w:t>farm_id, region_id, area_hectares</w:t>
            </w:r>
          </w:p>
        </w:tc>
      </w:tr>
      <w:tr>
        <w:tc>
          <w:tcPr>
            <w:tcW w:type="dxa" w:w="2232"/>
            <w:vAlign w:val="center"/>
          </w:tcPr>
          <w:p>
            <w:pPr>
              <w:spacing w:after="0"/>
            </w:pPr>
            <w:r/>
            <w:r>
              <w:rPr>
                <w:rFonts w:ascii="Aptos" w:hAnsi="Aptos"/>
                <w:b w:val="0"/>
                <w:sz w:val="14"/>
              </w:rPr>
              <w:t>crop</w:t>
            </w:r>
          </w:p>
        </w:tc>
        <w:tc>
          <w:tcPr>
            <w:tcW w:type="dxa" w:w="3744"/>
            <w:vAlign w:val="center"/>
          </w:tcPr>
          <w:p>
            <w:pPr>
              <w:spacing w:after="0"/>
            </w:pPr>
            <w:r/>
            <w:r>
              <w:rPr>
                <w:rFonts w:ascii="Aptos" w:hAnsi="Aptos"/>
                <w:b w:val="0"/>
                <w:sz w:val="14"/>
              </w:rPr>
              <w:t>One crop reference</w:t>
            </w:r>
          </w:p>
        </w:tc>
        <w:tc>
          <w:tcPr>
            <w:tcW w:type="dxa" w:w="3384"/>
            <w:vAlign w:val="center"/>
          </w:tcPr>
          <w:p>
            <w:pPr>
              <w:spacing w:after="0"/>
            </w:pPr>
            <w:r/>
            <w:r>
              <w:rPr>
                <w:rFonts w:ascii="Aptos" w:hAnsi="Aptos"/>
                <w:b w:val="0"/>
                <w:sz w:val="14"/>
              </w:rPr>
              <w:t>crop_id, crop_name, standard_unit</w:t>
            </w:r>
          </w:p>
        </w:tc>
      </w:tr>
      <w:tr>
        <w:tc>
          <w:tcPr>
            <w:tcW w:type="dxa" w:w="2232"/>
            <w:vAlign w:val="center"/>
            <w:shd w:fill="F1F5F9"/>
          </w:tcPr>
          <w:p>
            <w:pPr>
              <w:spacing w:after="0"/>
            </w:pPr>
            <w:r/>
            <w:r>
              <w:rPr>
                <w:rFonts w:ascii="Aptos" w:hAnsi="Aptos"/>
                <w:b w:val="0"/>
                <w:sz w:val="14"/>
              </w:rPr>
              <w:t>harvest</w:t>
            </w:r>
          </w:p>
        </w:tc>
        <w:tc>
          <w:tcPr>
            <w:tcW w:type="dxa" w:w="3744"/>
            <w:vAlign w:val="center"/>
            <w:shd w:fill="F1F5F9"/>
          </w:tcPr>
          <w:p>
            <w:pPr>
              <w:spacing w:after="0"/>
            </w:pPr>
            <w:r/>
            <w:r>
              <w:rPr>
                <w:rFonts w:ascii="Aptos" w:hAnsi="Aptos"/>
                <w:b w:val="0"/>
                <w:sz w:val="14"/>
              </w:rPr>
              <w:t>One farm/crop harvest record</w:t>
            </w:r>
          </w:p>
        </w:tc>
        <w:tc>
          <w:tcPr>
            <w:tcW w:type="dxa" w:w="3384"/>
            <w:vAlign w:val="center"/>
            <w:shd w:fill="F1F5F9"/>
          </w:tcPr>
          <w:p>
            <w:pPr>
              <w:spacing w:after="0"/>
            </w:pPr>
            <w:r/>
            <w:r>
              <w:rPr>
                <w:rFonts w:ascii="Aptos" w:hAnsi="Aptos"/>
                <w:b w:val="0"/>
                <w:sz w:val="14"/>
              </w:rPr>
              <w:t>farm_id, crop_id, harvest_date, season_year, area_planted_ha, quantity_tonnes</w:t>
            </w:r>
          </w:p>
        </w:tc>
      </w:tr>
      <w:tr>
        <w:tc>
          <w:tcPr>
            <w:tcW w:type="dxa" w:w="2232"/>
            <w:vAlign w:val="center"/>
          </w:tcPr>
          <w:p>
            <w:pPr>
              <w:spacing w:after="0"/>
            </w:pPr>
            <w:r/>
            <w:r>
              <w:rPr>
                <w:rFonts w:ascii="Aptos" w:hAnsi="Aptos"/>
                <w:b w:val="0"/>
                <w:sz w:val="14"/>
              </w:rPr>
              <w:t>market</w:t>
            </w:r>
          </w:p>
        </w:tc>
        <w:tc>
          <w:tcPr>
            <w:tcW w:type="dxa" w:w="3744"/>
            <w:vAlign w:val="center"/>
          </w:tcPr>
          <w:p>
            <w:pPr>
              <w:spacing w:after="0"/>
            </w:pPr>
            <w:r/>
            <w:r>
              <w:rPr>
                <w:rFonts w:ascii="Aptos" w:hAnsi="Aptos"/>
                <w:b w:val="0"/>
                <w:sz w:val="14"/>
              </w:rPr>
              <w:t>One market</w:t>
            </w:r>
          </w:p>
        </w:tc>
        <w:tc>
          <w:tcPr>
            <w:tcW w:type="dxa" w:w="3384"/>
            <w:vAlign w:val="center"/>
          </w:tcPr>
          <w:p>
            <w:pPr>
              <w:spacing w:after="0"/>
            </w:pPr>
            <w:r/>
            <w:r>
              <w:rPr>
                <w:rFonts w:ascii="Aptos" w:hAnsi="Aptos"/>
                <w:b w:val="0"/>
                <w:sz w:val="14"/>
              </w:rPr>
              <w:t>market_id, market_name, region_id</w:t>
            </w:r>
          </w:p>
        </w:tc>
      </w:tr>
      <w:tr>
        <w:tc>
          <w:tcPr>
            <w:tcW w:type="dxa" w:w="2232"/>
            <w:vAlign w:val="center"/>
            <w:shd w:fill="F1F5F9"/>
          </w:tcPr>
          <w:p>
            <w:pPr>
              <w:spacing w:after="0"/>
            </w:pPr>
            <w:r/>
            <w:r>
              <w:rPr>
                <w:rFonts w:ascii="Aptos" w:hAnsi="Aptos"/>
                <w:b w:val="0"/>
                <w:sz w:val="14"/>
              </w:rPr>
              <w:t>market_price</w:t>
            </w:r>
          </w:p>
        </w:tc>
        <w:tc>
          <w:tcPr>
            <w:tcW w:type="dxa" w:w="3744"/>
            <w:vAlign w:val="center"/>
            <w:shd w:fill="F1F5F9"/>
          </w:tcPr>
          <w:p>
            <w:pPr>
              <w:spacing w:after="0"/>
            </w:pPr>
            <w:r/>
            <w:r>
              <w:rPr>
                <w:rFonts w:ascii="Aptos" w:hAnsi="Aptos"/>
                <w:b w:val="0"/>
                <w:sz w:val="14"/>
              </w:rPr>
              <w:t>One market/crop/date/currency quote (or finer if source provides grades)</w:t>
            </w:r>
          </w:p>
        </w:tc>
        <w:tc>
          <w:tcPr>
            <w:tcW w:type="dxa" w:w="3384"/>
            <w:vAlign w:val="center"/>
            <w:shd w:fill="F1F5F9"/>
          </w:tcPr>
          <w:p>
            <w:pPr>
              <w:spacing w:after="0"/>
            </w:pPr>
            <w:r/>
            <w:r>
              <w:rPr>
                <w:rFonts w:ascii="Aptos" w:hAnsi="Aptos"/>
                <w:b w:val="0"/>
                <w:sz w:val="14"/>
              </w:rPr>
              <w:t>market_id, crop_id, observed_on, price_per_tonne, currency_code</w:t>
            </w:r>
          </w:p>
        </w:tc>
      </w:tr>
      <w:tr>
        <w:tc>
          <w:tcPr>
            <w:tcW w:type="dxa" w:w="2232"/>
            <w:vAlign w:val="center"/>
          </w:tcPr>
          <w:p>
            <w:pPr>
              <w:spacing w:after="0"/>
            </w:pPr>
            <w:r/>
            <w:r>
              <w:rPr>
                <w:rFonts w:ascii="Aptos" w:hAnsi="Aptos"/>
                <w:b w:val="0"/>
                <w:sz w:val="14"/>
              </w:rPr>
              <w:t>livestock_observation</w:t>
            </w:r>
          </w:p>
        </w:tc>
        <w:tc>
          <w:tcPr>
            <w:tcW w:type="dxa" w:w="3744"/>
            <w:vAlign w:val="center"/>
          </w:tcPr>
          <w:p>
            <w:pPr>
              <w:spacing w:after="0"/>
            </w:pPr>
            <w:r/>
            <w:r>
              <w:rPr>
                <w:rFonts w:ascii="Aptos" w:hAnsi="Aptos"/>
                <w:b w:val="0"/>
                <w:sz w:val="14"/>
              </w:rPr>
              <w:t>One farm/type/date observation</w:t>
            </w:r>
          </w:p>
        </w:tc>
        <w:tc>
          <w:tcPr>
            <w:tcW w:type="dxa" w:w="3384"/>
            <w:vAlign w:val="center"/>
          </w:tcPr>
          <w:p>
            <w:pPr>
              <w:spacing w:after="0"/>
            </w:pPr>
            <w:r/>
            <w:r>
              <w:rPr>
                <w:rFonts w:ascii="Aptos" w:hAnsi="Aptos"/>
                <w:b w:val="0"/>
                <w:sz w:val="14"/>
              </w:rPr>
              <w:t>farm_id, livestock_type_id, observed_on, animal_count</w:t>
            </w:r>
          </w:p>
        </w:tc>
      </w:tr>
      <w:tr>
        <w:tc>
          <w:tcPr>
            <w:tcW w:type="dxa" w:w="2232"/>
            <w:vAlign w:val="center"/>
            <w:shd w:fill="F1F5F9"/>
          </w:tcPr>
          <w:p>
            <w:pPr>
              <w:spacing w:after="0"/>
            </w:pPr>
            <w:r/>
            <w:r>
              <w:rPr>
                <w:rFonts w:ascii="Aptos" w:hAnsi="Aptos"/>
                <w:b w:val="0"/>
                <w:sz w:val="14"/>
              </w:rPr>
              <w:t>etl_batch / etl_reject</w:t>
            </w:r>
          </w:p>
        </w:tc>
        <w:tc>
          <w:tcPr>
            <w:tcW w:type="dxa" w:w="3744"/>
            <w:vAlign w:val="center"/>
            <w:shd w:fill="F1F5F9"/>
          </w:tcPr>
          <w:p>
            <w:pPr>
              <w:spacing w:after="0"/>
            </w:pPr>
            <w:r/>
            <w:r>
              <w:rPr>
                <w:rFonts w:ascii="Aptos" w:hAnsi="Aptos"/>
                <w:b w:val="0"/>
                <w:sz w:val="14"/>
              </w:rPr>
              <w:t>One ETL batch / one rejected source row</w:t>
            </w:r>
          </w:p>
        </w:tc>
        <w:tc>
          <w:tcPr>
            <w:tcW w:type="dxa" w:w="3384"/>
            <w:vAlign w:val="center"/>
            <w:shd w:fill="F1F5F9"/>
          </w:tcPr>
          <w:p>
            <w:pPr>
              <w:spacing w:after="0"/>
            </w:pPr>
            <w:r/>
            <w:r>
              <w:rPr>
                <w:rFonts w:ascii="Aptos" w:hAnsi="Aptos"/>
                <w:b w:val="0"/>
                <w:sz w:val="14"/>
              </w:rPr>
              <w:t>source, status, row counts, reason code</w:t>
            </w:r>
          </w:p>
        </w:tc>
      </w:tr>
    </w:tbl>
    <w:p>
      <w:pPr>
        <w:spacing w:after="0"/>
      </w:pPr>
    </w:p>
    <w:p>
      <w:pPr>
        <w:pStyle w:val="Heading2"/>
      </w:pPr>
      <w:r>
        <w:t>2.2 Aggregation workflow</w:t>
      </w:r>
    </w:p>
    <w:p>
      <w:pPr>
        <w:ind w:left="360"/>
      </w:pPr>
      <w:r>
        <w:rPr>
          <w:rFonts w:ascii="Consolas" w:hAnsi="Consolas"/>
          <w:color w:val="17365D"/>
          <w:sz w:val="16"/>
        </w:rPr>
        <w:t>SOURCE FACTS</w:t>
        <w:br/>
        <w:t xml:space="preserve">  ├─ Harvest facts ──&gt; aggregate by crop / region / period ──&gt; production &amp; yield</w:t>
        <w:br/>
        <w:t xml:space="preserve">  ├─ Price facts ────&gt; aggregate by market / crop / month ──&gt; price trends</w:t>
        <w:br/>
        <w:t xml:space="preserve">  ├─ Livestock facts ─&gt; choose latest observation ──────────&gt; inventory snapshot</w:t>
        <w:br/>
        <w:t xml:space="preserve">  └─ ETL audit facts ─&gt; count accepted/rejected rows ───────&gt; data quality</w:t>
        <w:br/>
        <w:t xml:space="preserve">                                      │</w:t>
        <w:br/>
        <w:t xml:space="preserve">                                      ▼</w:t>
        <w:br/>
        <w:t xml:space="preserve">                      VALIDATE → KPI TABLES / QUERY VIEWS</w:t>
        <w:br/>
        <w:t xml:space="preserve">                                      │</w:t>
        <w:br/>
        <w:t xml:space="preserve">                                      ▼</w:t>
        <w:br/>
        <w:t xml:space="preserve">                         MANAGEMENT REPORT / DASHBOARD</w:t>
      </w:r>
    </w:p>
    <w:p>
      <w:pPr>
        <w:pStyle w:val="Heading2"/>
      </w:pPr>
      <w:r>
        <w:t>2.3 Aggregation rules</w:t>
      </w:r>
    </w:p>
    <w:p>
      <w:pPr>
        <w:pStyle w:val="ListBullet"/>
        <w:spacing w:after="20"/>
      </w:pPr>
      <w:r>
        <w:t>Filter the time period and required geography before aggregation when possible.</w:t>
      </w:r>
    </w:p>
    <w:p>
      <w:pPr>
        <w:pStyle w:val="ListBullet"/>
        <w:spacing w:after="20"/>
      </w:pPr>
      <w:r>
        <w:t>Group by the dimensions needed to answer the business question—avoid overly granular outputs that obscure trends.</w:t>
      </w:r>
    </w:p>
    <w:p>
      <w:pPr>
        <w:pStyle w:val="ListBullet"/>
        <w:spacing w:after="20"/>
      </w:pPr>
      <w:r>
        <w:t>Calculate ratios from summed numerators and denominators; do not average farm-level yields unless an unweighted average is explicitly intended.</w:t>
      </w:r>
    </w:p>
    <w:p>
      <w:pPr>
        <w:pStyle w:val="ListBullet"/>
        <w:spacing w:after="20"/>
      </w:pPr>
      <w:r>
        <w:t>Aggregate separate fact tables independently before joining them to a shared dimension, preventing row multiplication.</w:t>
      </w:r>
    </w:p>
    <w:p>
      <w:pPr>
        <w:pStyle w:val="ListBullet"/>
        <w:spacing w:after="20"/>
      </w:pPr>
      <w:r>
        <w:t>Use explicit units and currency filters, and treat missing values separately from zero.</w:t>
      </w:r>
    </w:p>
    <w:p>
      <w:pPr>
        <w:pStyle w:val="ListBullet"/>
        <w:spacing w:after="20"/>
      </w:pPr>
      <w:r>
        <w:t>Use a defined business key and tie-break rule when selecting latest records.</w:t>
      </w:r>
    </w:p>
    <w:p>
      <w:pPr>
        <w:pStyle w:val="Heading2"/>
      </w:pPr>
      <w:r>
        <w:t>2.4 Parameter conventions</w:t>
      </w:r>
    </w:p>
    <w:p>
      <w:r>
        <w:t>Examples use literal dates for readability. In an application, replace them with bound parameters such as :start_date, :end_date and :region_id. Use half-open date intervals (date &gt;= start and date &lt; end) so all records in the intended period are included and indexes can be used efficiently.</w:t>
      </w:r>
    </w:p>
    <w:p>
      <w:r>
        <w:br w:type="page"/>
      </w:r>
    </w:p>
    <w:p>
      <w:pPr>
        <w:pStyle w:val="Heading1"/>
      </w:pPr>
      <w:r>
        <w:t>3. SQL Queries: Production and Yield</w:t>
      </w:r>
    </w:p>
    <w:p>
      <w:pPr>
        <w:pStyle w:val="Heading2"/>
      </w:pPr>
      <w:r>
        <w:t>3.1 Annual production by crop and region</w:t>
      </w:r>
    </w:p>
    <w:p>
      <w:pPr>
        <w:pStyle w:val="SQLCode"/>
        <w:shd w:fill="F3F6FA"/>
      </w:pPr>
      <w:r>
        <w:t>SELECT r.region_name, c.crop_name, h.season_year,</w:t>
      </w:r>
    </w:p>
    <w:p>
      <w:pPr>
        <w:pStyle w:val="SQLCode"/>
        <w:shd w:fill="F3F6FA"/>
      </w:pPr>
      <w:r>
        <w:t xml:space="preserve">       SUM(h.quantity_tonnes) AS production_tonnes</w:t>
      </w:r>
    </w:p>
    <w:p>
      <w:pPr>
        <w:pStyle w:val="SQLCode"/>
        <w:shd w:fill="F3F6FA"/>
      </w:pPr>
      <w:r>
        <w:t>FROM harvest AS h</w:t>
      </w:r>
    </w:p>
    <w:p>
      <w:pPr>
        <w:pStyle w:val="SQLCode"/>
        <w:shd w:fill="F3F6FA"/>
      </w:pPr>
      <w:r>
        <w:t>JOIN farm AS f   ON f.farm_id = h.farm_id</w:t>
      </w:r>
    </w:p>
    <w:p>
      <w:pPr>
        <w:pStyle w:val="SQLCode"/>
        <w:shd w:fill="F3F6FA"/>
      </w:pPr>
      <w:r>
        <w:t>JOIN region AS r ON r.region_id = f.region_id</w:t>
      </w:r>
    </w:p>
    <w:p>
      <w:pPr>
        <w:pStyle w:val="SQLCode"/>
        <w:shd w:fill="F3F6FA"/>
      </w:pPr>
      <w:r>
        <w:t>JOIN crop AS c   ON c.crop_id = h.crop_id</w:t>
      </w:r>
    </w:p>
    <w:p>
      <w:pPr>
        <w:pStyle w:val="SQLCode"/>
        <w:shd w:fill="F3F6FA"/>
      </w:pPr>
      <w:r>
        <w:t>WHERE h.harvest_date &gt;= DATE '2025-01-01'</w:t>
      </w:r>
    </w:p>
    <w:p>
      <w:pPr>
        <w:pStyle w:val="SQLCode"/>
        <w:shd w:fill="F3F6FA"/>
      </w:pPr>
      <w:r>
        <w:t xml:space="preserve">  AND h.harvest_date &lt;  DATE '2026-01-01'</w:t>
      </w:r>
    </w:p>
    <w:p>
      <w:pPr>
        <w:pStyle w:val="SQLCode"/>
        <w:shd w:fill="F3F6FA"/>
      </w:pPr>
      <w:r>
        <w:t>GROUP BY r.region_name, c.crop_name, h.season_year</w:t>
      </w:r>
    </w:p>
    <w:p>
      <w:pPr>
        <w:pStyle w:val="SQLCode"/>
        <w:shd w:fill="F3F6FA"/>
      </w:pPr>
      <w:r>
        <w:t>ORDER BY production_tonnes DESC, r.region_name, c.crop_name;</w:t>
      </w:r>
    </w:p>
    <w:p>
      <w:r>
        <w:t>Business use: identifies leading crop/region combinations and supports procurement, storage and supply planning. GROUP BY defines the reporting grain; ORDER BY makes the largest production totals visible first. For a seasonal agricultural calendar that crosses years, use a governed season dimension rather than assuming calendar year equals season.</w:t>
      </w:r>
    </w:p>
    <w:p>
      <w:pPr>
        <w:pStyle w:val="Heading2"/>
      </w:pPr>
      <w:r>
        <w:t>3.2 Yield by crop and season</w:t>
      </w:r>
    </w:p>
    <w:p>
      <w:pPr>
        <w:pStyle w:val="SQLCode"/>
        <w:shd w:fill="F3F6FA"/>
      </w:pPr>
      <w:r>
        <w:t>SELECT c.crop_name, h.season_year,</w:t>
      </w:r>
    </w:p>
    <w:p>
      <w:pPr>
        <w:pStyle w:val="SQLCode"/>
        <w:shd w:fill="F3F6FA"/>
      </w:pPr>
      <w:r>
        <w:t xml:space="preserve">       SUM(h.quantity_tonnes) AS production_tonnes,</w:t>
      </w:r>
    </w:p>
    <w:p>
      <w:pPr>
        <w:pStyle w:val="SQLCode"/>
        <w:shd w:fill="F3F6FA"/>
      </w:pPr>
      <w:r>
        <w:t xml:space="preserve">       SUM(h.area_planted_ha) AS area_planted_ha,</w:t>
      </w:r>
    </w:p>
    <w:p>
      <w:pPr>
        <w:pStyle w:val="SQLCode"/>
        <w:shd w:fill="F3F6FA"/>
      </w:pPr>
      <w:r>
        <w:t xml:space="preserve">       ROUND(</w:t>
      </w:r>
    </w:p>
    <w:p>
      <w:pPr>
        <w:pStyle w:val="SQLCode"/>
        <w:shd w:fill="F3F6FA"/>
      </w:pPr>
      <w:r>
        <w:t xml:space="preserve">         SUM(h.quantity_tonnes) /</w:t>
      </w:r>
    </w:p>
    <w:p>
      <w:pPr>
        <w:pStyle w:val="SQLCode"/>
        <w:shd w:fill="F3F6FA"/>
      </w:pPr>
      <w:r>
        <w:t xml:space="preserve">         NULLIF(SUM(h.area_planted_ha), 0), 3</w:t>
      </w:r>
    </w:p>
    <w:p>
      <w:pPr>
        <w:pStyle w:val="SQLCode"/>
        <w:shd w:fill="F3F6FA"/>
      </w:pPr>
      <w:r>
        <w:t xml:space="preserve">       ) AS tonnes_per_planted_hectare</w:t>
      </w:r>
    </w:p>
    <w:p>
      <w:pPr>
        <w:pStyle w:val="SQLCode"/>
        <w:shd w:fill="F3F6FA"/>
      </w:pPr>
      <w:r>
        <w:t>FROM harvest AS h</w:t>
      </w:r>
    </w:p>
    <w:p>
      <w:pPr>
        <w:pStyle w:val="SQLCode"/>
        <w:shd w:fill="F3F6FA"/>
      </w:pPr>
      <w:r>
        <w:t>JOIN crop AS c ON c.crop_id = h.crop_id</w:t>
      </w:r>
    </w:p>
    <w:p>
      <w:pPr>
        <w:pStyle w:val="SQLCode"/>
        <w:shd w:fill="F3F6FA"/>
      </w:pPr>
      <w:r>
        <w:t>WHERE h.harvest_date &gt;= DATE '2024-01-01'</w:t>
      </w:r>
    </w:p>
    <w:p>
      <w:pPr>
        <w:pStyle w:val="SQLCode"/>
        <w:shd w:fill="F3F6FA"/>
      </w:pPr>
      <w:r>
        <w:t xml:space="preserve">  AND h.harvest_date &lt;  DATE '2026-01-01'</w:t>
      </w:r>
    </w:p>
    <w:p>
      <w:pPr>
        <w:pStyle w:val="SQLCode"/>
        <w:shd w:fill="F3F6FA"/>
      </w:pPr>
      <w:r>
        <w:t>GROUP BY c.crop_name, h.season_year</w:t>
      </w:r>
    </w:p>
    <w:p>
      <w:pPr>
        <w:pStyle w:val="SQLCode"/>
        <w:shd w:fill="F3F6FA"/>
      </w:pPr>
      <w:r>
        <w:t>ORDER BY tonnes_per_planted_hectare DESC;</w:t>
      </w:r>
    </w:p>
    <w:p>
      <w:r>
        <w:t>Business use: highlights productivity differences across crops and seasons. The ratio is calculated from aggregated production and area, which weights larger areas appropriately. The alias explicitly says planted hectare; if harvested area is available, use it for a standard yield KPI.</w:t>
      </w:r>
    </w:p>
    <w:p>
      <w:pPr>
        <w:pStyle w:val="Heading2"/>
      </w:pPr>
      <w:r>
        <w:t>3.3 Year-over-year production change</w:t>
      </w:r>
    </w:p>
    <w:p>
      <w:pPr>
        <w:pStyle w:val="SQLCode"/>
        <w:shd w:fill="F3F6FA"/>
      </w:pPr>
      <w:r>
        <w:t>WITH annual AS (</w:t>
      </w:r>
    </w:p>
    <w:p>
      <w:pPr>
        <w:pStyle w:val="SQLCode"/>
        <w:shd w:fill="F3F6FA"/>
      </w:pPr>
      <w:r>
        <w:t xml:space="preserve">  SELECT crop_id, season_year,</w:t>
      </w:r>
    </w:p>
    <w:p>
      <w:pPr>
        <w:pStyle w:val="SQLCode"/>
        <w:shd w:fill="F3F6FA"/>
      </w:pPr>
      <w:r>
        <w:t xml:space="preserve">         SUM(quantity_tonnes) AS production_tonnes</w:t>
      </w:r>
    </w:p>
    <w:p>
      <w:pPr>
        <w:pStyle w:val="SQLCode"/>
        <w:shd w:fill="F3F6FA"/>
      </w:pPr>
      <w:r>
        <w:t xml:space="preserve">  FROM harvest</w:t>
      </w:r>
    </w:p>
    <w:p>
      <w:pPr>
        <w:pStyle w:val="SQLCode"/>
        <w:shd w:fill="F3F6FA"/>
      </w:pPr>
      <w:r>
        <w:t xml:space="preserve">  GROUP BY crop_id, season_year</w:t>
      </w:r>
    </w:p>
    <w:p>
      <w:pPr>
        <w:pStyle w:val="SQLCode"/>
        <w:shd w:fill="F3F6FA"/>
      </w:pPr>
      <w:r>
        <w:t>),</w:t>
      </w:r>
    </w:p>
    <w:p>
      <w:pPr>
        <w:pStyle w:val="SQLCode"/>
        <w:shd w:fill="F3F6FA"/>
      </w:pPr>
      <w:r>
        <w:t>compared AS (</w:t>
      </w:r>
    </w:p>
    <w:p>
      <w:pPr>
        <w:pStyle w:val="SQLCode"/>
        <w:shd w:fill="F3F6FA"/>
      </w:pPr>
      <w:r>
        <w:t xml:space="preserve">  SELECT crop_id, season_year, production_tonnes,</w:t>
      </w:r>
    </w:p>
    <w:p>
      <w:pPr>
        <w:pStyle w:val="SQLCode"/>
        <w:shd w:fill="F3F6FA"/>
      </w:pPr>
      <w:r>
        <w:t xml:space="preserve">         LAG(production_tonnes) OVER (</w:t>
      </w:r>
    </w:p>
    <w:p>
      <w:pPr>
        <w:pStyle w:val="SQLCode"/>
        <w:shd w:fill="F3F6FA"/>
      </w:pPr>
      <w:r>
        <w:t xml:space="preserve">           PARTITION BY crop_id ORDER BY season_year</w:t>
      </w:r>
    </w:p>
    <w:p>
      <w:pPr>
        <w:pStyle w:val="SQLCode"/>
        <w:shd w:fill="F3F6FA"/>
      </w:pPr>
      <w:r>
        <w:t xml:space="preserve">         ) AS prior_year_tonnes</w:t>
      </w:r>
    </w:p>
    <w:p>
      <w:pPr>
        <w:pStyle w:val="SQLCode"/>
        <w:shd w:fill="F3F6FA"/>
      </w:pPr>
      <w:r>
        <w:t xml:space="preserve">  FROM annual</w:t>
      </w:r>
    </w:p>
    <w:p>
      <w:pPr>
        <w:pStyle w:val="SQLCode"/>
        <w:shd w:fill="F3F6FA"/>
      </w:pPr>
      <w:r>
        <w:t>)</w:t>
      </w:r>
    </w:p>
    <w:p>
      <w:pPr>
        <w:pStyle w:val="SQLCode"/>
        <w:shd w:fill="F3F6FA"/>
      </w:pPr>
      <w:r>
        <w:t>SELECT c.crop_name, season_year, production_tonnes,</w:t>
      </w:r>
    </w:p>
    <w:p>
      <w:pPr>
        <w:pStyle w:val="SQLCode"/>
        <w:shd w:fill="F3F6FA"/>
      </w:pPr>
      <w:r>
        <w:t xml:space="preserve">       prior_year_tonnes,</w:t>
      </w:r>
    </w:p>
    <w:p>
      <w:pPr>
        <w:pStyle w:val="SQLCode"/>
        <w:shd w:fill="F3F6FA"/>
      </w:pPr>
      <w:r>
        <w:t xml:space="preserve">       ROUND(100.0 * (production_tonnes - prior_year_tonnes)</w:t>
      </w:r>
    </w:p>
    <w:p>
      <w:pPr>
        <w:pStyle w:val="SQLCode"/>
        <w:shd w:fill="F3F6FA"/>
      </w:pPr>
      <w:r>
        <w:t xml:space="preserve">         / NULLIF(prior_year_tonnes, 0), 2) AS yoy_change_pct</w:t>
      </w:r>
    </w:p>
    <w:p>
      <w:pPr>
        <w:pStyle w:val="SQLCode"/>
        <w:shd w:fill="F3F6FA"/>
      </w:pPr>
      <w:r>
        <w:t>FROM compared</w:t>
      </w:r>
    </w:p>
    <w:p>
      <w:pPr>
        <w:pStyle w:val="SQLCode"/>
        <w:shd w:fill="F3F6FA"/>
      </w:pPr>
      <w:r>
        <w:t>JOIN crop c ON c.crop_id = compared.crop_id</w:t>
      </w:r>
    </w:p>
    <w:p>
      <w:pPr>
        <w:pStyle w:val="SQLCode"/>
        <w:shd w:fill="F3F6FA"/>
      </w:pPr>
      <w:r>
        <w:t>ORDER BY season_year, yoy_change_pct DESC NULLS LAST;</w:t>
      </w:r>
    </w:p>
    <w:p>
      <w:r>
        <w:t>Business use: shows growth or contraction against the previous available year for each crop. LAG compares rows in the ordered series; NULLIF avoids division by zero. If years are missing, the prior row may not be the immediately preceding calendar year, so a complete year calendar may be needed.</w:t>
      </w:r>
    </w:p>
    <w:p>
      <w:r>
        <w:br w:type="page"/>
      </w:r>
    </w:p>
    <w:p>
      <w:pPr>
        <w:pStyle w:val="Heading1"/>
      </w:pPr>
      <w:r>
        <w:t>4. SQL Queries: Market and Livestock</w:t>
      </w:r>
    </w:p>
    <w:p>
      <w:pPr>
        <w:pStyle w:val="Heading2"/>
      </w:pPr>
      <w:r>
        <w:t>4.1 Monthly market price trend</w:t>
      </w:r>
    </w:p>
    <w:p>
      <w:pPr>
        <w:pStyle w:val="SQLCode"/>
        <w:shd w:fill="F3F6FA"/>
      </w:pPr>
      <w:r>
        <w:t>SELECT c.crop_name, m.market_name,</w:t>
      </w:r>
    </w:p>
    <w:p>
      <w:pPr>
        <w:pStyle w:val="SQLCode"/>
        <w:shd w:fill="F3F6FA"/>
      </w:pPr>
      <w:r>
        <w:t xml:space="preserve">       DATE_TRUNC('month', mp.observed_on)::date AS price_month,</w:t>
      </w:r>
    </w:p>
    <w:p>
      <w:pPr>
        <w:pStyle w:val="SQLCode"/>
        <w:shd w:fill="F3F6FA"/>
      </w:pPr>
      <w:r>
        <w:t xml:space="preserve">       mp.currency_code,</w:t>
      </w:r>
    </w:p>
    <w:p>
      <w:pPr>
        <w:pStyle w:val="SQLCode"/>
        <w:shd w:fill="F3F6FA"/>
      </w:pPr>
      <w:r>
        <w:t xml:space="preserve">       AVG(mp.price_per_tonne) AS avg_price_per_tonne,</w:t>
      </w:r>
    </w:p>
    <w:p>
      <w:pPr>
        <w:pStyle w:val="SQLCode"/>
        <w:shd w:fill="F3F6FA"/>
      </w:pPr>
      <w:r>
        <w:t xml:space="preserve">       MIN(mp.price_per_tonne) AS min_price,</w:t>
      </w:r>
    </w:p>
    <w:p>
      <w:pPr>
        <w:pStyle w:val="SQLCode"/>
        <w:shd w:fill="F3F6FA"/>
      </w:pPr>
      <w:r>
        <w:t xml:space="preserve">       MAX(mp.price_per_tonne) AS max_price,</w:t>
      </w:r>
    </w:p>
    <w:p>
      <w:pPr>
        <w:pStyle w:val="SQLCode"/>
        <w:shd w:fill="F3F6FA"/>
      </w:pPr>
      <w:r>
        <w:t xml:space="preserve">       COUNT(*) AS observations</w:t>
      </w:r>
    </w:p>
    <w:p>
      <w:pPr>
        <w:pStyle w:val="SQLCode"/>
        <w:shd w:fill="F3F6FA"/>
      </w:pPr>
      <w:r>
        <w:t>FROM market_price AS mp</w:t>
      </w:r>
    </w:p>
    <w:p>
      <w:pPr>
        <w:pStyle w:val="SQLCode"/>
        <w:shd w:fill="F3F6FA"/>
      </w:pPr>
      <w:r>
        <w:t>JOIN crop AS c ON c.crop_id = mp.crop_id</w:t>
      </w:r>
    </w:p>
    <w:p>
      <w:pPr>
        <w:pStyle w:val="SQLCode"/>
        <w:shd w:fill="F3F6FA"/>
      </w:pPr>
      <w:r>
        <w:t>JOIN market AS m ON m.market_id = mp.market_id</w:t>
      </w:r>
    </w:p>
    <w:p>
      <w:pPr>
        <w:pStyle w:val="SQLCode"/>
        <w:shd w:fill="F3F6FA"/>
      </w:pPr>
      <w:r>
        <w:t>WHERE mp.observed_on &gt;= DATE '2025-01-01'</w:t>
      </w:r>
    </w:p>
    <w:p>
      <w:pPr>
        <w:pStyle w:val="SQLCode"/>
        <w:shd w:fill="F3F6FA"/>
      </w:pPr>
      <w:r>
        <w:t xml:space="preserve">  AND mp.observed_on &lt;  DATE '2026-01-01'</w:t>
      </w:r>
    </w:p>
    <w:p>
      <w:pPr>
        <w:pStyle w:val="SQLCode"/>
        <w:shd w:fill="F3F6FA"/>
      </w:pPr>
      <w:r>
        <w:t xml:space="preserve">  AND mp.currency_code = 'INR'</w:t>
      </w:r>
    </w:p>
    <w:p>
      <w:pPr>
        <w:pStyle w:val="SQLCode"/>
        <w:shd w:fill="F3F6FA"/>
      </w:pPr>
      <w:r>
        <w:t>GROUP BY c.crop_name, m.market_name,</w:t>
      </w:r>
    </w:p>
    <w:p>
      <w:pPr>
        <w:pStyle w:val="SQLCode"/>
        <w:shd w:fill="F3F6FA"/>
      </w:pPr>
      <w:r>
        <w:t xml:space="preserve">         DATE_TRUNC('month', mp.observed_on), mp.currency_code</w:t>
      </w:r>
    </w:p>
    <w:p>
      <w:pPr>
        <w:pStyle w:val="SQLCode"/>
        <w:shd w:fill="F3F6FA"/>
      </w:pPr>
      <w:r>
        <w:t>HAVING COUNT(*) &gt;= 3</w:t>
      </w:r>
    </w:p>
    <w:p>
      <w:pPr>
        <w:pStyle w:val="SQLCode"/>
        <w:shd w:fill="F3F6FA"/>
      </w:pPr>
      <w:r>
        <w:t>ORDER BY price_month, c.crop_name, avg_price_per_tonne DESC;</w:t>
      </w:r>
    </w:p>
    <w:p>
      <w:r>
        <w:t>Business use: compares average, minimum and maximum reported prices and exposes the observation count so small samples are visible. The HAVING condition is illustrative; choose a minimum sample size appropriate to source frequency and never hide low coverage without disclosing the rule.</w:t>
      </w:r>
    </w:p>
    <w:p>
      <w:pPr>
        <w:pStyle w:val="Heading2"/>
      </w:pPr>
      <w:r>
        <w:t>4.2 Highest-priced markets for a selected crop</w:t>
      </w:r>
    </w:p>
    <w:p>
      <w:pPr>
        <w:pStyle w:val="SQLCode"/>
        <w:shd w:fill="F3F6FA"/>
      </w:pPr>
      <w:r>
        <w:t>SELECT m.market_name, r.region_name,</w:t>
      </w:r>
    </w:p>
    <w:p>
      <w:pPr>
        <w:pStyle w:val="SQLCode"/>
        <w:shd w:fill="F3F6FA"/>
      </w:pPr>
      <w:r>
        <w:t xml:space="preserve">       AVG(mp.price_per_tonne) AS avg_price_per_tonne,</w:t>
      </w:r>
    </w:p>
    <w:p>
      <w:pPr>
        <w:pStyle w:val="SQLCode"/>
        <w:shd w:fill="F3F6FA"/>
      </w:pPr>
      <w:r>
        <w:t xml:space="preserve">       COUNT(*) AS observations</w:t>
      </w:r>
    </w:p>
    <w:p>
      <w:pPr>
        <w:pStyle w:val="SQLCode"/>
        <w:shd w:fill="F3F6FA"/>
      </w:pPr>
      <w:r>
        <w:t>FROM market_price mp</w:t>
      </w:r>
    </w:p>
    <w:p>
      <w:pPr>
        <w:pStyle w:val="SQLCode"/>
        <w:shd w:fill="F3F6FA"/>
      </w:pPr>
      <w:r>
        <w:t>JOIN market m ON m.market_id = mp.market_id</w:t>
      </w:r>
    </w:p>
    <w:p>
      <w:pPr>
        <w:pStyle w:val="SQLCode"/>
        <w:shd w:fill="F3F6FA"/>
      </w:pPr>
      <w:r>
        <w:t>JOIN region r ON r.region_id = m.region_id</w:t>
      </w:r>
    </w:p>
    <w:p>
      <w:pPr>
        <w:pStyle w:val="SQLCode"/>
        <w:shd w:fill="F3F6FA"/>
      </w:pPr>
      <w:r>
        <w:t>JOIN crop c ON c.crop_id = mp.crop_id</w:t>
      </w:r>
    </w:p>
    <w:p>
      <w:pPr>
        <w:pStyle w:val="SQLCode"/>
        <w:shd w:fill="F3F6FA"/>
      </w:pPr>
      <w:r>
        <w:t>WHERE c.crop_name = 'Wheat'</w:t>
      </w:r>
    </w:p>
    <w:p>
      <w:pPr>
        <w:pStyle w:val="SQLCode"/>
        <w:shd w:fill="F3F6FA"/>
      </w:pPr>
      <w:r>
        <w:t xml:space="preserve">  AND mp.currency_code = 'INR'</w:t>
      </w:r>
    </w:p>
    <w:p>
      <w:pPr>
        <w:pStyle w:val="SQLCode"/>
        <w:shd w:fill="F3F6FA"/>
      </w:pPr>
      <w:r>
        <w:t xml:space="preserve">  AND mp.observed_on &gt;= DATE '2025-10-01'</w:t>
      </w:r>
    </w:p>
    <w:p>
      <w:pPr>
        <w:pStyle w:val="SQLCode"/>
        <w:shd w:fill="F3F6FA"/>
      </w:pPr>
      <w:r>
        <w:t xml:space="preserve">  AND mp.observed_on &lt;  DATE '2026-01-01'</w:t>
      </w:r>
    </w:p>
    <w:p>
      <w:pPr>
        <w:pStyle w:val="SQLCode"/>
        <w:shd w:fill="F3F6FA"/>
      </w:pPr>
      <w:r>
        <w:t>GROUP BY m.market_id, m.market_name, r.region_name</w:t>
      </w:r>
    </w:p>
    <w:p>
      <w:pPr>
        <w:pStyle w:val="SQLCode"/>
        <w:shd w:fill="F3F6FA"/>
      </w:pPr>
      <w:r>
        <w:t>HAVING COUNT(*) &gt;= 3</w:t>
      </w:r>
    </w:p>
    <w:p>
      <w:pPr>
        <w:pStyle w:val="SQLCode"/>
        <w:shd w:fill="F3F6FA"/>
      </w:pPr>
      <w:r>
        <w:t>ORDER BY avg_price_per_tonne DESC</w:t>
      </w:r>
    </w:p>
    <w:p>
      <w:pPr>
        <w:pStyle w:val="SQLCode"/>
        <w:shd w:fill="F3F6FA"/>
      </w:pPr>
      <w:r>
        <w:t>LIMIT 10;</w:t>
      </w:r>
    </w:p>
    <w:p>
      <w:r>
        <w:t>Business use: provides a shortlist of markets with higher average quoted prices over a selected quarter. Price alone is not enough to choose a market; transport cost, quality grade, market arrivals and transaction availability should also be considered.</w:t>
      </w:r>
    </w:p>
    <w:p>
      <w:pPr>
        <w:pStyle w:val="Heading2"/>
      </w:pPr>
      <w:r>
        <w:t>4.3 Latest livestock inventory by farm/type</w:t>
      </w:r>
    </w:p>
    <w:p>
      <w:pPr>
        <w:pStyle w:val="SQLCode"/>
        <w:shd w:fill="F3F6FA"/>
      </w:pPr>
      <w:r>
        <w:t>WITH ranked AS (</w:t>
      </w:r>
    </w:p>
    <w:p>
      <w:pPr>
        <w:pStyle w:val="SQLCode"/>
        <w:shd w:fill="F3F6FA"/>
      </w:pPr>
      <w:r>
        <w:t xml:space="preserve">  SELECT lo.*,</w:t>
      </w:r>
    </w:p>
    <w:p>
      <w:pPr>
        <w:pStyle w:val="SQLCode"/>
        <w:shd w:fill="F3F6FA"/>
      </w:pPr>
      <w:r>
        <w:t xml:space="preserve">         ROW_NUMBER() OVER (</w:t>
      </w:r>
    </w:p>
    <w:p>
      <w:pPr>
        <w:pStyle w:val="SQLCode"/>
        <w:shd w:fill="F3F6FA"/>
      </w:pPr>
      <w:r>
        <w:t xml:space="preserve">           PARTITION BY lo.farm_id, lo.livestock_type_id</w:t>
      </w:r>
    </w:p>
    <w:p>
      <w:pPr>
        <w:pStyle w:val="SQLCode"/>
        <w:shd w:fill="F3F6FA"/>
      </w:pPr>
      <w:r>
        <w:t xml:space="preserve">           ORDER BY lo.observed_on DESC, lo.observation_id DESC</w:t>
      </w:r>
    </w:p>
    <w:p>
      <w:pPr>
        <w:pStyle w:val="SQLCode"/>
        <w:shd w:fill="F3F6FA"/>
      </w:pPr>
      <w:r>
        <w:t xml:space="preserve">         ) AS rn</w:t>
      </w:r>
    </w:p>
    <w:p>
      <w:pPr>
        <w:pStyle w:val="SQLCode"/>
        <w:shd w:fill="F3F6FA"/>
      </w:pPr>
      <w:r>
        <w:t xml:space="preserve">  FROM livestock_observation lo</w:t>
      </w:r>
    </w:p>
    <w:p>
      <w:pPr>
        <w:pStyle w:val="SQLCode"/>
        <w:shd w:fill="F3F6FA"/>
      </w:pPr>
      <w:r>
        <w:t>)</w:t>
      </w:r>
    </w:p>
    <w:p>
      <w:pPr>
        <w:pStyle w:val="SQLCode"/>
        <w:shd w:fill="F3F6FA"/>
      </w:pPr>
      <w:r>
        <w:t>SELECT f.farm_name, lt.type_name,</w:t>
      </w:r>
    </w:p>
    <w:p>
      <w:pPr>
        <w:pStyle w:val="SQLCode"/>
        <w:shd w:fill="F3F6FA"/>
      </w:pPr>
      <w:r>
        <w:t xml:space="preserve">       r.observed_on, r.animal_count</w:t>
      </w:r>
    </w:p>
    <w:p>
      <w:pPr>
        <w:pStyle w:val="SQLCode"/>
        <w:shd w:fill="F3F6FA"/>
      </w:pPr>
      <w:r>
        <w:t>FROM ranked r</w:t>
      </w:r>
    </w:p>
    <w:p>
      <w:pPr>
        <w:pStyle w:val="SQLCode"/>
        <w:shd w:fill="F3F6FA"/>
      </w:pPr>
      <w:r>
        <w:t>JOIN farm f ON f.farm_id = r.farm_id</w:t>
      </w:r>
    </w:p>
    <w:p>
      <w:pPr>
        <w:pStyle w:val="SQLCode"/>
        <w:shd w:fill="F3F6FA"/>
      </w:pPr>
      <w:r>
        <w:t>JOIN livestock_type lt ON lt.livestock_type_id = r.livestock_type_id</w:t>
      </w:r>
    </w:p>
    <w:p>
      <w:pPr>
        <w:pStyle w:val="SQLCode"/>
        <w:shd w:fill="F3F6FA"/>
      </w:pPr>
      <w:r>
        <w:t>WHERE r.rn = 1</w:t>
      </w:r>
    </w:p>
    <w:p>
      <w:pPr>
        <w:pStyle w:val="SQLCode"/>
        <w:shd w:fill="F3F6FA"/>
      </w:pPr>
      <w:r>
        <w:t>ORDER BY f.farm_name, lt.type_name;</w:t>
      </w:r>
    </w:p>
    <w:p>
      <w:r>
        <w:t>Business use: reports the latest known count for each farm and livestock type. It does not sum observations over time. The observation_id tie-breaker makes the result deterministic when two records share a date; in a real system, timestamp and source version may be better.</w:t>
      </w:r>
    </w:p>
    <w:p>
      <w:r>
        <w:br w:type="page"/>
      </w:r>
    </w:p>
    <w:p>
      <w:pPr>
        <w:pStyle w:val="Heading1"/>
      </w:pPr>
      <w:r>
        <w:t>5. Data Reliability and Query Performance</w:t>
      </w:r>
    </w:p>
    <w:p>
      <w:pPr>
        <w:pStyle w:val="Heading2"/>
      </w:pPr>
      <w:r>
        <w:t>5.1 Reliability controls</w:t>
      </w:r>
    </w:p>
    <w:tbl>
      <w:tblPr>
        <w:tblStyle w:val="TableGrid"/>
        <w:tblW w:type="auto" w:w="0"/>
        <w:jc w:val="center"/>
        <w:tblLook w:firstColumn="1" w:firstRow="1" w:lastColumn="0" w:lastRow="0" w:noHBand="0" w:noVBand="1" w:val="04A0"/>
      </w:tblPr>
      <w:tblGrid>
        <w:gridCol w:w="3427"/>
        <w:gridCol w:w="3427"/>
        <w:gridCol w:w="3427"/>
      </w:tblGrid>
      <w:tr>
        <w:tc>
          <w:tcPr>
            <w:tcW w:type="dxa" w:w="1800"/>
            <w:vAlign w:val="center"/>
            <w:shd w:fill="17365D"/>
          </w:tcPr>
          <w:p>
            <w:pPr>
              <w:spacing w:after="0"/>
            </w:pPr>
            <w:r/>
            <w:r>
              <w:rPr>
                <w:rFonts w:ascii="Aptos" w:hAnsi="Aptos"/>
                <w:b/>
                <w:color w:val="FFFFFF"/>
                <w:sz w:val="14"/>
              </w:rPr>
              <w:t>Control</w:t>
            </w:r>
          </w:p>
        </w:tc>
        <w:tc>
          <w:tcPr>
            <w:tcW w:type="dxa" w:w="4032"/>
            <w:vAlign w:val="center"/>
            <w:shd w:fill="17365D"/>
          </w:tcPr>
          <w:p>
            <w:pPr>
              <w:spacing w:after="0"/>
            </w:pPr>
            <w:r/>
            <w:r>
              <w:rPr>
                <w:rFonts w:ascii="Aptos" w:hAnsi="Aptos"/>
                <w:b/>
                <w:color w:val="FFFFFF"/>
                <w:sz w:val="14"/>
              </w:rPr>
              <w:t>Implementation</w:t>
            </w:r>
          </w:p>
        </w:tc>
        <w:tc>
          <w:tcPr>
            <w:tcW w:type="dxa" w:w="3384"/>
            <w:vAlign w:val="center"/>
            <w:shd w:fill="17365D"/>
          </w:tcPr>
          <w:p>
            <w:pPr>
              <w:spacing w:after="0"/>
            </w:pPr>
            <w:r/>
            <w:r>
              <w:rPr>
                <w:rFonts w:ascii="Aptos" w:hAnsi="Aptos"/>
                <w:b/>
                <w:color w:val="FFFFFF"/>
                <w:sz w:val="14"/>
              </w:rPr>
              <w:t>Reporting benefit</w:t>
            </w:r>
          </w:p>
        </w:tc>
      </w:tr>
      <w:tr>
        <w:tc>
          <w:tcPr>
            <w:tcW w:type="dxa" w:w="1800"/>
            <w:vAlign w:val="center"/>
          </w:tcPr>
          <w:p>
            <w:pPr>
              <w:spacing w:after="0"/>
            </w:pPr>
            <w:r/>
            <w:r>
              <w:rPr>
                <w:rFonts w:ascii="Aptos" w:hAnsi="Aptos"/>
                <w:b w:val="0"/>
                <w:sz w:val="14"/>
              </w:rPr>
              <w:t>Freshness</w:t>
            </w:r>
          </w:p>
        </w:tc>
        <w:tc>
          <w:tcPr>
            <w:tcW w:type="dxa" w:w="4032"/>
            <w:vAlign w:val="center"/>
          </w:tcPr>
          <w:p>
            <w:pPr>
              <w:spacing w:after="0"/>
            </w:pPr>
            <w:r/>
            <w:r>
              <w:rPr>
                <w:rFonts w:ascii="Aptos" w:hAnsi="Aptos"/>
                <w:b w:val="0"/>
                <w:sz w:val="14"/>
              </w:rPr>
              <w:t>Show latest successful ETL batch and source retrieval time.</w:t>
            </w:r>
          </w:p>
        </w:tc>
        <w:tc>
          <w:tcPr>
            <w:tcW w:type="dxa" w:w="3384"/>
            <w:vAlign w:val="center"/>
          </w:tcPr>
          <w:p>
            <w:pPr>
              <w:spacing w:after="0"/>
            </w:pPr>
            <w:r/>
            <w:r>
              <w:rPr>
                <w:rFonts w:ascii="Aptos" w:hAnsi="Aptos"/>
                <w:b w:val="0"/>
                <w:sz w:val="14"/>
              </w:rPr>
              <w:t>Users can see whether the report is current.</w:t>
            </w:r>
          </w:p>
        </w:tc>
      </w:tr>
      <w:tr>
        <w:tc>
          <w:tcPr>
            <w:tcW w:type="dxa" w:w="1800"/>
            <w:vAlign w:val="center"/>
            <w:shd w:fill="F1F5F9"/>
          </w:tcPr>
          <w:p>
            <w:pPr>
              <w:spacing w:after="0"/>
            </w:pPr>
            <w:r/>
            <w:r>
              <w:rPr>
                <w:rFonts w:ascii="Aptos" w:hAnsi="Aptos"/>
                <w:b w:val="0"/>
                <w:sz w:val="14"/>
              </w:rPr>
              <w:t>Completeness</w:t>
            </w:r>
          </w:p>
        </w:tc>
        <w:tc>
          <w:tcPr>
            <w:tcW w:type="dxa" w:w="4032"/>
            <w:vAlign w:val="center"/>
            <w:shd w:fill="F1F5F9"/>
          </w:tcPr>
          <w:p>
            <w:pPr>
              <w:spacing w:after="0"/>
            </w:pPr>
            <w:r/>
            <w:r>
              <w:rPr>
                <w:rFonts w:ascii="Aptos" w:hAnsi="Aptos"/>
                <w:b w:val="0"/>
                <w:sz w:val="14"/>
              </w:rPr>
              <w:t>Compare parsed, accepted, rejected and loaded row counts.</w:t>
            </w:r>
          </w:p>
        </w:tc>
        <w:tc>
          <w:tcPr>
            <w:tcW w:type="dxa" w:w="3384"/>
            <w:vAlign w:val="center"/>
            <w:shd w:fill="F1F5F9"/>
          </w:tcPr>
          <w:p>
            <w:pPr>
              <w:spacing w:after="0"/>
            </w:pPr>
            <w:r/>
            <w:r>
              <w:rPr>
                <w:rFonts w:ascii="Aptos" w:hAnsi="Aptos"/>
                <w:b w:val="0"/>
                <w:sz w:val="14"/>
              </w:rPr>
              <w:t>Makes missing or dropped data visible.</w:t>
            </w:r>
          </w:p>
        </w:tc>
      </w:tr>
      <w:tr>
        <w:tc>
          <w:tcPr>
            <w:tcW w:type="dxa" w:w="1800"/>
            <w:vAlign w:val="center"/>
          </w:tcPr>
          <w:p>
            <w:pPr>
              <w:spacing w:after="0"/>
            </w:pPr>
            <w:r/>
            <w:r>
              <w:rPr>
                <w:rFonts w:ascii="Aptos" w:hAnsi="Aptos"/>
                <w:b w:val="0"/>
                <w:sz w:val="14"/>
              </w:rPr>
              <w:t>Validity</w:t>
            </w:r>
          </w:p>
        </w:tc>
        <w:tc>
          <w:tcPr>
            <w:tcW w:type="dxa" w:w="4032"/>
            <w:vAlign w:val="center"/>
          </w:tcPr>
          <w:p>
            <w:pPr>
              <w:spacing w:after="0"/>
            </w:pPr>
            <w:r/>
            <w:r>
              <w:rPr>
                <w:rFonts w:ascii="Aptos" w:hAnsi="Aptos"/>
                <w:b w:val="0"/>
                <w:sz w:val="14"/>
              </w:rPr>
              <w:t>Check non-negative quantities/prices and positive areas where appropriate.</w:t>
            </w:r>
          </w:p>
        </w:tc>
        <w:tc>
          <w:tcPr>
            <w:tcW w:type="dxa" w:w="3384"/>
            <w:vAlign w:val="center"/>
          </w:tcPr>
          <w:p>
            <w:pPr>
              <w:spacing w:after="0"/>
            </w:pPr>
            <w:r/>
            <w:r>
              <w:rPr>
                <w:rFonts w:ascii="Aptos" w:hAnsi="Aptos"/>
                <w:b w:val="0"/>
                <w:sz w:val="14"/>
              </w:rPr>
              <w:t>Prevents impossible values from distorting KPIs.</w:t>
            </w:r>
          </w:p>
        </w:tc>
      </w:tr>
      <w:tr>
        <w:tc>
          <w:tcPr>
            <w:tcW w:type="dxa" w:w="1800"/>
            <w:vAlign w:val="center"/>
            <w:shd w:fill="F1F5F9"/>
          </w:tcPr>
          <w:p>
            <w:pPr>
              <w:spacing w:after="0"/>
            </w:pPr>
            <w:r/>
            <w:r>
              <w:rPr>
                <w:rFonts w:ascii="Aptos" w:hAnsi="Aptos"/>
                <w:b w:val="0"/>
                <w:sz w:val="14"/>
              </w:rPr>
              <w:t>Consistency</w:t>
            </w:r>
          </w:p>
        </w:tc>
        <w:tc>
          <w:tcPr>
            <w:tcW w:type="dxa" w:w="4032"/>
            <w:vAlign w:val="center"/>
            <w:shd w:fill="F1F5F9"/>
          </w:tcPr>
          <w:p>
            <w:pPr>
              <w:spacing w:after="0"/>
            </w:pPr>
            <w:r/>
            <w:r>
              <w:rPr>
                <w:rFonts w:ascii="Aptos" w:hAnsi="Aptos"/>
                <w:b w:val="0"/>
                <w:sz w:val="14"/>
              </w:rPr>
              <w:t>Use canonical crop/region keys, standardized units and explicit currency.</w:t>
            </w:r>
          </w:p>
        </w:tc>
        <w:tc>
          <w:tcPr>
            <w:tcW w:type="dxa" w:w="3384"/>
            <w:vAlign w:val="center"/>
            <w:shd w:fill="F1F5F9"/>
          </w:tcPr>
          <w:p>
            <w:pPr>
              <w:spacing w:after="0"/>
            </w:pPr>
            <w:r/>
            <w:r>
              <w:rPr>
                <w:rFonts w:ascii="Aptos" w:hAnsi="Aptos"/>
                <w:b w:val="0"/>
                <w:sz w:val="14"/>
              </w:rPr>
              <w:t>Enables meaningful comparisons.</w:t>
            </w:r>
          </w:p>
        </w:tc>
      </w:tr>
      <w:tr>
        <w:tc>
          <w:tcPr>
            <w:tcW w:type="dxa" w:w="1800"/>
            <w:vAlign w:val="center"/>
          </w:tcPr>
          <w:p>
            <w:pPr>
              <w:spacing w:after="0"/>
            </w:pPr>
            <w:r/>
            <w:r>
              <w:rPr>
                <w:rFonts w:ascii="Aptos" w:hAnsi="Aptos"/>
                <w:b w:val="0"/>
                <w:sz w:val="14"/>
              </w:rPr>
              <w:t>Deduplication</w:t>
            </w:r>
          </w:p>
        </w:tc>
        <w:tc>
          <w:tcPr>
            <w:tcW w:type="dxa" w:w="4032"/>
            <w:vAlign w:val="center"/>
          </w:tcPr>
          <w:p>
            <w:pPr>
              <w:spacing w:after="0"/>
            </w:pPr>
            <w:r/>
            <w:r>
              <w:rPr>
                <w:rFonts w:ascii="Aptos" w:hAnsi="Aptos"/>
                <w:b w:val="0"/>
                <w:sz w:val="14"/>
              </w:rPr>
              <w:t>Enforce business keys and define source update precedence.</w:t>
            </w:r>
          </w:p>
        </w:tc>
        <w:tc>
          <w:tcPr>
            <w:tcW w:type="dxa" w:w="3384"/>
            <w:vAlign w:val="center"/>
          </w:tcPr>
          <w:p>
            <w:pPr>
              <w:spacing w:after="0"/>
            </w:pPr>
            <w:r/>
            <w:r>
              <w:rPr>
                <w:rFonts w:ascii="Aptos" w:hAnsi="Aptos"/>
                <w:b w:val="0"/>
                <w:sz w:val="14"/>
              </w:rPr>
              <w:t>Avoids double-counting repeated downloads.</w:t>
            </w:r>
          </w:p>
        </w:tc>
      </w:tr>
      <w:tr>
        <w:tc>
          <w:tcPr>
            <w:tcW w:type="dxa" w:w="1800"/>
            <w:vAlign w:val="center"/>
            <w:shd w:fill="F1F5F9"/>
          </w:tcPr>
          <w:p>
            <w:pPr>
              <w:spacing w:after="0"/>
            </w:pPr>
            <w:r/>
            <w:r>
              <w:rPr>
                <w:rFonts w:ascii="Aptos" w:hAnsi="Aptos"/>
                <w:b w:val="0"/>
                <w:sz w:val="14"/>
              </w:rPr>
              <w:t>Reconciliation</w:t>
            </w:r>
          </w:p>
        </w:tc>
        <w:tc>
          <w:tcPr>
            <w:tcW w:type="dxa" w:w="4032"/>
            <w:vAlign w:val="center"/>
            <w:shd w:fill="F1F5F9"/>
          </w:tcPr>
          <w:p>
            <w:pPr>
              <w:spacing w:after="0"/>
            </w:pPr>
            <w:r/>
            <w:r>
              <w:rPr>
                <w:rFonts w:ascii="Aptos" w:hAnsi="Aptos"/>
                <w:b w:val="0"/>
                <w:sz w:val="14"/>
              </w:rPr>
              <w:t>Compare curated totals to source summaries when definitions align.</w:t>
            </w:r>
          </w:p>
        </w:tc>
        <w:tc>
          <w:tcPr>
            <w:tcW w:type="dxa" w:w="3384"/>
            <w:vAlign w:val="center"/>
            <w:shd w:fill="F1F5F9"/>
          </w:tcPr>
          <w:p>
            <w:pPr>
              <w:spacing w:after="0"/>
            </w:pPr>
            <w:r/>
            <w:r>
              <w:rPr>
                <w:rFonts w:ascii="Aptos" w:hAnsi="Aptos"/>
                <w:b w:val="0"/>
                <w:sz w:val="14"/>
              </w:rPr>
              <w:t>Builds confidence in reported figures.</w:t>
            </w:r>
          </w:p>
        </w:tc>
      </w:tr>
    </w:tbl>
    <w:p>
      <w:pPr>
        <w:spacing w:after="0"/>
      </w:pPr>
    </w:p>
    <w:p>
      <w:pPr>
        <w:pStyle w:val="Heading2"/>
      </w:pPr>
      <w:r>
        <w:t>5.2 Common aggregation pitfalls</w:t>
      </w:r>
    </w:p>
    <w:p>
      <w:pPr>
        <w:pStyle w:val="ListBullet"/>
        <w:spacing w:after="20"/>
      </w:pPr>
      <w:r>
        <w:t>Fan-out joins: joining multiple one-to-many fact tables directly can multiply rows. Aggregate each fact table first.</w:t>
      </w:r>
    </w:p>
    <w:p>
      <w:pPr>
        <w:pStyle w:val="ListBullet"/>
        <w:spacing w:after="20"/>
      </w:pPr>
      <w:r>
        <w:t>Average of averages: averaging subgroup averages gives incorrect overall results when group sizes differ. Recompute from sum/count or weighted totals.</w:t>
      </w:r>
    </w:p>
    <w:p>
      <w:pPr>
        <w:pStyle w:val="ListBullet"/>
        <w:spacing w:after="20"/>
      </w:pPr>
      <w:r>
        <w:t>Missing values: AVG ignores NULLs; report observation counts to reveal sparse data.</w:t>
      </w:r>
    </w:p>
    <w:p>
      <w:pPr>
        <w:pStyle w:val="ListBullet"/>
        <w:spacing w:after="20"/>
      </w:pPr>
      <w:r>
        <w:t>Currency and unit mismatch: do not aggregate mixed currencies or tonnes with quintals without conversion.</w:t>
      </w:r>
    </w:p>
    <w:p>
      <w:pPr>
        <w:pStyle w:val="ListBullet"/>
        <w:spacing w:after="20"/>
      </w:pPr>
      <w:r>
        <w:t>Double counting: distinguish transaction-level records from daily summaries and inventory snapshots.</w:t>
      </w:r>
    </w:p>
    <w:p>
      <w:pPr>
        <w:pStyle w:val="ListBullet"/>
        <w:spacing w:after="20"/>
      </w:pPr>
      <w:r>
        <w:t>Time alignment: weather, harvest and price data may use different intervals or geographic coverage; document the matching method.</w:t>
      </w:r>
    </w:p>
    <w:p>
      <w:pPr>
        <w:pStyle w:val="Heading2"/>
      </w:pPr>
      <w:r>
        <w:t>5.3 Index and performance recommendations</w:t>
      </w:r>
    </w:p>
    <w:tbl>
      <w:tblPr>
        <w:tblStyle w:val="TableGrid"/>
        <w:tblW w:type="auto" w:w="0"/>
        <w:jc w:val="center"/>
        <w:tblLook w:firstColumn="1" w:firstRow="1" w:lastColumn="0" w:lastRow="0" w:noHBand="0" w:noVBand="1" w:val="04A0"/>
      </w:tblPr>
      <w:tblGrid>
        <w:gridCol w:w="3427"/>
        <w:gridCol w:w="3427"/>
        <w:gridCol w:w="3427"/>
      </w:tblGrid>
      <w:tr>
        <w:tc>
          <w:tcPr>
            <w:tcW w:type="dxa" w:w="3600"/>
            <w:vAlign w:val="center"/>
            <w:shd w:fill="17365D"/>
          </w:tcPr>
          <w:p>
            <w:pPr>
              <w:spacing w:after="0"/>
            </w:pPr>
            <w:r/>
            <w:r>
              <w:rPr>
                <w:rFonts w:ascii="Aptos" w:hAnsi="Aptos"/>
                <w:b/>
                <w:color w:val="FFFFFF"/>
                <w:sz w:val="14"/>
              </w:rPr>
              <w:t>Index / method</w:t>
            </w:r>
          </w:p>
        </w:tc>
        <w:tc>
          <w:tcPr>
            <w:tcW w:type="dxa" w:w="2880"/>
            <w:vAlign w:val="center"/>
            <w:shd w:fill="17365D"/>
          </w:tcPr>
          <w:p>
            <w:pPr>
              <w:spacing w:after="0"/>
            </w:pPr>
            <w:r/>
            <w:r>
              <w:rPr>
                <w:rFonts w:ascii="Aptos" w:hAnsi="Aptos"/>
                <w:b/>
                <w:color w:val="FFFFFF"/>
                <w:sz w:val="14"/>
              </w:rPr>
              <w:t>Likely use</w:t>
            </w:r>
          </w:p>
        </w:tc>
        <w:tc>
          <w:tcPr>
            <w:tcW w:type="dxa" w:w="2736"/>
            <w:vAlign w:val="center"/>
            <w:shd w:fill="17365D"/>
          </w:tcPr>
          <w:p>
            <w:pPr>
              <w:spacing w:after="0"/>
            </w:pPr>
            <w:r/>
            <w:r>
              <w:rPr>
                <w:rFonts w:ascii="Aptos" w:hAnsi="Aptos"/>
                <w:b/>
                <w:color w:val="FFFFFF"/>
                <w:sz w:val="14"/>
              </w:rPr>
              <w:t>Notes</w:t>
            </w:r>
          </w:p>
        </w:tc>
      </w:tr>
      <w:tr>
        <w:tc>
          <w:tcPr>
            <w:tcW w:type="dxa" w:w="3600"/>
            <w:vAlign w:val="center"/>
          </w:tcPr>
          <w:p>
            <w:pPr>
              <w:spacing w:after="0"/>
            </w:pPr>
            <w:r/>
            <w:r>
              <w:rPr>
                <w:rFonts w:ascii="Aptos" w:hAnsi="Aptos"/>
                <w:b w:val="0"/>
                <w:sz w:val="14"/>
              </w:rPr>
              <w:t>harvest(harvest_date, crop_id, farm_id)</w:t>
            </w:r>
          </w:p>
        </w:tc>
        <w:tc>
          <w:tcPr>
            <w:tcW w:type="dxa" w:w="2880"/>
            <w:vAlign w:val="center"/>
          </w:tcPr>
          <w:p>
            <w:pPr>
              <w:spacing w:after="0"/>
            </w:pPr>
            <w:r/>
            <w:r>
              <w:rPr>
                <w:rFonts w:ascii="Aptos" w:hAnsi="Aptos"/>
                <w:b w:val="0"/>
                <w:sz w:val="14"/>
              </w:rPr>
              <w:t>Date-window crop reporting</w:t>
            </w:r>
          </w:p>
        </w:tc>
        <w:tc>
          <w:tcPr>
            <w:tcW w:type="dxa" w:w="2736"/>
            <w:vAlign w:val="center"/>
          </w:tcPr>
          <w:p>
            <w:pPr>
              <w:spacing w:after="0"/>
            </w:pPr>
            <w:r/>
            <w:r>
              <w:rPr>
                <w:rFonts w:ascii="Aptos" w:hAnsi="Aptos"/>
                <w:b w:val="0"/>
                <w:sz w:val="14"/>
              </w:rPr>
              <w:t>Choose column order from actual filters and selectivity.</w:t>
            </w:r>
          </w:p>
        </w:tc>
      </w:tr>
      <w:tr>
        <w:tc>
          <w:tcPr>
            <w:tcW w:type="dxa" w:w="3600"/>
            <w:vAlign w:val="center"/>
            <w:shd w:fill="F1F5F9"/>
          </w:tcPr>
          <w:p>
            <w:pPr>
              <w:spacing w:after="0"/>
            </w:pPr>
            <w:r/>
            <w:r>
              <w:rPr>
                <w:rFonts w:ascii="Aptos" w:hAnsi="Aptos"/>
                <w:b w:val="0"/>
                <w:sz w:val="14"/>
              </w:rPr>
              <w:t>market_price(currency_code, observed_on)</w:t>
            </w:r>
          </w:p>
        </w:tc>
        <w:tc>
          <w:tcPr>
            <w:tcW w:type="dxa" w:w="2880"/>
            <w:vAlign w:val="center"/>
            <w:shd w:fill="F1F5F9"/>
          </w:tcPr>
          <w:p>
            <w:pPr>
              <w:spacing w:after="0"/>
            </w:pPr>
            <w:r/>
            <w:r>
              <w:rPr>
                <w:rFonts w:ascii="Aptos" w:hAnsi="Aptos"/>
                <w:b w:val="0"/>
                <w:sz w:val="14"/>
              </w:rPr>
              <w:t>Currency and date filtered trend queries</w:t>
            </w:r>
          </w:p>
        </w:tc>
        <w:tc>
          <w:tcPr>
            <w:tcW w:type="dxa" w:w="2736"/>
            <w:vAlign w:val="center"/>
            <w:shd w:fill="F1F5F9"/>
          </w:tcPr>
          <w:p>
            <w:pPr>
              <w:spacing w:after="0"/>
            </w:pPr>
            <w:r/>
            <w:r>
              <w:rPr>
                <w:rFonts w:ascii="Aptos" w:hAnsi="Aptos"/>
                <w:b w:val="0"/>
                <w:sz w:val="14"/>
              </w:rPr>
              <w:t>Alternative crop-first index may be better for crop-specific history.</w:t>
            </w:r>
          </w:p>
        </w:tc>
      </w:tr>
      <w:tr>
        <w:tc>
          <w:tcPr>
            <w:tcW w:type="dxa" w:w="3600"/>
            <w:vAlign w:val="center"/>
          </w:tcPr>
          <w:p>
            <w:pPr>
              <w:spacing w:after="0"/>
            </w:pPr>
            <w:r/>
            <w:r>
              <w:rPr>
                <w:rFonts w:ascii="Aptos" w:hAnsi="Aptos"/>
                <w:b w:val="0"/>
                <w:sz w:val="14"/>
              </w:rPr>
              <w:t>market_price(market_id, crop_id, observed_on)</w:t>
            </w:r>
          </w:p>
        </w:tc>
        <w:tc>
          <w:tcPr>
            <w:tcW w:type="dxa" w:w="2880"/>
            <w:vAlign w:val="center"/>
          </w:tcPr>
          <w:p>
            <w:pPr>
              <w:spacing w:after="0"/>
            </w:pPr>
            <w:r/>
            <w:r>
              <w:rPr>
                <w:rFonts w:ascii="Aptos" w:hAnsi="Aptos"/>
                <w:b w:val="0"/>
                <w:sz w:val="14"/>
              </w:rPr>
              <w:t>Market/crop price history</w:t>
            </w:r>
          </w:p>
        </w:tc>
        <w:tc>
          <w:tcPr>
            <w:tcW w:type="dxa" w:w="2736"/>
            <w:vAlign w:val="center"/>
          </w:tcPr>
          <w:p>
            <w:pPr>
              <w:spacing w:after="0"/>
            </w:pPr>
            <w:r/>
            <w:r>
              <w:rPr>
                <w:rFonts w:ascii="Aptos" w:hAnsi="Aptos"/>
                <w:b w:val="0"/>
                <w:sz w:val="14"/>
              </w:rPr>
              <w:t>Align with actual lookup patterns.</w:t>
            </w:r>
          </w:p>
        </w:tc>
      </w:tr>
      <w:tr>
        <w:tc>
          <w:tcPr>
            <w:tcW w:type="dxa" w:w="3600"/>
            <w:vAlign w:val="center"/>
            <w:shd w:fill="F1F5F9"/>
          </w:tcPr>
          <w:p>
            <w:pPr>
              <w:spacing w:after="0"/>
            </w:pPr>
            <w:r/>
            <w:r>
              <w:rPr>
                <w:rFonts w:ascii="Aptos" w:hAnsi="Aptos"/>
                <w:b w:val="0"/>
                <w:sz w:val="14"/>
              </w:rPr>
              <w:t>livestock_observation(farm_id, livestock_type_id, observed_on DESC)</w:t>
            </w:r>
          </w:p>
        </w:tc>
        <w:tc>
          <w:tcPr>
            <w:tcW w:type="dxa" w:w="2880"/>
            <w:vAlign w:val="center"/>
            <w:shd w:fill="F1F5F9"/>
          </w:tcPr>
          <w:p>
            <w:pPr>
              <w:spacing w:after="0"/>
            </w:pPr>
            <w:r/>
            <w:r>
              <w:rPr>
                <w:rFonts w:ascii="Aptos" w:hAnsi="Aptos"/>
                <w:b w:val="0"/>
                <w:sz w:val="14"/>
              </w:rPr>
              <w:t>Latest observation by farm/type</w:t>
            </w:r>
          </w:p>
        </w:tc>
        <w:tc>
          <w:tcPr>
            <w:tcW w:type="dxa" w:w="2736"/>
            <w:vAlign w:val="center"/>
            <w:shd w:fill="F1F5F9"/>
          </w:tcPr>
          <w:p>
            <w:pPr>
              <w:spacing w:after="0"/>
            </w:pPr>
            <w:r/>
            <w:r>
              <w:rPr>
                <w:rFonts w:ascii="Aptos" w:hAnsi="Aptos"/>
                <w:b w:val="0"/>
                <w:sz w:val="14"/>
              </w:rPr>
              <w:t>Can help ordered partition lookups.</w:t>
            </w:r>
          </w:p>
        </w:tc>
      </w:tr>
      <w:tr>
        <w:tc>
          <w:tcPr>
            <w:tcW w:type="dxa" w:w="3600"/>
            <w:vAlign w:val="center"/>
          </w:tcPr>
          <w:p>
            <w:pPr>
              <w:spacing w:after="0"/>
            </w:pPr>
            <w:r/>
            <w:r>
              <w:rPr>
                <w:rFonts w:ascii="Aptos" w:hAnsi="Aptos"/>
                <w:b w:val="0"/>
                <w:sz w:val="14"/>
              </w:rPr>
              <w:t>EXPLAIN (ANALYZE, BUFFERS)</w:t>
            </w:r>
          </w:p>
        </w:tc>
        <w:tc>
          <w:tcPr>
            <w:tcW w:type="dxa" w:w="2880"/>
            <w:vAlign w:val="center"/>
          </w:tcPr>
          <w:p>
            <w:pPr>
              <w:spacing w:after="0"/>
            </w:pPr>
            <w:r/>
            <w:r>
              <w:rPr>
                <w:rFonts w:ascii="Aptos" w:hAnsi="Aptos"/>
                <w:b w:val="0"/>
                <w:sz w:val="14"/>
              </w:rPr>
              <w:t>Inspect real execution plan</w:t>
            </w:r>
          </w:p>
        </w:tc>
        <w:tc>
          <w:tcPr>
            <w:tcW w:type="dxa" w:w="2736"/>
            <w:vAlign w:val="center"/>
          </w:tcPr>
          <w:p>
            <w:pPr>
              <w:spacing w:after="0"/>
            </w:pPr>
            <w:r/>
            <w:r>
              <w:rPr>
                <w:rFonts w:ascii="Aptos" w:hAnsi="Aptos"/>
                <w:b w:val="0"/>
                <w:sz w:val="14"/>
              </w:rPr>
              <w:t>Use representative data; compare before/after carefully.</w:t>
            </w:r>
          </w:p>
        </w:tc>
      </w:tr>
    </w:tbl>
    <w:p>
      <w:pPr>
        <w:spacing w:after="0"/>
      </w:pPr>
    </w:p>
    <w:p>
      <w:r>
        <w:t>Primary keys and unique constraints create indexes in PostgreSQL, but foreign-key columns are not automatically indexed. Additional indexes speed some reads but increase storage and write cost. Add them selectively and measure.</w:t>
      </w:r>
    </w:p>
    <w:p>
      <w:pPr>
        <w:pStyle w:val="Heading2"/>
      </w:pPr>
      <w:r>
        <w:t>5.4 Reusable reporting layer</w:t>
      </w:r>
    </w:p>
    <w:p>
      <w:r>
        <w:t>For recurring reports, package stable logic in SQL views and use a scheduled refresh for materialized views only when the data freshness requirement permits it. Keep business definitions documented alongside the view. If the database is small and reports are infrequent, direct SQL queries may be simpler than maintaining precomputed summaries.</w:t>
      </w:r>
    </w:p>
    <w:p>
      <w:r>
        <w:br w:type="page"/>
      </w:r>
    </w:p>
    <w:p>
      <w:pPr>
        <w:pStyle w:val="Heading1"/>
      </w:pPr>
      <w:r>
        <w:t>6. Business Report Design and Delivery</w:t>
      </w:r>
    </w:p>
    <w:p>
      <w:pPr>
        <w:pStyle w:val="Heading2"/>
      </w:pPr>
      <w:r>
        <w:t>6.1 Suggested report layout</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7365D"/>
          </w:tcPr>
          <w:p>
            <w:pPr>
              <w:spacing w:after="0"/>
            </w:pPr>
            <w:r/>
            <w:r>
              <w:rPr>
                <w:rFonts w:ascii="Aptos" w:hAnsi="Aptos"/>
                <w:b/>
                <w:color w:val="FFFFFF"/>
                <w:sz w:val="14"/>
              </w:rPr>
              <w:t>Section</w:t>
            </w:r>
          </w:p>
        </w:tc>
        <w:tc>
          <w:tcPr>
            <w:tcW w:type="dxa" w:w="4320"/>
            <w:vAlign w:val="center"/>
            <w:shd w:fill="17365D"/>
          </w:tcPr>
          <w:p>
            <w:pPr>
              <w:spacing w:after="0"/>
            </w:pPr>
            <w:r/>
            <w:r>
              <w:rPr>
                <w:rFonts w:ascii="Aptos" w:hAnsi="Aptos"/>
                <w:b/>
                <w:color w:val="FFFFFF"/>
                <w:sz w:val="14"/>
              </w:rPr>
              <w:t>Content</w:t>
            </w:r>
          </w:p>
        </w:tc>
        <w:tc>
          <w:tcPr>
            <w:tcW w:type="dxa" w:w="2952"/>
            <w:vAlign w:val="center"/>
            <w:shd w:fill="17365D"/>
          </w:tcPr>
          <w:p>
            <w:pPr>
              <w:spacing w:after="0"/>
            </w:pPr>
            <w:r/>
            <w:r>
              <w:rPr>
                <w:rFonts w:ascii="Aptos" w:hAnsi="Aptos"/>
                <w:b/>
                <w:color w:val="FFFFFF"/>
                <w:sz w:val="14"/>
              </w:rPr>
              <w:t>Recommended visual</w:t>
            </w:r>
          </w:p>
        </w:tc>
      </w:tr>
      <w:tr>
        <w:tc>
          <w:tcPr>
            <w:tcW w:type="dxa" w:w="1944"/>
            <w:vAlign w:val="center"/>
          </w:tcPr>
          <w:p>
            <w:pPr>
              <w:spacing w:after="0"/>
            </w:pPr>
            <w:r/>
            <w:r>
              <w:rPr>
                <w:rFonts w:ascii="Aptos" w:hAnsi="Aptos"/>
                <w:b w:val="0"/>
                <w:sz w:val="14"/>
              </w:rPr>
              <w:t>Executive summary</w:t>
            </w:r>
          </w:p>
        </w:tc>
        <w:tc>
          <w:tcPr>
            <w:tcW w:type="dxa" w:w="4320"/>
            <w:vAlign w:val="center"/>
          </w:tcPr>
          <w:p>
            <w:pPr>
              <w:spacing w:after="0"/>
            </w:pPr>
            <w:r/>
            <w:r>
              <w:rPr>
                <w:rFonts w:ascii="Aptos" w:hAnsi="Aptos"/>
                <w:b w:val="0"/>
                <w:sz w:val="14"/>
              </w:rPr>
              <w:t>Three to five findings, key risks and recommended actions.</w:t>
            </w:r>
          </w:p>
        </w:tc>
        <w:tc>
          <w:tcPr>
            <w:tcW w:type="dxa" w:w="2952"/>
            <w:vAlign w:val="center"/>
          </w:tcPr>
          <w:p>
            <w:pPr>
              <w:spacing w:after="0"/>
            </w:pPr>
            <w:r/>
            <w:r>
              <w:rPr>
                <w:rFonts w:ascii="Aptos" w:hAnsi="Aptos"/>
                <w:b w:val="0"/>
                <w:sz w:val="14"/>
              </w:rPr>
              <w:t>KPI cards with period and unit.</w:t>
            </w:r>
          </w:p>
        </w:tc>
      </w:tr>
      <w:tr>
        <w:tc>
          <w:tcPr>
            <w:tcW w:type="dxa" w:w="1944"/>
            <w:vAlign w:val="center"/>
            <w:shd w:fill="F1F5F9"/>
          </w:tcPr>
          <w:p>
            <w:pPr>
              <w:spacing w:after="0"/>
            </w:pPr>
            <w:r/>
            <w:r>
              <w:rPr>
                <w:rFonts w:ascii="Aptos" w:hAnsi="Aptos"/>
                <w:b w:val="0"/>
                <w:sz w:val="14"/>
              </w:rPr>
              <w:t>Production overview</w:t>
            </w:r>
          </w:p>
        </w:tc>
        <w:tc>
          <w:tcPr>
            <w:tcW w:type="dxa" w:w="4320"/>
            <w:vAlign w:val="center"/>
            <w:shd w:fill="F1F5F9"/>
          </w:tcPr>
          <w:p>
            <w:pPr>
              <w:spacing w:after="0"/>
            </w:pPr>
            <w:r/>
            <w:r>
              <w:rPr>
                <w:rFonts w:ascii="Aptos" w:hAnsi="Aptos"/>
                <w:b w:val="0"/>
                <w:sz w:val="14"/>
              </w:rPr>
              <w:t>Total production, crop mix, region ranking and yield.</w:t>
            </w:r>
          </w:p>
        </w:tc>
        <w:tc>
          <w:tcPr>
            <w:tcW w:type="dxa" w:w="2952"/>
            <w:vAlign w:val="center"/>
            <w:shd w:fill="F1F5F9"/>
          </w:tcPr>
          <w:p>
            <w:pPr>
              <w:spacing w:after="0"/>
            </w:pPr>
            <w:r/>
            <w:r>
              <w:rPr>
                <w:rFonts w:ascii="Aptos" w:hAnsi="Aptos"/>
                <w:b w:val="0"/>
                <w:sz w:val="14"/>
              </w:rPr>
              <w:t>Ranked bar chart; crop-by-region table.</w:t>
            </w:r>
          </w:p>
        </w:tc>
      </w:tr>
      <w:tr>
        <w:tc>
          <w:tcPr>
            <w:tcW w:type="dxa" w:w="1944"/>
            <w:vAlign w:val="center"/>
          </w:tcPr>
          <w:p>
            <w:pPr>
              <w:spacing w:after="0"/>
            </w:pPr>
            <w:r/>
            <w:r>
              <w:rPr>
                <w:rFonts w:ascii="Aptos" w:hAnsi="Aptos"/>
                <w:b w:val="0"/>
                <w:sz w:val="14"/>
              </w:rPr>
              <w:t>Trend analysis</w:t>
            </w:r>
          </w:p>
        </w:tc>
        <w:tc>
          <w:tcPr>
            <w:tcW w:type="dxa" w:w="4320"/>
            <w:vAlign w:val="center"/>
          </w:tcPr>
          <w:p>
            <w:pPr>
              <w:spacing w:after="0"/>
            </w:pPr>
            <w:r/>
            <w:r>
              <w:rPr>
                <w:rFonts w:ascii="Aptos" w:hAnsi="Aptos"/>
                <w:b w:val="0"/>
                <w:sz w:val="14"/>
              </w:rPr>
              <w:t>Monthly or seasonal production and price movement.</w:t>
            </w:r>
          </w:p>
        </w:tc>
        <w:tc>
          <w:tcPr>
            <w:tcW w:type="dxa" w:w="2952"/>
            <w:vAlign w:val="center"/>
          </w:tcPr>
          <w:p>
            <w:pPr>
              <w:spacing w:after="0"/>
            </w:pPr>
            <w:r/>
            <w:r>
              <w:rPr>
                <w:rFonts w:ascii="Aptos" w:hAnsi="Aptos"/>
                <w:b w:val="0"/>
                <w:sz w:val="14"/>
              </w:rPr>
              <w:t>Line chart with period labels and consistent units.</w:t>
            </w:r>
          </w:p>
        </w:tc>
      </w:tr>
      <w:tr>
        <w:tc>
          <w:tcPr>
            <w:tcW w:type="dxa" w:w="1944"/>
            <w:vAlign w:val="center"/>
            <w:shd w:fill="F1F5F9"/>
          </w:tcPr>
          <w:p>
            <w:pPr>
              <w:spacing w:after="0"/>
            </w:pPr>
            <w:r/>
            <w:r>
              <w:rPr>
                <w:rFonts w:ascii="Aptos" w:hAnsi="Aptos"/>
                <w:b w:val="0"/>
                <w:sz w:val="14"/>
              </w:rPr>
              <w:t>Market comparison</w:t>
            </w:r>
          </w:p>
        </w:tc>
        <w:tc>
          <w:tcPr>
            <w:tcW w:type="dxa" w:w="4320"/>
            <w:vAlign w:val="center"/>
            <w:shd w:fill="F1F5F9"/>
          </w:tcPr>
          <w:p>
            <w:pPr>
              <w:spacing w:after="0"/>
            </w:pPr>
            <w:r/>
            <w:r>
              <w:rPr>
                <w:rFonts w:ascii="Aptos" w:hAnsi="Aptos"/>
                <w:b w:val="0"/>
                <w:sz w:val="14"/>
              </w:rPr>
              <w:t>Average/min/max prices, sample counts and market ranking.</w:t>
            </w:r>
          </w:p>
        </w:tc>
        <w:tc>
          <w:tcPr>
            <w:tcW w:type="dxa" w:w="2952"/>
            <w:vAlign w:val="center"/>
            <w:shd w:fill="F1F5F9"/>
          </w:tcPr>
          <w:p>
            <w:pPr>
              <w:spacing w:after="0"/>
            </w:pPr>
            <w:r/>
            <w:r>
              <w:rPr>
                <w:rFonts w:ascii="Aptos" w:hAnsi="Aptos"/>
                <w:b w:val="0"/>
                <w:sz w:val="14"/>
              </w:rPr>
              <w:t>Horizontal bar chart; comparison table.</w:t>
            </w:r>
          </w:p>
        </w:tc>
      </w:tr>
      <w:tr>
        <w:tc>
          <w:tcPr>
            <w:tcW w:type="dxa" w:w="1944"/>
            <w:vAlign w:val="center"/>
          </w:tcPr>
          <w:p>
            <w:pPr>
              <w:spacing w:after="0"/>
            </w:pPr>
            <w:r/>
            <w:r>
              <w:rPr>
                <w:rFonts w:ascii="Aptos" w:hAnsi="Aptos"/>
                <w:b w:val="0"/>
                <w:sz w:val="14"/>
              </w:rPr>
              <w:t>Livestock snapshot</w:t>
            </w:r>
          </w:p>
        </w:tc>
        <w:tc>
          <w:tcPr>
            <w:tcW w:type="dxa" w:w="4320"/>
            <w:vAlign w:val="center"/>
          </w:tcPr>
          <w:p>
            <w:pPr>
              <w:spacing w:after="0"/>
            </w:pPr>
            <w:r/>
            <w:r>
              <w:rPr>
                <w:rFonts w:ascii="Aptos" w:hAnsi="Aptos"/>
                <w:b w:val="0"/>
                <w:sz w:val="14"/>
              </w:rPr>
              <w:t>Latest counts by farm and livestock type.</w:t>
            </w:r>
          </w:p>
        </w:tc>
        <w:tc>
          <w:tcPr>
            <w:tcW w:type="dxa" w:w="2952"/>
            <w:vAlign w:val="center"/>
          </w:tcPr>
          <w:p>
            <w:pPr>
              <w:spacing w:after="0"/>
            </w:pPr>
            <w:r/>
            <w:r>
              <w:rPr>
                <w:rFonts w:ascii="Aptos" w:hAnsi="Aptos"/>
                <w:b w:val="0"/>
                <w:sz w:val="14"/>
              </w:rPr>
              <w:t>Stacked bar chart or summary table.</w:t>
            </w:r>
          </w:p>
        </w:tc>
      </w:tr>
      <w:tr>
        <w:tc>
          <w:tcPr>
            <w:tcW w:type="dxa" w:w="1944"/>
            <w:vAlign w:val="center"/>
            <w:shd w:fill="F1F5F9"/>
          </w:tcPr>
          <w:p>
            <w:pPr>
              <w:spacing w:after="0"/>
            </w:pPr>
            <w:r/>
            <w:r>
              <w:rPr>
                <w:rFonts w:ascii="Aptos" w:hAnsi="Aptos"/>
                <w:b w:val="0"/>
                <w:sz w:val="14"/>
              </w:rPr>
              <w:t>Data quality note</w:t>
            </w:r>
          </w:p>
        </w:tc>
        <w:tc>
          <w:tcPr>
            <w:tcW w:type="dxa" w:w="4320"/>
            <w:vAlign w:val="center"/>
            <w:shd w:fill="F1F5F9"/>
          </w:tcPr>
          <w:p>
            <w:pPr>
              <w:spacing w:after="0"/>
            </w:pPr>
            <w:r/>
            <w:r>
              <w:rPr>
                <w:rFonts w:ascii="Aptos" w:hAnsi="Aptos"/>
                <w:b w:val="0"/>
                <w:sz w:val="14"/>
              </w:rPr>
              <w:t>Freshness, row counts, rejects and coverage caveats.</w:t>
            </w:r>
          </w:p>
        </w:tc>
        <w:tc>
          <w:tcPr>
            <w:tcW w:type="dxa" w:w="2952"/>
            <w:vAlign w:val="center"/>
            <w:shd w:fill="F1F5F9"/>
          </w:tcPr>
          <w:p>
            <w:pPr>
              <w:spacing w:after="0"/>
            </w:pPr>
            <w:r/>
            <w:r>
              <w:rPr>
                <w:rFonts w:ascii="Aptos" w:hAnsi="Aptos"/>
                <w:b w:val="0"/>
                <w:sz w:val="14"/>
              </w:rPr>
              <w:t>Small status table with counts and timestamp.</w:t>
            </w:r>
          </w:p>
        </w:tc>
      </w:tr>
      <w:tr>
        <w:tc>
          <w:tcPr>
            <w:tcW w:type="dxa" w:w="1944"/>
            <w:vAlign w:val="center"/>
          </w:tcPr>
          <w:p>
            <w:pPr>
              <w:spacing w:after="0"/>
            </w:pPr>
            <w:r/>
            <w:r>
              <w:rPr>
                <w:rFonts w:ascii="Aptos" w:hAnsi="Aptos"/>
                <w:b w:val="0"/>
                <w:sz w:val="14"/>
              </w:rPr>
              <w:t>Actions / appendix</w:t>
            </w:r>
          </w:p>
        </w:tc>
        <w:tc>
          <w:tcPr>
            <w:tcW w:type="dxa" w:w="4320"/>
            <w:vAlign w:val="center"/>
          </w:tcPr>
          <w:p>
            <w:pPr>
              <w:spacing w:after="0"/>
            </w:pPr>
            <w:r/>
            <w:r>
              <w:rPr>
                <w:rFonts w:ascii="Aptos" w:hAnsi="Aptos"/>
                <w:b w:val="0"/>
                <w:sz w:val="14"/>
              </w:rPr>
              <w:t>Interpretation, follow-up questions and metric definitions.</w:t>
            </w:r>
          </w:p>
        </w:tc>
        <w:tc>
          <w:tcPr>
            <w:tcW w:type="dxa" w:w="2952"/>
            <w:vAlign w:val="center"/>
          </w:tcPr>
          <w:p>
            <w:pPr>
              <w:spacing w:after="0"/>
            </w:pPr>
            <w:r/>
            <w:r>
              <w:rPr>
                <w:rFonts w:ascii="Aptos" w:hAnsi="Aptos"/>
                <w:b w:val="0"/>
                <w:sz w:val="14"/>
              </w:rPr>
              <w:t>Action-owner-deadline table; SQL appendix.</w:t>
            </w:r>
          </w:p>
        </w:tc>
      </w:tr>
    </w:tbl>
    <w:p>
      <w:pPr>
        <w:spacing w:after="0"/>
      </w:pPr>
    </w:p>
    <w:p>
      <w:pPr>
        <w:pStyle w:val="Heading2"/>
      </w:pPr>
      <w:r>
        <w:t>6.2 Visualization rules</w:t>
      </w:r>
    </w:p>
    <w:p>
      <w:pPr>
        <w:pStyle w:val="ListBullet"/>
        <w:spacing w:after="20"/>
      </w:pPr>
      <w:r>
        <w:t>Use line charts for time trends and sorted bars for comparisons across categories.</w:t>
      </w:r>
    </w:p>
    <w:p>
      <w:pPr>
        <w:pStyle w:val="ListBullet"/>
        <w:spacing w:after="20"/>
      </w:pPr>
      <w:r>
        <w:t>Start bar charts at zero when showing magnitude; avoid misleading axis truncation.</w:t>
      </w:r>
    </w:p>
    <w:p>
      <w:pPr>
        <w:pStyle w:val="ListBullet"/>
        <w:spacing w:after="20"/>
      </w:pPr>
      <w:r>
        <w:t>Show units, currency, date range, geography and source beneath each chart.</w:t>
      </w:r>
    </w:p>
    <w:p>
      <w:pPr>
        <w:pStyle w:val="ListBullet"/>
        <w:spacing w:after="20"/>
      </w:pPr>
      <w:r>
        <w:t>Use the same color for the same crop or region across charts; avoid relying on color alone to communicate meaning.</w:t>
      </w:r>
    </w:p>
    <w:p>
      <w:pPr>
        <w:pStyle w:val="ListBullet"/>
        <w:spacing w:after="20"/>
      </w:pPr>
      <w:r>
        <w:t>Include a data table or accessible text summary for every important visual.</w:t>
      </w:r>
    </w:p>
    <w:p>
      <w:pPr>
        <w:pStyle w:val="ListBullet"/>
        <w:spacing w:after="20"/>
      </w:pPr>
      <w:r>
        <w:t>Do not display fabricated chart values: populate visuals only from query results.</w:t>
      </w:r>
    </w:p>
    <w:p>
      <w:pPr>
        <w:pStyle w:val="Heading2"/>
      </w:pPr>
      <w:r>
        <w:t>6.3 Turning results into action</w:t>
      </w:r>
    </w:p>
    <w:p>
      <w:r>
        <w:t>Each KPI should be paired with a decision question. For example, falling yield may prompt investigation of rainfall, input use or pest pressure; a higher market price may be offset by transport costs; and high production concentration may indicate supply risk. SQL identifies patterns, but it does not by itself prove causation. Recommendations should state the evidence, caveats, proposed next step and responsible owner.</w:t>
      </w:r>
    </w:p>
    <w:p>
      <w:pPr>
        <w:pStyle w:val="Heading2"/>
      </w:pPr>
      <w:r>
        <w:t>7. Implementation Plan and Workload</w:t>
      </w:r>
    </w:p>
    <w:tbl>
      <w:tblPr>
        <w:tblStyle w:val="TableGrid"/>
        <w:tblW w:type="auto" w:w="0"/>
        <w:jc w:val="center"/>
        <w:tblLook w:firstColumn="1" w:firstRow="1" w:lastColumn="0" w:lastRow="0" w:noHBand="0" w:noVBand="1" w:val="04A0"/>
      </w:tblPr>
      <w:tblGrid>
        <w:gridCol w:w="3427"/>
        <w:gridCol w:w="3427"/>
        <w:gridCol w:w="3427"/>
      </w:tblGrid>
      <w:tr>
        <w:tc>
          <w:tcPr>
            <w:tcW w:type="dxa" w:w="3456"/>
            <w:vAlign w:val="center"/>
            <w:shd w:fill="17365D"/>
          </w:tcPr>
          <w:p>
            <w:pPr>
              <w:spacing w:after="0"/>
            </w:pPr>
            <w:r/>
            <w:r>
              <w:rPr>
                <w:rFonts w:ascii="Aptos" w:hAnsi="Aptos"/>
                <w:b/>
                <w:color w:val="FFFFFF"/>
                <w:sz w:val="14"/>
              </w:rPr>
              <w:t>Workstream</w:t>
            </w:r>
          </w:p>
        </w:tc>
        <w:tc>
          <w:tcPr>
            <w:tcW w:type="dxa" w:w="1728"/>
            <w:vAlign w:val="center"/>
            <w:shd w:fill="17365D"/>
          </w:tcPr>
          <w:p>
            <w:pPr>
              <w:spacing w:after="0"/>
            </w:pPr>
            <w:r/>
            <w:r>
              <w:rPr>
                <w:rFonts w:ascii="Aptos" w:hAnsi="Aptos"/>
                <w:b/>
                <w:color w:val="FFFFFF"/>
                <w:sz w:val="14"/>
              </w:rPr>
              <w:t>Estimated time</w:t>
            </w:r>
          </w:p>
        </w:tc>
        <w:tc>
          <w:tcPr>
            <w:tcW w:type="dxa" w:w="4032"/>
            <w:vAlign w:val="center"/>
            <w:shd w:fill="17365D"/>
          </w:tcPr>
          <w:p>
            <w:pPr>
              <w:spacing w:after="0"/>
            </w:pPr>
            <w:r/>
            <w:r>
              <w:rPr>
                <w:rFonts w:ascii="Aptos" w:hAnsi="Aptos"/>
                <w:b/>
                <w:color w:val="FFFFFF"/>
                <w:sz w:val="14"/>
              </w:rPr>
              <w:t>Output</w:t>
            </w:r>
          </w:p>
        </w:tc>
      </w:tr>
      <w:tr>
        <w:tc>
          <w:tcPr>
            <w:tcW w:type="dxa" w:w="3456"/>
            <w:vAlign w:val="center"/>
          </w:tcPr>
          <w:p>
            <w:pPr>
              <w:spacing w:after="0"/>
            </w:pPr>
            <w:r/>
            <w:r>
              <w:rPr>
                <w:rFonts w:ascii="Aptos" w:hAnsi="Aptos"/>
                <w:b w:val="0"/>
                <w:sz w:val="14"/>
              </w:rPr>
              <w:t>Metric definitions and schema review</w:t>
            </w:r>
          </w:p>
        </w:tc>
        <w:tc>
          <w:tcPr>
            <w:tcW w:type="dxa" w:w="1728"/>
            <w:vAlign w:val="center"/>
          </w:tcPr>
          <w:p>
            <w:pPr>
              <w:spacing w:after="0"/>
            </w:pPr>
            <w:r/>
            <w:r>
              <w:rPr>
                <w:rFonts w:ascii="Aptos" w:hAnsi="Aptos"/>
                <w:b w:val="0"/>
                <w:sz w:val="14"/>
              </w:rPr>
              <w:t>4–5 hours</w:t>
            </w:r>
          </w:p>
        </w:tc>
        <w:tc>
          <w:tcPr>
            <w:tcW w:type="dxa" w:w="4032"/>
            <w:vAlign w:val="center"/>
          </w:tcPr>
          <w:p>
            <w:pPr>
              <w:spacing w:after="0"/>
            </w:pPr>
            <w:r/>
            <w:r>
              <w:rPr>
                <w:rFonts w:ascii="Aptos" w:hAnsi="Aptos"/>
                <w:b w:val="0"/>
                <w:sz w:val="14"/>
              </w:rPr>
              <w:t>Metric dictionary, grain and unit assumptions.</w:t>
            </w:r>
          </w:p>
        </w:tc>
      </w:tr>
      <w:tr>
        <w:tc>
          <w:tcPr>
            <w:tcW w:type="dxa" w:w="3456"/>
            <w:vAlign w:val="center"/>
            <w:shd w:fill="F1F5F9"/>
          </w:tcPr>
          <w:p>
            <w:pPr>
              <w:spacing w:after="0"/>
            </w:pPr>
            <w:r/>
            <w:r>
              <w:rPr>
                <w:rFonts w:ascii="Aptos" w:hAnsi="Aptos"/>
                <w:b w:val="0"/>
                <w:sz w:val="14"/>
              </w:rPr>
              <w:t>SQL query design and validation</w:t>
            </w:r>
          </w:p>
        </w:tc>
        <w:tc>
          <w:tcPr>
            <w:tcW w:type="dxa" w:w="1728"/>
            <w:vAlign w:val="center"/>
            <w:shd w:fill="F1F5F9"/>
          </w:tcPr>
          <w:p>
            <w:pPr>
              <w:spacing w:after="0"/>
            </w:pPr>
            <w:r/>
            <w:r>
              <w:rPr>
                <w:rFonts w:ascii="Aptos" w:hAnsi="Aptos"/>
                <w:b w:val="0"/>
                <w:sz w:val="14"/>
              </w:rPr>
              <w:t>8–9 hours</w:t>
            </w:r>
          </w:p>
        </w:tc>
        <w:tc>
          <w:tcPr>
            <w:tcW w:type="dxa" w:w="4032"/>
            <w:vAlign w:val="center"/>
            <w:shd w:fill="F1F5F9"/>
          </w:tcPr>
          <w:p>
            <w:pPr>
              <w:spacing w:after="0"/>
            </w:pPr>
            <w:r/>
            <w:r>
              <w:rPr>
                <w:rFonts w:ascii="Aptos" w:hAnsi="Aptos"/>
                <w:b w:val="0"/>
                <w:sz w:val="14"/>
              </w:rPr>
              <w:t>Production, yield, price, livestock and change queries.</w:t>
            </w:r>
          </w:p>
        </w:tc>
      </w:tr>
      <w:tr>
        <w:tc>
          <w:tcPr>
            <w:tcW w:type="dxa" w:w="3456"/>
            <w:vAlign w:val="center"/>
          </w:tcPr>
          <w:p>
            <w:pPr>
              <w:spacing w:after="0"/>
            </w:pPr>
            <w:r/>
            <w:r>
              <w:rPr>
                <w:rFonts w:ascii="Aptos" w:hAnsi="Aptos"/>
                <w:b w:val="0"/>
                <w:sz w:val="14"/>
              </w:rPr>
              <w:t>Data quality and performance review</w:t>
            </w:r>
          </w:p>
        </w:tc>
        <w:tc>
          <w:tcPr>
            <w:tcW w:type="dxa" w:w="1728"/>
            <w:vAlign w:val="center"/>
          </w:tcPr>
          <w:p>
            <w:pPr>
              <w:spacing w:after="0"/>
            </w:pPr>
            <w:r/>
            <w:r>
              <w:rPr>
                <w:rFonts w:ascii="Aptos" w:hAnsi="Aptos"/>
                <w:b w:val="0"/>
                <w:sz w:val="14"/>
              </w:rPr>
              <w:t>5–6 hours</w:t>
            </w:r>
          </w:p>
        </w:tc>
        <w:tc>
          <w:tcPr>
            <w:tcW w:type="dxa" w:w="4032"/>
            <w:vAlign w:val="center"/>
          </w:tcPr>
          <w:p>
            <w:pPr>
              <w:spacing w:after="0"/>
            </w:pPr>
            <w:r/>
            <w:r>
              <w:rPr>
                <w:rFonts w:ascii="Aptos" w:hAnsi="Aptos"/>
                <w:b w:val="0"/>
                <w:sz w:val="14"/>
              </w:rPr>
              <w:t>Reconciliation checks, explain plans and index recommendations.</w:t>
            </w:r>
          </w:p>
        </w:tc>
      </w:tr>
      <w:tr>
        <w:tc>
          <w:tcPr>
            <w:tcW w:type="dxa" w:w="3456"/>
            <w:vAlign w:val="center"/>
            <w:shd w:fill="F1F5F9"/>
          </w:tcPr>
          <w:p>
            <w:pPr>
              <w:spacing w:after="0"/>
            </w:pPr>
            <w:r/>
            <w:r>
              <w:rPr>
                <w:rFonts w:ascii="Aptos" w:hAnsi="Aptos"/>
                <w:b w:val="0"/>
                <w:sz w:val="14"/>
              </w:rPr>
              <w:t>Report layout and visual design</w:t>
            </w:r>
          </w:p>
        </w:tc>
        <w:tc>
          <w:tcPr>
            <w:tcW w:type="dxa" w:w="1728"/>
            <w:vAlign w:val="center"/>
            <w:shd w:fill="F1F5F9"/>
          </w:tcPr>
          <w:p>
            <w:pPr>
              <w:spacing w:after="0"/>
            </w:pPr>
            <w:r/>
            <w:r>
              <w:rPr>
                <w:rFonts w:ascii="Aptos" w:hAnsi="Aptos"/>
                <w:b w:val="0"/>
                <w:sz w:val="14"/>
              </w:rPr>
              <w:t>5–6 hours</w:t>
            </w:r>
          </w:p>
        </w:tc>
        <w:tc>
          <w:tcPr>
            <w:tcW w:type="dxa" w:w="4032"/>
            <w:vAlign w:val="center"/>
            <w:shd w:fill="F1F5F9"/>
          </w:tcPr>
          <w:p>
            <w:pPr>
              <w:spacing w:after="0"/>
            </w:pPr>
            <w:r/>
            <w:r>
              <w:rPr>
                <w:rFonts w:ascii="Aptos" w:hAnsi="Aptos"/>
                <w:b w:val="0"/>
                <w:sz w:val="14"/>
              </w:rPr>
              <w:t>Executive summary layout, tables and chart specifications.</w:t>
            </w:r>
          </w:p>
        </w:tc>
      </w:tr>
      <w:tr>
        <w:tc>
          <w:tcPr>
            <w:tcW w:type="dxa" w:w="3456"/>
            <w:vAlign w:val="center"/>
          </w:tcPr>
          <w:p>
            <w:pPr>
              <w:spacing w:after="0"/>
            </w:pPr>
            <w:r/>
            <w:r>
              <w:rPr>
                <w:rFonts w:ascii="Aptos" w:hAnsi="Aptos"/>
                <w:b w:val="0"/>
                <w:sz w:val="14"/>
              </w:rPr>
              <w:t>Testing, documentation and revision</w:t>
            </w:r>
          </w:p>
        </w:tc>
        <w:tc>
          <w:tcPr>
            <w:tcW w:type="dxa" w:w="1728"/>
            <w:vAlign w:val="center"/>
          </w:tcPr>
          <w:p>
            <w:pPr>
              <w:spacing w:after="0"/>
            </w:pPr>
            <w:r/>
            <w:r>
              <w:rPr>
                <w:rFonts w:ascii="Aptos" w:hAnsi="Aptos"/>
                <w:b w:val="0"/>
                <w:sz w:val="14"/>
              </w:rPr>
              <w:t>7–8 hours</w:t>
            </w:r>
          </w:p>
        </w:tc>
        <w:tc>
          <w:tcPr>
            <w:tcW w:type="dxa" w:w="4032"/>
            <w:vAlign w:val="center"/>
          </w:tcPr>
          <w:p>
            <w:pPr>
              <w:spacing w:after="0"/>
            </w:pPr>
            <w:r/>
            <w:r>
              <w:rPr>
                <w:rFonts w:ascii="Aptos" w:hAnsi="Aptos"/>
                <w:b w:val="0"/>
                <w:sz w:val="14"/>
              </w:rPr>
              <w:t>Reviewed queries, limitations, final report and submission checklist.</w:t>
            </w:r>
          </w:p>
        </w:tc>
      </w:tr>
    </w:tbl>
    <w:p>
      <w:pPr>
        <w:spacing w:after="0"/>
      </w:pPr>
    </w:p>
    <w:p>
      <w:r>
        <w:t>Total estimated effort: approximately 29–34 hours, consistent with the assignment’s 30–35-hour expectation.</w:t>
      </w:r>
    </w:p>
    <w:p>
      <w:pPr>
        <w:pStyle w:val="Heading1"/>
      </w:pPr>
      <w:r>
        <w:t>8. Conclusion</w:t>
      </w:r>
    </w:p>
    <w:p>
      <w:r>
        <w:t>This plan defines a practical SQL reporting layer for agribusiness operations. It combines production, yield, price, livestock and data-quality indicators with clear definitions and business use cases. Correct aggregation grain, explicit filters, controlled joins and documented units help ensure that summaries are both efficient and trustworthy. A concise report with KPI cards, trend charts, rankings and quality notes can turn these outputs into actionable decisions while making uncertainty and data limitations visible.</w:t>
      </w:r>
    </w:p>
    <w:p>
      <w:pPr>
        <w:pStyle w:val="Heading2"/>
      </w:pPr>
      <w:r>
        <w:t>Submission checklist</w:t>
      </w:r>
    </w:p>
    <w:p>
      <w:pPr>
        <w:pStyle w:val="ListBullet"/>
        <w:spacing w:after="20"/>
      </w:pPr>
      <w:r>
        <w:t>Replace [Your Name] and confirm the final database table/column names.</w:t>
      </w:r>
    </w:p>
    <w:p>
      <w:pPr>
        <w:pStyle w:val="ListBullet"/>
        <w:spacing w:after="20"/>
      </w:pPr>
      <w:r>
        <w:t>Validate date ranges, units, currencies and metric definitions against the dataset.</w:t>
      </w:r>
    </w:p>
    <w:p>
      <w:pPr>
        <w:pStyle w:val="ListBullet"/>
        <w:spacing w:after="20"/>
      </w:pPr>
      <w:r>
        <w:t>Run the SQL against representative data and verify totals before reporting results.</w:t>
      </w:r>
    </w:p>
    <w:p>
      <w:pPr>
        <w:pStyle w:val="ListBullet"/>
        <w:spacing w:after="20"/>
      </w:pPr>
      <w:r>
        <w:t>Label outputs as examples until the queries have actually been executed.</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Agribusiness Business Reporting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WEEK 4 INTERNSHIP ASSESSMENT  |  DATA AGGREGATION &amp; BUSINESS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8727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35" w:lineRule="auto"/>
      <w:ind w:left="144" w:right="72"/>
    </w:pPr>
    <w:rPr>
      <w:rFonts w:ascii="Consolas" w:hAnsi="Consolas"/>
      <w:color w:val="232F3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Data Aggregation and Business Reporting — Agribusiness</dc:title>
  <dc:subject>Internship assessment report</dc:subject>
  <dc:creator>[Your Name]</dc:creator>
  <cp:keywords>agribusiness, SQL aggregation, KPI reporting, PostgreSQL, business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