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브랜드 리뉴얼 방향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왜 바꾸나</w:t>
      </w:r>
    </w:p>
    <w:p>
      <w:r>
        <w:rPr>
          <w:rFonts w:ascii="맑은 고딕" w:hAnsi="맑은 고딕" w:eastAsia="맑은 고딕"/>
        </w:rPr>
        <w:t>지금 로고는 작은 화면에서 잘 안 읽힌다. 포장 박스와 상세페이지의 색도 제각각이다.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방향</w:t>
      </w:r>
    </w:p>
    <w:p>
      <w:pPr>
        <w:pStyle w:val="ListBullet"/>
      </w:pPr>
      <w:r>
        <w:rPr>
          <w:rFonts w:ascii="맑은 고딕" w:hAnsi="맑은 고딕" w:eastAsia="맑은 고딕"/>
        </w:rPr>
        <w:t>색: 배경은 밝은 회색, 주색은 짙은 청록, 포인트는 주황</w:t>
      </w:r>
    </w:p>
    <w:p>
      <w:pPr>
        <w:pStyle w:val="ListBullet"/>
      </w:pPr>
      <w:r>
        <w:rPr>
          <w:rFonts w:ascii="맑은 고딕" w:hAnsi="맑은 고딕" w:eastAsia="맑은 고딕"/>
        </w:rPr>
        <w:t>글꼴 한 가지로 통일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일정</w:t>
      </w:r>
    </w:p>
    <w:p>
      <w:r>
        <w:rPr>
          <w:rFonts w:ascii="맑은 고딕" w:hAnsi="맑은 고딕" w:eastAsia="맑은 고딕"/>
        </w:rPr>
        <w:t>5월 적용. 로고 시안은 외부 디자인 회사 스튜디오 온과 정민서가 같이 작업한다. 예산 300만 원(한지우 승인).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