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창고 이전 검토 (보류)</w:t>
      </w:r>
    </w:p>
    <w:p>
      <w:r>
        <w:rPr>
          <w:rFonts w:ascii="맑은 고딕" w:hAnsi="맑은 고딕" w:eastAsia="맑은 고딕"/>
        </w:rPr>
        <w:t>2025년 11월에 검토했다가 보류한 건.</w:t>
      </w:r>
    </w:p>
    <w:p>
      <w:r>
        <w:rPr>
          <w:rFonts w:ascii="맑은 고딕" w:hAnsi="맑은 고딕" w:eastAsia="맑은 고딕"/>
        </w:rPr>
        <w:t>지금 창고는 20평. 신상품이 늘면 진열 자리가 모자란다.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후보</w:t>
      </w:r>
    </w:p>
    <w:p>
      <w:pPr>
        <w:pStyle w:val="ListBullet"/>
      </w:pPr>
      <w:r>
        <w:rPr>
          <w:rFonts w:ascii="맑은 고딕" w:hAnsi="맑은 고딕" w:eastAsia="맑은 고딕"/>
        </w:rPr>
        <w:t>같은 건물 2층 35평, 월 110만 원</w:t>
      </w:r>
    </w:p>
    <w:p>
      <w:pPr>
        <w:pStyle w:val="ListBullet"/>
      </w:pPr>
      <w:r>
        <w:rPr>
          <w:rFonts w:ascii="맑은 고딕" w:hAnsi="맑은 고딕" w:eastAsia="맑은 고딕"/>
        </w:rPr>
        <w:t>차로 10분 거리 50평, 월 130만 원</w:t>
      </w:r>
    </w:p>
    <w:p>
      <w:r>
        <w:rPr>
          <w:rFonts w:ascii="맑은 고딕" w:hAnsi="맑은 고딕" w:eastAsia="맑은 고딕"/>
        </w:rPr>
        <w:t>한지우 대표: 2026년 상반기 매출을 보고 다시 이야기하자.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