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그린홈 제작소 공급 계약서 (초안)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주요 조건</w:t>
      </w:r>
    </w:p>
    <w:p>
      <w:pPr>
        <w:pStyle w:val="ListBullet"/>
      </w:pPr>
      <w:r>
        <w:rPr>
          <w:rFonts w:ascii="맑은 고딕" w:hAnsi="맑은 고딕" w:eastAsia="맑은 고딕"/>
        </w:rPr>
        <w:t>정산: 납품 다음 달 10일</w:t>
      </w:r>
    </w:p>
    <w:p>
      <w:pPr>
        <w:pStyle w:val="ListBullet"/>
      </w:pPr>
      <w:r>
        <w:rPr>
          <w:rFonts w:ascii="맑은 고딕" w:hAnsi="맑은 고딕" w:eastAsia="맑은 고딕"/>
        </w:rPr>
        <w:t>세금계산서: 납품일 기준 발행</w:t>
      </w:r>
    </w:p>
    <w:p>
      <w:pPr>
        <w:pStyle w:val="ListBullet"/>
      </w:pPr>
      <w:r>
        <w:rPr>
          <w:rFonts w:ascii="맑은 고딕" w:hAnsi="맑은 고딕" w:eastAsia="맑은 고딕"/>
        </w:rPr>
        <w:t>불량률 2%가 넘으면 넘는 수량을 무상 교체</w:t>
      </w:r>
    </w:p>
    <w:p>
      <w:pPr>
        <w:pStyle w:val="ListBullet"/>
      </w:pPr>
      <w:r>
        <w:rPr>
          <w:rFonts w:ascii="맑은 고딕" w:hAnsi="맑은 고딕" w:eastAsia="맑은 고딕"/>
        </w:rPr>
        <w:t>KC 인증 서류는 제조사가 준비해 납품 전에 전달</w:t>
      </w:r>
    </w:p>
    <w:p>
      <w:r>
        <w:rPr>
          <w:rFonts w:ascii="맑은 고딕" w:hAnsi="맑은 고딕" w:eastAsia="맑은 고딕"/>
        </w:rPr>
        <w:t>한지우 대표가 3월 31일까지 날인한다. 초도 물량(250 또는 300)은 날인 전에 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