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72"/>
          <w:szCs w:val="72"/>
        </w:rPr>
        <w:t xml:space="preserve">NCOMA</w:t>
      </w:r>
    </w:p>
    <w:p>
      <w:pPr>
        <w:spacing w:after="120"/>
        <w:jc w:val="center"/>
      </w:pPr>
      <w:r>
        <w:rPr>
          <w:rFonts w:ascii="Arial" w:cs="Arial" w:eastAsia="Arial" w:hAnsi="Arial"/>
          <w:color w:val="2C3E50"/>
          <w:sz w:val="40"/>
          <w:szCs w:val="40"/>
        </w:rPr>
        <w:t xml:space="preserve">Certified Cooking Oil Management Guide</w:t>
      </w:r>
    </w:p>
    <w:p>
      <w:pPr>
        <w:spacing w:after="400"/>
        <w:jc w:val="center"/>
      </w:pPr>
      <w:r>
        <w:rPr>
          <w:rFonts w:ascii="Arial" w:cs="Arial" w:eastAsia="Arial" w:hAnsi="Arial"/>
          <w:color w:val="555555"/>
          <w:sz w:val="26"/>
          <w:szCs w:val="26"/>
        </w:rPr>
        <w:t xml:space="preserve">The Complete Reference for Restaurant Staff, Chefs,
and Food Service Operators</w:t>
      </w:r>
    </w:p>
    <w:p>
      <w:pPr>
        <w:spacing w:after="100"/>
        <w:jc w:val="center"/>
      </w:pPr>
      <w:r>
        <w:rPr>
          <w:color w:val="CCCCCC"/>
          <w:sz w:val="24"/>
          <w:szCs w:val="24"/>
        </w:rPr>
        <w:t xml:space="preserve">────────────────────────────────────────</w:t>
      </w:r>
    </w:p>
    <w:p>
      <w:pPr>
        <w:spacing w:after="80"/>
        <w:jc w:val="center"/>
      </w:pPr>
      <w:r>
        <w:rPr>
          <w:rFonts w:ascii="Arial" w:cs="Arial" w:eastAsia="Arial" w:hAnsi="Arial"/>
          <w:color w:val="7F8C8D"/>
          <w:sz w:val="24"/>
          <w:szCs w:val="24"/>
        </w:rPr>
        <w:t xml:space="preserve">National Cooking Oil Management Association</w:t>
      </w:r>
    </w:p>
    <w:p>
      <w:pPr>
        <w:spacing w:after="80"/>
        <w:jc w:val="center"/>
      </w:pPr>
      <w:r>
        <w:rPr>
          <w:rFonts w:ascii="Arial" w:cs="Arial" w:eastAsia="Arial" w:hAnsi="Arial"/>
          <w:color w:val="7F8C8D"/>
          <w:sz w:val="22"/>
          <w:szCs w:val="22"/>
        </w:rPr>
        <w:t xml:space="preserve">Certification Reference Text — First Edition, 2025</w:t>
      </w:r>
    </w:p>
    <w:p>
      <w:r>
        <w:br w:type="page"/>
      </w:r>
    </w:p>
    <w:p>
      <w:pPr>
        <w:pStyle w:val="Heading2"/>
        <w:spacing w:before="360" w:after="180"/>
      </w:pPr>
      <w:r>
        <w:rPr>
          <w:rFonts w:ascii="Arial" w:cs="Arial" w:eastAsia="Arial" w:hAnsi="Arial"/>
          <w:b/>
          <w:bCs/>
          <w:sz w:val="28"/>
          <w:szCs w:val="28"/>
        </w:rPr>
        <w:t xml:space="preserve">Conflict Disclosure and Transparency Statement</w:t>
      </w:r>
    </w:p>
    <w:p>
      <w:pPr>
        <w:spacing w:after="180" w:line="276"/>
      </w:pPr>
      <w:r>
        <w:rPr>
          <w:rFonts w:ascii="Arial" w:cs="Arial" w:eastAsia="Arial" w:hAnsi="Arial"/>
          <w:sz w:val="22"/>
          <w:szCs w:val="22"/>
        </w:rPr>
        <w:t xml:space="preserve">The frying life data marked “H” (high confidence) for seven oils in Part 2 of this document comes from a study commissioned and funded by Fedepalma, the Colombian Palm Oil Federation, and conducted at Universidad de Caldas (2025). The methodology followed international standards including NTC, AOAC, and AOCS protocols. This funding relationship is disclosed here and at every point of use throughout the document. Readers should weigh this data alongside independently funded research cited throughout.</w:t>
      </w:r>
    </w:p>
    <w:p>
      <w:pPr>
        <w:spacing w:after="180" w:line="276"/>
      </w:pPr>
      <w:r>
        <w:rPr>
          <w:rFonts w:ascii="Arial" w:cs="Arial" w:eastAsia="Arial" w:hAnsi="Arial"/>
          <w:sz w:val="22"/>
          <w:szCs w:val="22"/>
        </w:rPr>
        <w:t xml:space="preserve">The Zeco filtration system is featured in Part 6 of this document because it represents a meaningful advancement in commercial oil filtration practice. The Zeco system was invented by Conrad Canter, a partner in S&amp;K Oil Sales, Arizona’s leading independent distributor of premium cooking oil. Readers should evaluate technical claims independently and consult manufacturer documentation for current specifications.</w:t>
      </w:r>
    </w:p>
    <w:p>
      <w:pPr>
        <w:spacing w:after="180" w:line="276"/>
      </w:pPr>
      <w:r>
        <w:rPr>
          <w:rFonts w:ascii="Arial" w:cs="Arial" w:eastAsia="Arial" w:hAnsi="Arial"/>
          <w:sz w:val="22"/>
          <w:szCs w:val="22"/>
        </w:rPr>
        <w:t xml:space="preserve">This document was developed as the foundational certification text for the NCOMA Certified Oil Manager (COM) program. Its purpose is to establish a knowledge-based, data-driven standard for cooking oil management in American foodservice operations—an area where no federal regulatory standard currently exists.</w:t>
      </w:r>
    </w:p>
    <w:p>
      <w:r>
        <w:br w:type="page"/>
      </w:r>
    </w:p>
    <w:p>
      <w:pPr>
        <w:pStyle w:val="Heading1"/>
        <w:spacing w:before="480" w:after="24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PART 1: THE SCIENCE OF COOKING OIL</w:t>
      </w:r>
    </w:p>
    <w:p>
      <w:pPr>
        <w:spacing w:after="180" w:line="276"/>
      </w:pPr>
      <w:r>
        <w:rPr>
          <w:rFonts w:ascii="Arial" w:cs="Arial" w:eastAsia="Arial" w:hAnsi="Arial"/>
          <w:sz w:val="22"/>
          <w:szCs w:val="22"/>
        </w:rPr>
        <w:t xml:space="preserve">This section provides the scientific foundation for everything that follows. Every concept introduced here—fatty acid composition, degradation pathways, TPM measurement, and antioxidant chemistry—directly informs the operational practices, oil selection decisions, and certification standards in the remainder of this guide.</w:t>
      </w:r>
    </w:p>
    <w:p>
      <w:pPr>
        <w:pStyle w:val="Heading2"/>
        <w:spacing w:before="360" w:after="180"/>
      </w:pPr>
      <w:r>
        <w:rPr>
          <w:rFonts w:ascii="Arial" w:cs="Arial" w:eastAsia="Arial" w:hAnsi="Arial"/>
          <w:b/>
          <w:bCs/>
          <w:sz w:val="28"/>
          <w:szCs w:val="28"/>
        </w:rPr>
        <w:t xml:space="preserve">1.1 What Oil Is — For Non-Chemists</w:t>
      </w:r>
    </w:p>
    <w:p>
      <w:pPr>
        <w:spacing w:after="180" w:line="276"/>
      </w:pPr>
      <w:r>
        <w:rPr>
          <w:rFonts w:ascii="Arial" w:cs="Arial" w:eastAsia="Arial" w:hAnsi="Arial"/>
          <w:sz w:val="22"/>
          <w:szCs w:val="22"/>
        </w:rPr>
        <w:t xml:space="preserve">Every cooking oil and fat, whether it comes from a palm fruit, a soybean, or the rendered tissue of a steer, is built from the same molecular architecture: triglycerides. A triglyceride is a molecule composed of a glycerol backbone—a small, three-carbon alcohol—with three fatty acid chains attached to it. Think of it like a three-pronged fork: the handle is glycerol, and each tine is a fatty acid. These fatty acid tines determine virtually everything about how an oil behaves in your kitchen: its stability under heat, its flavor, its health profile, and how long it will last in your fryer before it must be discarded (Gunstone, 2011).</w:t>
      </w:r>
    </w:p>
    <w:p>
      <w:pPr>
        <w:spacing w:after="180" w:line="276"/>
      </w:pPr>
      <w:r>
        <w:rPr>
          <w:rFonts w:ascii="Arial" w:cs="Arial" w:eastAsia="Arial" w:hAnsi="Arial"/>
          <w:sz w:val="22"/>
          <w:szCs w:val="22"/>
        </w:rPr>
        <w:t xml:space="preserve">Fatty acids differ from one another in two critical ways: chain length (how many carbon atoms are strung together) and degree of saturation (how many double bonds exist between those carbon atoms). These two variables create the entire spectrum of cooking oil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Triglyceride: A molecule made of one glycerol backbone with three fatty acid chains attached. Think of a three-pronged fork—the handle is glycerol, each tine is a fatty acid. This is the basic building block of all cooking oils and fats.</w:t>
            </w:r>
          </w:p>
        </w:tc>
      </w:tr>
    </w:tbl>
    <w:p>
      <w:pPr>
        <w:spacing w:after="120"/>
      </w:pPr>
    </w:p>
    <w:p>
      <w:pPr>
        <w:pStyle w:val="Heading3"/>
        <w:spacing w:before="240" w:after="120"/>
      </w:pPr>
      <w:r>
        <w:rPr>
          <w:rFonts w:ascii="Arial" w:cs="Arial" w:eastAsia="Arial" w:hAnsi="Arial"/>
          <w:b/>
          <w:bCs/>
          <w:sz w:val="24"/>
          <w:szCs w:val="24"/>
        </w:rPr>
        <w:t xml:space="preserve">Saturated Fatty Acids (SAFA)</w:t>
      </w:r>
    </w:p>
    <w:p>
      <w:pPr>
        <w:spacing w:after="180" w:line="276"/>
      </w:pPr>
      <w:r>
        <w:rPr>
          <w:rFonts w:ascii="Arial" w:cs="Arial" w:eastAsia="Arial" w:hAnsi="Arial"/>
          <w:sz w:val="22"/>
          <w:szCs w:val="22"/>
        </w:rPr>
        <w:t xml:space="preserve">A saturated fatty acid is one in which every carbon atom in the chain is bonded to the maximum possible number of hydrogen atoms—the chain is “saturated” with hydrogen. Picture a straight, rigid stick. Because saturated chains pack tightly together, oils high in SAFA tend to be solid or semi-solid at room temperature (butter, coconut oil, tallow), and they are exceptionally stable under heat because there are no weak points in the chain for oxygen to attack. Oils high in SAFA include coconut oil (87% SAFA), palm kernel oil (82%), ghee (63%), beef tallow (50%), and crude palm oil (50%) (USDA FoodData Central). The trade-off is health-related: the American Heart Association and the World Health Organization both recommend limiting saturated fat intake due to its association with elevated LDL cholesterol (AHA, 2021; WHO, 2023).</w:t>
      </w:r>
    </w:p>
    <w:p>
      <w:pPr>
        <w:pStyle w:val="Heading3"/>
        <w:spacing w:before="240" w:after="120"/>
      </w:pPr>
      <w:r>
        <w:rPr>
          <w:rFonts w:ascii="Arial" w:cs="Arial" w:eastAsia="Arial" w:hAnsi="Arial"/>
          <w:b/>
          <w:bCs/>
          <w:sz w:val="24"/>
          <w:szCs w:val="24"/>
        </w:rPr>
        <w:t xml:space="preserve">Monounsaturated Fatty Acids (MUFA)</w:t>
      </w:r>
    </w:p>
    <w:p>
      <w:pPr>
        <w:spacing w:after="180" w:line="276"/>
      </w:pPr>
      <w:r>
        <w:rPr>
          <w:rFonts w:ascii="Arial" w:cs="Arial" w:eastAsia="Arial" w:hAnsi="Arial"/>
          <w:sz w:val="22"/>
          <w:szCs w:val="22"/>
        </w:rPr>
        <w:t xml:space="preserve">A monounsaturated fatty acid has exactly one double bond in its carbon chain. That single double bond introduces a small bend or kink in the otherwise straight chain. This kink prevents the molecules from packing as tightly as saturated fats—which is why high-MUFA oils are liquid at room temperature—but it leaves only one vulnerable site for oxidative attack. MUFA represents what many food scientists call the “Goldilocks zone” for frying: liquid enough to work as a frying medium, stable enough to resist degradation for hundreds of cycles, and associated with favorable cardiovascular outcomes (Choe &amp; Min, 2007). Oils high in MUFA include high oleic sunflower oil (82% MUFA), high oleic soybean oil (75%), extra virgin olive oil (73%), high oleic palm olein from OxG Colombian varieties (53%), and canola oil (63%) (USDA FoodData Central; Fedepalma/UCaldas,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PRO TIP</w:t>
            </w:r>
          </w:p>
          <w:p>
            <w:pPr>
              <w:spacing w:after="0"/>
            </w:pPr>
            <w:r>
              <w:rPr>
                <w:rFonts w:ascii="Arial" w:cs="Arial" w:eastAsia="Arial" w:hAnsi="Arial"/>
                <w:sz w:val="21"/>
                <w:szCs w:val="21"/>
              </w:rPr>
              <w:t xml:space="preserve">When evaluating a frying oil, look at the MUFA percentage first. MUFA is the single best proxy for the balance between frying stability and cardiovascular health. Oils above 50% MUFA with low PUFA generally deliver the best combination of performance and health outcomes.</w:t>
            </w:r>
          </w:p>
        </w:tc>
      </w:tr>
    </w:tbl>
    <w:p>
      <w:pPr>
        <w:spacing w:after="120"/>
      </w:pPr>
    </w:p>
    <w:p>
      <w:pPr>
        <w:pStyle w:val="Heading3"/>
        <w:spacing w:before="240" w:after="120"/>
      </w:pPr>
      <w:r>
        <w:rPr>
          <w:rFonts w:ascii="Arial" w:cs="Arial" w:eastAsia="Arial" w:hAnsi="Arial"/>
          <w:b/>
          <w:bCs/>
          <w:sz w:val="24"/>
          <w:szCs w:val="24"/>
        </w:rPr>
        <w:t xml:space="preserve">Polyunsaturated Fatty Acids (PUFA)</w:t>
      </w:r>
    </w:p>
    <w:p>
      <w:pPr>
        <w:spacing w:after="180" w:line="276"/>
      </w:pPr>
      <w:r>
        <w:rPr>
          <w:rFonts w:ascii="Arial" w:cs="Arial" w:eastAsia="Arial" w:hAnsi="Arial"/>
          <w:sz w:val="22"/>
          <w:szCs w:val="22"/>
        </w:rPr>
        <w:t xml:space="preserve">A polyunsaturated fatty acid has two or more double bonds in its chain. Each additional double bond introduces another kink and another site vulnerable to oxidative attack. Think of a chain with multiple weak links—the more weak links, the more likely the chain is to break. This is why PUFA-rich oils are the least stable under frying conditions and produce the highest levels of harmful degradation products, particularly aldehydes (Grootveld et al., 2017). The two major families of PUFA are omega-6 (linoleic acid, the dominant PUFA in most seed oils) and omega-3 (alpha-linolenic acid, found in canola, soybean, and flaxseed oils). Oils high in PUFA include grapeseed oil (71%), soybean oil (61%), conventional sunflower oil (56%), corn oil (55%), and cottonseed oil (52%) (USDA FoodData Central).</w:t>
      </w:r>
    </w:p>
    <w:p>
      <w:pPr>
        <w:spacing w:after="180" w:line="276"/>
      </w:pPr>
      <w:r>
        <w:rPr>
          <w:rFonts w:ascii="Arial" w:cs="Arial" w:eastAsia="Arial" w:hAnsi="Arial"/>
          <w:sz w:val="22"/>
          <w:szCs w:val="22"/>
        </w:rPr>
        <w:t xml:space="preserve">In a fryer, the distinction between omega-6 and omega-3 PUFA matters acutely. Omega-3 fatty acids, with three or more double bonds, are even more unstable than omega-6 under heat. When fish or seafood (naturally rich in omega-3 PUFA) is fried, those omega-3 fatty acids migrate into the frying oil and dramatically accelerate the oxidative chain reaction for every subsequent batch of food (Choe &amp; Min,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Frying fish or seafood in a shared oil load introduces highly unstable omega-3 PUFA into the frying medium. This accelerates degradation for ALL subsequent food fried in that oil and transfers fishy off-flavors. A dedicated fryer for fish and seafood is not a preference—it is an operational requirement.</w:t>
            </w:r>
          </w:p>
        </w:tc>
      </w:tr>
    </w:tbl>
    <w:p>
      <w:pPr>
        <w:spacing w:after="120"/>
      </w:pPr>
    </w:p>
    <w:p>
      <w:pPr>
        <w:pStyle w:val="Heading3"/>
        <w:spacing w:before="240" w:after="120"/>
      </w:pPr>
      <w:r>
        <w:rPr>
          <w:rFonts w:ascii="Arial" w:cs="Arial" w:eastAsia="Arial" w:hAnsi="Arial"/>
          <w:b/>
          <w:bCs/>
          <w:sz w:val="24"/>
          <w:szCs w:val="24"/>
        </w:rPr>
        <w:t xml:space="preserve">Free Fatty Acids (FFA)</w:t>
      </w:r>
    </w:p>
    <w:p>
      <w:pPr>
        <w:spacing w:after="180" w:line="276"/>
      </w:pPr>
      <w:r>
        <w:rPr>
          <w:rFonts w:ascii="Arial" w:cs="Arial" w:eastAsia="Arial" w:hAnsi="Arial"/>
          <w:sz w:val="22"/>
          <w:szCs w:val="22"/>
        </w:rPr>
        <w:t xml:space="preserve">When a triglyceride molecule breaks apart—typically because water reacted with it under heat (a process called hydrolysis)—one or more of the fatty acid “tines” detach from the glycerol “fork.” These detached fatty acids are called free fatty acids. FFA are the first measurable sign of oil abuse. They lower the smoke point of oil, produce soapy and sour off-flavors, and catalyze further breakdown. Monitoring FFA percentage is one of the simplest quality checks available to operators (Saguy &amp; Dana, 2003).</w:t>
      </w:r>
    </w:p>
    <w:p>
      <w:pPr>
        <w:pStyle w:val="Heading3"/>
        <w:spacing w:before="240" w:after="120"/>
      </w:pPr>
      <w:r>
        <w:rPr>
          <w:rFonts w:ascii="Arial" w:cs="Arial" w:eastAsia="Arial" w:hAnsi="Arial"/>
          <w:b/>
          <w:bCs/>
          <w:sz w:val="24"/>
          <w:szCs w:val="24"/>
        </w:rPr>
        <w:t xml:space="preserve">Composition Is Destiny</w:t>
      </w:r>
    </w:p>
    <w:p>
      <w:pPr>
        <w:spacing w:after="180" w:line="276"/>
      </w:pPr>
      <w:r>
        <w:rPr>
          <w:rFonts w:ascii="Arial" w:cs="Arial" w:eastAsia="Arial" w:hAnsi="Arial"/>
          <w:sz w:val="22"/>
          <w:szCs w:val="22"/>
        </w:rPr>
        <w:t xml:space="preserve">The fatty acid profile of an oil is the single most important predictor of its practical behavior in a fryer. An oil with 82% MUFA (like high oleic sunflower) will resist oxidation far longer than an oil with 71% PUFA (like grapeseed), even if both are refined to a similar smoke point. An oil with 87% SAFA (like coconut) will be thermally stable but carries health trade-offs. Every purchasing and management decision in a professional kitchen should begin with the fatty acid composition of the oil being considered.</w:t>
      </w:r>
    </w:p>
    <w:p>
      <w:pPr>
        <w:pStyle w:val="Heading3"/>
        <w:spacing w:before="240" w:after="120"/>
      </w:pPr>
      <w:r>
        <w:rPr>
          <w:rFonts w:ascii="Arial" w:cs="Arial" w:eastAsia="Arial" w:hAnsi="Arial"/>
          <w:b/>
          <w:bCs/>
          <w:sz w:val="24"/>
          <w:szCs w:val="24"/>
        </w:rPr>
        <w:t xml:space="preserve">The Omega-6:3 Ratio</w:t>
      </w:r>
    </w:p>
    <w:p>
      <w:pPr>
        <w:spacing w:after="180" w:line="276"/>
      </w:pPr>
      <w:r>
        <w:rPr>
          <w:rFonts w:ascii="Arial" w:cs="Arial" w:eastAsia="Arial" w:hAnsi="Arial"/>
          <w:sz w:val="22"/>
          <w:szCs w:val="22"/>
        </w:rPr>
        <w:t xml:space="preserve">The ratio of omega-6 to omega-3 fatty acids in the diet has become a significant concern in nutritional science. Ancestral human diets are estimated to have provided a ratio of roughly 1:1 to 4:1. The modern Western diet, heavily reliant on seed oils rich in omega-6 linoleic acid, delivers ratios of 15:1 to 25:1 (Simopoulos, 2002). Excess omega-6 relative to omega-3 is associated with increased systemic inflammation and elevated risk of cardiovascular disease, though the magnitude of this effect remains debated. For professional kitchens, the practical implication is straightforward: oils with extreme omega-6:3 ratios (grapeseed at 233:1, peanut at 320:1, cottonseed at 255:1) deliver a heavy omega-6 load to every portion of fried food, while oils with more balanced ratios (canola at 2.2:1, ghee at 2:1) or low total PUFA (HO palm olein at 11% total PUFA) minimize this concern (USDA FoodData Central; Fedepalma/UCaldas, 2025).</w:t>
      </w:r>
    </w:p>
    <w:p>
      <w:pPr>
        <w:spacing w:after="120"/>
      </w:pP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1.1: Fatty Acid Profiles of Major Frying Oils</w:t>
      </w: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Oil / Fat</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SAFA %</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MUFA %</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PUFA %</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ω-6:3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Sunflower Oil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HO Soybean Oil</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75</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EVOO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Canola Oil</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63</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Palm Olein (OxG Col.)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HO Palm Oil (OxG Col.)</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37</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52</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Beef Tallow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Lard</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39</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45</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Soybean Oil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7.3:1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Sunflower Oil (Conv.)</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32</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56</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104:1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 Oil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43:1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Grapeseed Oil</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71</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233:1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Coconut Oil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w:t>
            </w:r>
          </w:p>
        </w:tc>
      </w:tr>
    </w:tbl>
    <w:p>
      <w:pPr>
        <w:spacing w:after="180" w:line="276"/>
      </w:pPr>
      <w:r>
        <w:rPr>
          <w:rFonts w:ascii="Arial" w:cs="Arial" w:eastAsia="Arial" w:hAnsi="Arial"/>
          <w:i/>
          <w:iCs/>
          <w:sz w:val="22"/>
          <w:szCs w:val="22"/>
        </w:rPr>
        <w:t xml:space="preserve">Source: USDA FoodData Central; Fedepalma/UCaldas (2025). Sorted by MUFA content, descending.</w:t>
      </w:r>
    </w:p>
    <w:p>
      <w:pPr>
        <w:spacing w:after="120"/>
      </w:pPr>
    </w:p>
    <w:p>
      <w:pPr>
        <w:pStyle w:val="Heading2"/>
        <w:spacing w:before="360" w:after="180"/>
      </w:pPr>
      <w:r>
        <w:rPr>
          <w:rFonts w:ascii="Arial" w:cs="Arial" w:eastAsia="Arial" w:hAnsi="Arial"/>
          <w:b/>
          <w:bCs/>
          <w:sz w:val="28"/>
          <w:szCs w:val="28"/>
        </w:rPr>
        <w:t xml:space="preserve">1.2 Smoke Point vs. Oxidative Stability — The Most Misunderstood Distinction</w:t>
      </w:r>
    </w:p>
    <w:p>
      <w:pPr>
        <w:spacing w:after="180" w:line="276"/>
      </w:pPr>
      <w:r>
        <w:rPr>
          <w:rFonts w:ascii="Arial" w:cs="Arial" w:eastAsia="Arial" w:hAnsi="Arial"/>
          <w:sz w:val="22"/>
          <w:szCs w:val="22"/>
        </w:rPr>
        <w:t xml:space="preserve">Smoke point is the temperature at which free fatty acids and other volatile degradation products in an oil begin to volatilize rapidly enough to produce a continuous, visible stream of bluish smoke from the oil surface. It is the most commonly cited metric for oil selection in culinary education and restaurant purchasing. It is also, by itself, a dangerously incomplete measure of an oil’s frying suitability.</w:t>
      </w:r>
    </w:p>
    <w:p>
      <w:pPr>
        <w:spacing w:after="180" w:line="276"/>
      </w:pPr>
      <w:r>
        <w:rPr>
          <w:rFonts w:ascii="Arial" w:cs="Arial" w:eastAsia="Arial" w:hAnsi="Arial"/>
          <w:sz w:val="22"/>
          <w:szCs w:val="22"/>
        </w:rPr>
        <w:t xml:space="preserve">Here is why: smoke point tells you the temperature ceiling at which an oil begins to produce visible evidence of thermal stress. It does not tell you how long the oil can sustain that temperature before it degrades to the point of being unsafe, unpalatable, or a fire risk. An oil can have a high smoke point and still break down rapidly if its fatty acid composition is dominated by oxidation-prone PUFA.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Smoke Point: The temperature at which an oil produces visible, continuous smoke. It sets the maximum frying temperature but says nothing about how long the oil will last at that temperature.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Oxidative Stability Index (OSI): The number of hours an oil resists accelerated oxidation at 110°C before rancidity onset, measured by the Rancimat method (AOCS Cd 12b-92). OSI is the more meaningful number for professional frying because it predicts useful frying life, not just temperature tolerance.</w:t>
            </w:r>
          </w:p>
        </w:tc>
      </w:tr>
    </w:tbl>
    <w:p>
      <w:pPr>
        <w:spacing w:after="120"/>
      </w:pPr>
    </w:p>
    <w:p>
      <w:pPr>
        <w:spacing w:after="180" w:line="276"/>
      </w:pPr>
      <w:r>
        <w:rPr>
          <w:rFonts w:ascii="Arial" w:cs="Arial" w:eastAsia="Arial" w:hAnsi="Arial"/>
          <w:sz w:val="22"/>
          <w:szCs w:val="22"/>
        </w:rPr>
        <w:t xml:space="preserve">Consider conventional sunflower oil. After refining, it carries a respectable smoke point of 227°C—well above typical deep-frying temperatures of 175–190°C. Yet its OSI is only 16.5 hours, and its measured frying life is just 107 cycles, the lowest among all tested oils in the Fedepalma/UCaldas (2025) study. The reason is its fatty acid profile: 56% PUFA provides abundant targets for oxidative chain reactions that proceed relentlessly below the smoke point, invisible to the eye.</w:t>
      </w:r>
    </w:p>
    <w:p>
      <w:pPr>
        <w:spacing w:after="180" w:line="276"/>
      </w:pPr>
      <w:r>
        <w:rPr>
          <w:rFonts w:ascii="Arial" w:cs="Arial" w:eastAsia="Arial" w:hAnsi="Arial"/>
          <w:sz w:val="22"/>
          <w:szCs w:val="22"/>
        </w:rPr>
        <w:t xml:space="preserve">Now consider high oleic palm olein from OxG Colombian varieties. Its smoke point is 235°C—modestly higher than sunflower—but its OSI is 72.4 hours and its measured frying life is 342 cycles. The difference is composition: 53% MUFA and only 11% PUFA (Fedepalma/UCaldas, 2025). [Disclosure: Fedepalma-funded study; methodology followed NTC/AOAC/AOCS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COMMON MISTAKE</w:t>
            </w:r>
          </w:p>
          <w:p>
            <w:pPr>
              <w:spacing w:after="0"/>
            </w:pPr>
            <w:r>
              <w:rPr>
                <w:rFonts w:ascii="Arial" w:cs="Arial" w:eastAsia="Arial" w:hAnsi="Arial"/>
                <w:sz w:val="21"/>
                <w:szCs w:val="21"/>
              </w:rPr>
              <w:t xml:space="preserve">Choosing a frying oil based solely on smoke point. Many culinary schools still teach smoke point as the primary selection criterion. This leads operators to choose oils like conventional sunflower (227°C smoke point, 107 frying cycles) over objectively superior options like HO palm olein (235°C smoke point, 342 frying cycles). The rule: smoke point sets the ceiling; OSI determines the runway.</w:t>
            </w:r>
          </w:p>
        </w:tc>
      </w:tr>
    </w:tbl>
    <w:p>
      <w:pPr>
        <w:spacing w:after="120"/>
      </w:pP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1.2: Smoke Point vs. OSI — Why They Diverge</w:t>
      </w:r>
      <w:r>
        <w:rPr>
          <w:rFonts w:ascii="Arial" w:cs="Arial" w:eastAsia="Arial" w:hAnsi="Arial"/>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200"/>
        <w:gridCol w:w="80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Oil</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Smoke Pt (°C)</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OSI (hrs)</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PUFA %</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Fry Cycles</w:t>
            </w:r>
          </w:p>
        </w:tc>
        <w:tc>
          <w:tcPr>
            <w:tcW w:type="dxa" w:w="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Palm Oil (OxG Col.)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HO Sunflower</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244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347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Palm Olein (OxG Col.)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Beef Tallow</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280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Soybean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EVOO</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191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270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Palm Olein (Conv.)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Coconut (Refined)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Ghee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Soybean Oil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61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187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Rice Bran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170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Canola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Sesame (Refined)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 Oil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Sunflower (Conv.)</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16.5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Cottonseed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Grapeseed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r>
    </w:tbl>
    <w:p>
      <w:pPr>
        <w:spacing w:after="180" w:line="276"/>
      </w:pPr>
      <w:r>
        <w:rPr>
          <w:rFonts w:ascii="Arial" w:cs="Arial" w:eastAsia="Arial" w:hAnsi="Arial"/>
          <w:i/>
          <w:iCs/>
          <w:sz w:val="22"/>
          <w:szCs w:val="22"/>
        </w:rPr>
        <w:t xml:space="preserve">Sources: Fedepalma/UCaldas (2025) for H-confidence data; Guillaume et al. (2018); Yu et al. (2018); Dobarganes et al. for M/L estimates. H = High confidence (directly measured); M = Medium (strong literature basis); L = Low (extrapolated from FA profile + OSI). [Fedepalma funding disclosed.]</w:t>
      </w:r>
    </w:p>
    <w:p>
      <w:pPr>
        <w:spacing w:after="120"/>
      </w:pPr>
    </w:p>
    <w:p>
      <w:pPr>
        <w:pStyle w:val="Heading2"/>
        <w:spacing w:before="360" w:after="180"/>
      </w:pPr>
      <w:r>
        <w:rPr>
          <w:rFonts w:ascii="Arial" w:cs="Arial" w:eastAsia="Arial" w:hAnsi="Arial"/>
          <w:b/>
          <w:bCs/>
          <w:sz w:val="28"/>
          <w:szCs w:val="28"/>
        </w:rPr>
        <w:t xml:space="preserve">1.3 The Three Degradation Pathways — How Oil Dies</w:t>
      </w:r>
    </w:p>
    <w:p>
      <w:pPr>
        <w:spacing w:after="180" w:line="276"/>
      </w:pPr>
      <w:r>
        <w:rPr>
          <w:rFonts w:ascii="Arial" w:cs="Arial" w:eastAsia="Arial" w:hAnsi="Arial"/>
          <w:sz w:val="22"/>
          <w:szCs w:val="22"/>
        </w:rPr>
        <w:t xml:space="preserve">Cooking oil does not simply “go bad” in a single, uniform way. It degrades through three distinct chemical pathways, each triggered by different conditions, each producing different harmful products, and each requiring different management interventions. Understanding all three is essential for any professional who manages a fryer.</w:t>
      </w:r>
    </w:p>
    <w:p>
      <w:pPr>
        <w:pStyle w:val="Heading3"/>
        <w:spacing w:before="240" w:after="120"/>
      </w:pPr>
      <w:r>
        <w:rPr>
          <w:rFonts w:ascii="Arial" w:cs="Arial" w:eastAsia="Arial" w:hAnsi="Arial"/>
          <w:b/>
          <w:bCs/>
          <w:sz w:val="24"/>
          <w:szCs w:val="24"/>
        </w:rPr>
        <w:t xml:space="preserve">Hydrolysis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Hydrolysis: The reaction of water with triglycerides, which cleaves fatty acid chains from the glycerol backbone, producing free fatty acids, mono/diglycerides, and glycerol. Triggered primarily by moisture from food and accelerated by heat.</w:t>
            </w:r>
          </w:p>
        </w:tc>
      </w:tr>
    </w:tbl>
    <w:p>
      <w:pPr>
        <w:spacing w:after="120"/>
      </w:pPr>
    </w:p>
    <w:p>
      <w:pPr>
        <w:spacing w:after="180" w:line="276"/>
      </w:pPr>
      <w:r>
        <w:rPr>
          <w:rFonts w:ascii="Arial" w:cs="Arial" w:eastAsia="Arial" w:hAnsi="Arial"/>
          <w:sz w:val="22"/>
          <w:szCs w:val="22"/>
        </w:rPr>
        <w:t xml:space="preserve">Hydrolysis is the reaction of water with triglycerides. When water molecules—introduced by the food being fried, by steam in the kitchen environment, or by residual moisture in an improperly dried fryer—contact hot triglyceride molecules, they cleave the bond between the glycerol backbone and one or more fatty acid chains. The products of this cleavage are free fatty acids (FFA), mono- and diglycerides, and glycerol. All of these products are polar compounds that contribute to the TPM reading (Choe &amp; Min, 2007).</w:t>
      </w:r>
    </w:p>
    <w:p>
      <w:pPr>
        <w:spacing w:after="180" w:line="276"/>
      </w:pPr>
      <w:r>
        <w:rPr>
          <w:rFonts w:ascii="Arial" w:cs="Arial" w:eastAsia="Arial" w:hAnsi="Arial"/>
          <w:sz w:val="22"/>
          <w:szCs w:val="22"/>
        </w:rPr>
        <w:t xml:space="preserve">What accelerates hydrolysis: high temperature, large volumes of water from food (especially high-moisture items like chicken, fish, frozen products, and battered items), steam exposure, and residual water left in the fryer after cleaning. What it produces: free fatty acids that lower smoke point and produce soapy, sour off-flavors; mono- and diglycerides that act as emulsifiers and promote foam; and glycerol that can further decompose into acrolein, a highly irritating volatile aldehyde (Saguy &amp; Dana, 2003).</w:t>
      </w:r>
    </w:p>
    <w:p>
      <w:pPr>
        <w:spacing w:after="180" w:line="276"/>
      </w:pPr>
      <w:r>
        <w:rPr>
          <w:rFonts w:ascii="Arial" w:cs="Arial" w:eastAsia="Arial" w:hAnsi="Arial"/>
          <w:sz w:val="22"/>
          <w:szCs w:val="22"/>
        </w:rPr>
        <w:t xml:space="preserve">Hydrolysis is the dominant degradation pathway in operations that fry high-moisture foods: bone-in chicken, battered fish, fresh-cut potatoes, and frozen products. The FFA cascade is critical to understand: the FFA produced by hydrolysis themselves lower the energy barrier for subsequent hydrolysis and oxidation reactions, meaning that once hydrolysis starts, it compounds with every fry cycle.</w:t>
      </w:r>
    </w:p>
    <w:p>
      <w:pPr>
        <w:pStyle w:val="Heading3"/>
        <w:spacing w:before="240" w:after="120"/>
      </w:pPr>
      <w:r>
        <w:rPr>
          <w:rFonts w:ascii="Arial" w:cs="Arial" w:eastAsia="Arial" w:hAnsi="Arial"/>
          <w:b/>
          <w:bCs/>
          <w:sz w:val="24"/>
          <w:szCs w:val="24"/>
        </w:rPr>
        <w:t xml:space="preserve">Oxidation (Auto-Oxidation and Thermal Oxidation)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Oxidation: The reaction of oil with oxygen, proceeding through three stages—initiation (radical formation), propagation (chain reaction), and termination (polymer and aldehyde formation). The most complex and ultimately most damaging degradation pathway.</w:t>
            </w:r>
          </w:p>
        </w:tc>
      </w:tr>
    </w:tbl>
    <w:p>
      <w:pPr>
        <w:spacing w:after="120"/>
      </w:pPr>
    </w:p>
    <w:p>
      <w:pPr>
        <w:spacing w:after="180" w:line="276"/>
      </w:pPr>
      <w:r>
        <w:rPr>
          <w:rFonts w:ascii="Arial" w:cs="Arial" w:eastAsia="Arial" w:hAnsi="Arial"/>
          <w:sz w:val="22"/>
          <w:szCs w:val="22"/>
        </w:rPr>
        <w:t xml:space="preserve">Oxidation proceeds in three stages. </w:t>
      </w:r>
      <w:r>
        <w:rPr>
          <w:rFonts w:ascii="Arial" w:cs="Arial" w:eastAsia="Arial" w:hAnsi="Arial"/>
          <w:b/>
          <w:bCs/>
          <w:sz w:val="22"/>
          <w:szCs w:val="22"/>
        </w:rPr>
        <w:t xml:space="preserve">Initiation:</w:t>
      </w:r>
      <w:r>
        <w:rPr>
          <w:rFonts w:ascii="Arial" w:cs="Arial" w:eastAsia="Arial" w:hAnsi="Arial"/>
          <w:sz w:val="22"/>
          <w:szCs w:val="22"/>
        </w:rPr>
        <w:t xml:space="preserve"> A free radical is born. Heat, light, trace metals, or existing degradation products strip a hydrogen atom from a carbon adjacent to a double bond, creating an unstable carbon radical. In PUFA-rich oils, there are many double bonds available as targets, which is why these oils initiate oxidation far more easily (Choe &amp; Min, 2007).</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Propagation:</w:t>
      </w:r>
      <w:r>
        <w:rPr>
          <w:rFonts w:ascii="Arial" w:cs="Arial" w:eastAsia="Arial" w:hAnsi="Arial"/>
          <w:sz w:val="22"/>
          <w:szCs w:val="22"/>
        </w:rPr>
        <w:t xml:space="preserve"> The chain reaction. The newly formed carbon radical reacts with molecular oxygen to form a peroxyl radical. This peroxyl radical attacks a neighboring fatty acid chain, stealing a hydrogen atom—but creating another carbon radical in the process. That new radical reacts with oxygen, forming another peroxyl radical, and so on. One initial radical can trigger the degradation of hundreds of fatty acid molecules. This is the chain reaction of lipid oxidation, and it explains why oxidation is exponential, not linear (Choe &amp; Min,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The Arrhenius principle: every 10°C increase in temperature approximately doubles the reaction rate. A fryer left idling at 185°C between service periods is not resting—it is burning through oil capital at twice the rate of one at 175°C, and four times the rate at 165°C. Idle temperature management is one of the most impactful oil life interventions (Saguy &amp; Dana, 2003).</w:t>
            </w:r>
          </w:p>
        </w:tc>
      </w:tr>
    </w:tbl>
    <w:p>
      <w:pPr>
        <w:spacing w:after="120"/>
      </w:pP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Termination:</w:t>
      </w:r>
      <w:r>
        <w:rPr>
          <w:rFonts w:ascii="Arial" w:cs="Arial" w:eastAsia="Arial" w:hAnsi="Arial"/>
          <w:sz w:val="22"/>
          <w:szCs w:val="22"/>
        </w:rPr>
        <w:t xml:space="preserve"> Radicals combine to form stable end-products: polymers, cyclic compounds, and volatile fragments including aldehydes and ketones. The volatile fragments are the source of the characteristic “fried food smell” and the compounds of greatest health concern (Grootveld et al., 2001; 2017). Key degradation products include peroxides (primary, unstable), aldehydes such as malondialdehyde and 4-hydroxynonenal (secondary, stable, toxic), and polar monomers.</w:t>
      </w:r>
    </w:p>
    <w:p>
      <w:pPr>
        <w:spacing w:after="180" w:line="276"/>
      </w:pPr>
      <w:r>
        <w:rPr>
          <w:rFonts w:ascii="Arial" w:cs="Arial" w:eastAsia="Arial" w:hAnsi="Arial"/>
          <w:sz w:val="22"/>
          <w:szCs w:val="22"/>
        </w:rPr>
        <w:t xml:space="preserve">The antioxidant depletion curve is critical: fresh oil contains natural antioxidants that sacrifice themselves to neutralize free radicals. Once depleted, the oil enters an unprotected state where oxidation accelerates dramatically. This inflection point—the moment when the last antioxidant reserves are exhausted—is the most consequential moment in the life of a frying oil load (Choe &amp; Min, 2007).</w:t>
      </w:r>
    </w:p>
    <w:p>
      <w:pPr>
        <w:pStyle w:val="Heading3"/>
        <w:spacing w:before="240" w:after="120"/>
      </w:pPr>
      <w:r>
        <w:rPr>
          <w:rFonts w:ascii="Arial" w:cs="Arial" w:eastAsia="Arial" w:hAnsi="Arial"/>
          <w:b/>
          <w:bCs/>
          <w:sz w:val="24"/>
          <w:szCs w:val="24"/>
        </w:rPr>
        <w:t xml:space="preserve">Polymerization</w:t>
      </w:r>
    </w:p>
    <w:p>
      <w:pPr>
        <w:spacing w:after="180" w:line="276"/>
      </w:pPr>
      <w:r>
        <w:rPr>
          <w:rFonts w:ascii="Arial" w:cs="Arial" w:eastAsia="Arial" w:hAnsi="Arial"/>
          <w:sz w:val="22"/>
          <w:szCs w:val="22"/>
        </w:rPr>
        <w:t xml:space="preserve">Polymerization is the final stage of oil degradation. When oxidized oil fragments bond together, they form increasingly large molecules called polymers. These polymers cause increased viscosity (the oil becomes noticeably thicker), dark color, and gummy, varnish-like deposits on fryer walls and heating elements. These deposits act as thermal insulators, creating hot spots that accelerate further degradation, and as chemical catalysts that degrade fresh oil faster (Moreira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Polymerization is irreversible. No amount of filtration or fresh oil top-off can undo polymer formation. Once oil has thickened noticeably and deposited varnish on equipment, full replacement and a thorough boil-out are the only remedies. At the extreme, polymerized “black oil” is a fire hazard with a significantly lowered flash point and autoignition temperature (NFPA 96).</w:t>
            </w:r>
          </w:p>
        </w:tc>
      </w:tr>
    </w:tbl>
    <w:p>
      <w:pPr>
        <w:spacing w:after="120"/>
      </w:pPr>
    </w:p>
    <w:p>
      <w:pPr>
        <w:pStyle w:val="Heading2"/>
        <w:spacing w:before="360" w:after="180"/>
      </w:pPr>
      <w:r>
        <w:rPr>
          <w:rFonts w:ascii="Arial" w:cs="Arial" w:eastAsia="Arial" w:hAnsi="Arial"/>
          <w:b/>
          <w:bCs/>
          <w:sz w:val="28"/>
          <w:szCs w:val="28"/>
        </w:rPr>
        <w:t xml:space="preserve">1.4 Total Polar Materials (TPM) — The Master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KEY DEFINITION</w:t>
            </w:r>
          </w:p>
          <w:p>
            <w:pPr>
              <w:spacing w:after="0"/>
            </w:pPr>
            <w:r>
              <w:rPr>
                <w:rFonts w:ascii="Arial" w:cs="Arial" w:eastAsia="Arial" w:hAnsi="Arial"/>
                <w:sz w:val="21"/>
                <w:szCs w:val="21"/>
              </w:rPr>
              <w:t xml:space="preserve">Total Polar Materials (TPM): The percentage of an oil sample composed of compounds that have acquired electrical polarity through degradation—including FFA, mono/diglycerides, oxidized triglycerides, polymers, and cyclic compounds. Because TPM captures the products of all three degradation pathways, it is the single most comprehensive indicator of frying oil quality.</w:t>
            </w:r>
          </w:p>
        </w:tc>
      </w:tr>
    </w:tbl>
    <w:p>
      <w:pPr>
        <w:spacing w:after="120"/>
      </w:pPr>
    </w:p>
    <w:p>
      <w:pPr>
        <w:spacing w:after="180" w:line="276"/>
      </w:pPr>
      <w:r>
        <w:rPr>
          <w:rFonts w:ascii="Arial" w:cs="Arial" w:eastAsia="Arial" w:hAnsi="Arial"/>
          <w:sz w:val="22"/>
          <w:szCs w:val="22"/>
        </w:rPr>
        <w:t xml:space="preserve">TPM accumulates non-linearly. In fresh oil, the first several fry cycles produce modest TPM increases because natural antioxidants are active. As antioxidants deplete and degradation products catalyze further degradation, the rate accelerates. This is why fixed-schedule oil changes (“change every three days”) are unreliable: they discard usable oil in light-duty operations while keeping dangerous oil in heavy-duty ones. Only actual TPM measurement provides an accurate picture (Choe &amp; Min, 2007).</w:t>
      </w:r>
    </w:p>
    <w:p>
      <w:pPr>
        <w:spacing w:after="180" w:line="276"/>
      </w:pPr>
      <w:r>
        <w:rPr>
          <w:rFonts w:ascii="Arial" w:cs="Arial" w:eastAsia="Arial" w:hAnsi="Arial"/>
          <w:sz w:val="22"/>
          <w:szCs w:val="22"/>
        </w:rPr>
        <w:t xml:space="preserve">The international discard threshold of 25–27% TPM is based on decades of food safety research. Germany’s Frying Fat Regulation sets a mandatory 27% TPM limit. Belgium, the Netherlands, Spain, and France mandate discard at 25% TPM. These thresholds reflect evidence that oil above these levels contains harmful concentrations of aldehydes, cyclic monomers, and polymeric compounds (Grootveld et al., 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The NCOMA discard threshold is 25% TPM—aligned with the more protective international standards. Oil must be discarded when TPM reaches 25%, or when sensory indicators (persistent foam, continuous smoke at operating temperature, unacceptable off-flavors) trigger discard, whichever comes first.</w:t>
            </w:r>
          </w:p>
        </w:tc>
      </w:tr>
    </w:tbl>
    <w:p>
      <w:pPr>
        <w:spacing w:after="120"/>
      </w:pPr>
    </w:p>
    <w:p>
      <w:pPr>
        <w:spacing w:after="180" w:line="276"/>
      </w:pPr>
      <w:r>
        <w:rPr>
          <w:rFonts w:ascii="Arial" w:cs="Arial" w:eastAsia="Arial" w:hAnsi="Arial"/>
          <w:sz w:val="22"/>
          <w:szCs w:val="22"/>
        </w:rPr>
        <w:t xml:space="preserve">The United States has no federal TPM discard threshold. This regulatory gap means the vast majority of American restaurants have never measured their frying oil TPM. The NCOMA certification program exists, in part, to fill this gap with a voluntary, industry-driven standard aligned with international best practice.</w:t>
      </w:r>
    </w:p>
    <w:p>
      <w:pPr>
        <w:pStyle w:val="Heading2"/>
        <w:spacing w:before="360" w:after="180"/>
      </w:pPr>
      <w:r>
        <w:rPr>
          <w:rFonts w:ascii="Arial" w:cs="Arial" w:eastAsia="Arial" w:hAnsi="Arial"/>
          <w:b/>
          <w:bCs/>
          <w:sz w:val="28"/>
          <w:szCs w:val="28"/>
        </w:rPr>
        <w:t xml:space="preserve">1.5 The Role of Antioxidants in Frying Oil</w:t>
      </w:r>
    </w:p>
    <w:p>
      <w:pPr>
        <w:spacing w:after="180" w:line="276"/>
      </w:pPr>
      <w:r>
        <w:rPr>
          <w:rFonts w:ascii="Arial" w:cs="Arial" w:eastAsia="Arial" w:hAnsi="Arial"/>
          <w:sz w:val="22"/>
          <w:szCs w:val="22"/>
        </w:rPr>
        <w:t xml:space="preserve">Antioxidants are the chemical bodyguards of frying oil. They intercept and neutralize free radicals before those radicals can initiate or propagate the oxidative chain reaction. Without antioxidants, oxidation under heat would proceed virtually unchecked from the moment the fryer is turned 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Natural antioxidants</w:t>
      </w:r>
      <w:r>
        <w:rPr>
          <w:rFonts w:ascii="Arial" w:cs="Arial" w:eastAsia="Arial" w:hAnsi="Arial"/>
          <w:sz w:val="22"/>
          <w:szCs w:val="22"/>
        </w:rPr>
        <w:t xml:space="preserve"> in cooking oils include: tocopherols (vitamin E forms, present in virtually all vegetable oils, with gamma-tocopherol being the most effective radical scavenger); polyphenols (especially oleocanthal and hydroxytyrosol in EVOO, contributing to its exceptional stability despite moderate smoke point); tocotrienols (primarily in palm and rice bran oil, with emerging neuroprotective research); gamma-oryzanol (unique to rice bran oil); and sesamol/sesamin (lignans in sesame oil). These work through radical scavenging, chain-breaking, and metal chelation mechanisms (Gunstone, 2011; Choe &amp; Min, 2007).</w:t>
      </w:r>
    </w:p>
    <w:p>
      <w:pPr>
        <w:spacing w:after="180" w:line="276"/>
      </w:pPr>
      <w:r>
        <w:rPr>
          <w:rFonts w:ascii="Arial" w:cs="Arial" w:eastAsia="Arial" w:hAnsi="Arial"/>
          <w:sz w:val="22"/>
          <w:szCs w:val="22"/>
        </w:rPr>
        <w:t xml:space="preserve">The critical limitation: natural antioxidants are destroyed first under heat. Once depleted, the oil enters an unprotected phase where degradation accelerates sharply. This is why antioxidant-rich oils like EVOO and palm oil often outperform predictions based on fatty acid composition alone.</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Synthetic antioxidants</w:t>
      </w:r>
      <w:r>
        <w:rPr>
          <w:rFonts w:ascii="Arial" w:cs="Arial" w:eastAsia="Arial" w:hAnsi="Arial"/>
          <w:sz w:val="22"/>
          <w:szCs w:val="22"/>
        </w:rPr>
        <w:t xml:space="preserve"> (TBHQ, BHA, BHT) are more heat-stable and are routinely added to commercial frying oils. TBHQ is the most effective for frying applications, permitted at up to 200 ppm in the US (FDA 21 CFR 172.185), though prohibited in some EU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PRO TIP</w:t>
            </w:r>
          </w:p>
          <w:p>
            <w:pPr>
              <w:spacing w:after="0"/>
            </w:pPr>
            <w:r>
              <w:rPr>
                <w:rFonts w:ascii="Arial" w:cs="Arial" w:eastAsia="Arial" w:hAnsi="Arial"/>
                <w:sz w:val="21"/>
                <w:szCs w:val="21"/>
              </w:rPr>
              <w:t xml:space="preserve">Topping off—adding fresh oil to replace what food absorbed—partially replenishes antioxidant reserves. High-volume operations with frequent top-offs often achieve better oil life per total volume than low-volume operations that rarely top off (Saguy &amp; Dana, 2003).</w:t>
            </w:r>
          </w:p>
        </w:tc>
      </w:tr>
    </w:tbl>
    <w:p>
      <w:pPr>
        <w:spacing w:after="120"/>
      </w:pPr>
    </w:p>
    <w:p>
      <w:pPr>
        <w:pStyle w:val="Heading2"/>
        <w:spacing w:before="360" w:after="180"/>
      </w:pPr>
      <w:r>
        <w:rPr>
          <w:rFonts w:ascii="Arial" w:cs="Arial" w:eastAsia="Arial" w:hAnsi="Arial"/>
          <w:b/>
          <w:bCs/>
          <w:sz w:val="28"/>
          <w:szCs w:val="28"/>
        </w:rPr>
        <w:t xml:space="preserve">1.6 What Happens to Food Fried in Degraded Oil</w:t>
      </w:r>
    </w:p>
    <w:p>
      <w:pPr>
        <w:spacing w:after="180" w:line="276"/>
      </w:pPr>
      <w:r>
        <w:rPr>
          <w:rFonts w:ascii="Arial" w:cs="Arial" w:eastAsia="Arial" w:hAnsi="Arial"/>
          <w:sz w:val="22"/>
          <w:szCs w:val="22"/>
        </w:rPr>
        <w:t xml:space="preserve">The consequences of frying in degraded oil manifest in every attribute of the finished product. </w:t>
      </w:r>
      <w:r>
        <w:rPr>
          <w:rFonts w:ascii="Arial" w:cs="Arial" w:eastAsia="Arial" w:hAnsi="Arial"/>
          <w:b/>
          <w:bCs/>
          <w:sz w:val="22"/>
          <w:szCs w:val="22"/>
        </w:rPr>
        <w:t xml:space="preserve">Flavor:</w:t>
      </w:r>
      <w:r>
        <w:rPr>
          <w:rFonts w:ascii="Arial" w:cs="Arial" w:eastAsia="Arial" w:hAnsi="Arial"/>
          <w:sz w:val="22"/>
          <w:szCs w:val="22"/>
        </w:rPr>
        <w:t xml:space="preserve"> Rancid/stale from hexanal and short-chain aldehydes; soapy/sour from FFA; fishy from omega-3 oxidation products; bitter from polymers. </w:t>
      </w:r>
      <w:r>
        <w:rPr>
          <w:rFonts w:ascii="Arial" w:cs="Arial" w:eastAsia="Arial" w:hAnsi="Arial"/>
          <w:b/>
          <w:bCs/>
          <w:sz w:val="22"/>
          <w:szCs w:val="22"/>
        </w:rPr>
        <w:t xml:space="preserve">Texture:</w:t>
      </w:r>
      <w:r>
        <w:rPr>
          <w:rFonts w:ascii="Arial" w:cs="Arial" w:eastAsia="Arial" w:hAnsi="Arial"/>
          <w:sz w:val="22"/>
          <w:szCs w:val="22"/>
        </w:rPr>
        <w:t xml:space="preserve"> Softer, greasier food due to lower surface tension (oil penetrates deeper) and higher viscosity (oil drains slower)—degraded oil can increase fat absorption by 20–40% (Saguy &amp; Dana, 2003). </w:t>
      </w:r>
      <w:r>
        <w:rPr>
          <w:rFonts w:ascii="Arial" w:cs="Arial" w:eastAsia="Arial" w:hAnsi="Arial"/>
          <w:b/>
          <w:bCs/>
          <w:sz w:val="22"/>
          <w:szCs w:val="22"/>
        </w:rPr>
        <w:t xml:space="preserve">Color:</w:t>
      </w:r>
      <w:r>
        <w:rPr>
          <w:rFonts w:ascii="Arial" w:cs="Arial" w:eastAsia="Arial" w:hAnsi="Arial"/>
          <w:sz w:val="22"/>
          <w:szCs w:val="22"/>
        </w:rPr>
        <w:t xml:space="preserve"> Premature darkening from suspended carbon and Maillard byproducts. </w:t>
      </w:r>
      <w:r>
        <w:rPr>
          <w:rFonts w:ascii="Arial" w:cs="Arial" w:eastAsia="Arial" w:hAnsi="Arial"/>
          <w:b/>
          <w:bCs/>
          <w:sz w:val="22"/>
          <w:szCs w:val="22"/>
        </w:rPr>
        <w:t xml:space="preserve">Nutrition:</w:t>
      </w:r>
      <w:r>
        <w:rPr>
          <w:rFonts w:ascii="Arial" w:cs="Arial" w:eastAsia="Arial" w:hAnsi="Arial"/>
          <w:sz w:val="22"/>
          <w:szCs w:val="22"/>
        </w:rPr>
        <w:t xml:space="preserve"> Accelerated destruction of fat-soluble vitamins; consumers ingest oxidized fatty acids instead of intact lipids; elevated acrylamide in starchy foods.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 implications:</w:t>
      </w:r>
      <w:r>
        <w:rPr>
          <w:rFonts w:ascii="Arial" w:cs="Arial" w:eastAsia="Arial" w:hAnsi="Arial"/>
          <w:sz w:val="22"/>
          <w:szCs w:val="22"/>
        </w:rPr>
        <w:t xml:space="preserve"> Grootveld et al. (2001; 2017) demonstrated that PUFA-rich oils at frying temperatures produce aldehyde levels potentially exceeding WHO tolerable daily intake thresholds. Csala et al. (2015) showed that trans-2-nonenal from lipid peroxidation is cytotoxic. Yin et al. (2022) linked chronic consumption of thermally oxidized fats to hepatic stress markers. While animal-to-human translation requires caution, the evidence strongly supports minimizing consumer exposure to degraded oil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RESEARCH NOTE</w:t>
            </w:r>
          </w:p>
          <w:p>
            <w:pPr>
              <w:spacing w:after="0"/>
            </w:pPr>
            <w:r>
              <w:rPr>
                <w:rFonts w:ascii="Arial" w:cs="Arial" w:eastAsia="Arial" w:hAnsi="Arial"/>
                <w:sz w:val="21"/>
                <w:szCs w:val="21"/>
              </w:rPr>
              <w:t xml:space="preserve">Grootveld et al. (2017) found that heating PUFA-rich oils (sunflower, corn) at frying temperatures generated dramatically more toxic aldehydes than MUFA-rich oils (olive, high oleic) or SAFA-rich fats (coconut, butter) at the same temperature and duration. From a volatile organic compound standpoint, the choice of frying oil is a direct determinant of kitchen worker and consumer exposure.</w:t>
            </w:r>
          </w:p>
        </w:tc>
      </w:tr>
    </w:tbl>
    <w:p>
      <w:pPr>
        <w:spacing w:after="120"/>
      </w:pPr>
    </w:p>
    <w:p>
      <w:r>
        <w:br w:type="page"/>
      </w:r>
    </w:p>
    <w:p>
      <w:pPr>
        <w:pStyle w:val="Heading1"/>
        <w:spacing w:before="480" w:after="240"/>
      </w:pPr>
      <w:r>
        <w:rPr>
          <w:rFonts w:ascii="Arial" w:cs="Arial" w:eastAsia="Arial" w:hAnsi="Arial"/>
          <w:b/>
          <w:bCs/>
          <w:sz w:val="32"/>
          <w:szCs w:val="32"/>
        </w:rPr>
        <w:t xml:space="preserve">PART 2: COOKING OIL PROFILES — ALL 24 OILS</w:t>
      </w:r>
    </w:p>
    <w:p>
      <w:pPr>
        <w:spacing w:after="180" w:line="276"/>
      </w:pPr>
      <w:r>
        <w:rPr>
          <w:rFonts w:ascii="Arial" w:cs="Arial" w:eastAsia="Arial" w:hAnsi="Arial"/>
          <w:sz w:val="22"/>
          <w:szCs w:val="22"/>
        </w:rPr>
        <w:t xml:space="preserve">This section provides a complete profile for each of the 24 cooking oils and fats evaluated in this guide. For each oil, the profile covers: chemical family, processing method, fatty acid composition, smoke point, Oxidative Stability Index, estimated frying life, health considerations, sustainability profile, and best culinary applications. Data is drawn primarily from the multi-dimensional comparison spreadsheet developed for this guide, with confidence levels noted for each frying life estimate.</w:t>
      </w:r>
    </w:p>
    <w:p>
      <w:pPr>
        <w:pStyle w:val="Heading2"/>
        <w:spacing w:before="360" w:after="180"/>
      </w:pPr>
      <w:r>
        <w:rPr>
          <w:rFonts w:ascii="Arial" w:cs="Arial" w:eastAsia="Arial" w:hAnsi="Arial"/>
          <w:b/>
          <w:bCs/>
          <w:sz w:val="28"/>
          <w:szCs w:val="28"/>
        </w:rPr>
        <w:t xml:space="preserve">Group A: High Oleic Palm Oils (OxG Colombian) — The Frying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RESEARCH NOTE</w:t>
            </w:r>
          </w:p>
          <w:p>
            <w:pPr>
              <w:spacing w:after="0"/>
            </w:pPr>
            <w:r>
              <w:rPr>
                <w:rFonts w:ascii="Arial" w:cs="Arial" w:eastAsia="Arial" w:hAnsi="Arial"/>
                <w:sz w:val="21"/>
                <w:szCs w:val="21"/>
              </w:rPr>
              <w:t xml:space="preserve">The frying life data for OxG Colombian palm oils comes from the Fedepalma/UCaldas (2025) study, which measured frying cycles to 25% TPM at 175°C using French fries in a 6L batch fryer following NTC/AOAC/AOCS standards. Fedepalma, the Colombian Palm Oil Federation, funded this study. The methodology is rigorous and disclosed; readers should weigh it alongside independent research.</w:t>
            </w:r>
          </w:p>
        </w:tc>
      </w:tr>
    </w:tbl>
    <w:p>
      <w:pPr>
        <w:spacing w:after="120"/>
      </w:pPr>
    </w:p>
    <w:p>
      <w:pPr>
        <w:pStyle w:val="Heading3"/>
        <w:spacing w:before="240" w:after="120"/>
      </w:pPr>
      <w:r>
        <w:rPr>
          <w:rFonts w:ascii="Arial" w:cs="Arial" w:eastAsia="Arial" w:hAnsi="Arial"/>
          <w:b/>
          <w:bCs/>
          <w:sz w:val="24"/>
          <w:szCs w:val="24"/>
        </w:rPr>
        <w:t xml:space="preserve">What Is OxG Hybridization?</w:t>
      </w:r>
    </w:p>
    <w:p>
      <w:pPr>
        <w:spacing w:after="180" w:line="276"/>
      </w:pPr>
      <w:r>
        <w:rPr>
          <w:rFonts w:ascii="Arial" w:cs="Arial" w:eastAsia="Arial" w:hAnsi="Arial"/>
          <w:sz w:val="22"/>
          <w:szCs w:val="22"/>
        </w:rPr>
        <w:t xml:space="preserve">OxG refers to the interspecific hybrid between Elaeis oleifera (the American oil palm, native to Central and South America) and Elaeis guineensis (the African oil palm, the dominant commercial species worldwide). Colombian palm researchers developed this hybrid to combine the disease resistance and superior oleic acid content of E. oleifera with the higher yield of E. guineensis. The result is a palm fruit that produces oil with significantly more oleic acid (MUFA) and less palmitic acid (SAFA) than conventional E. guineensis palm oil (Fedepalma/UCaldas, 2025).</w:t>
      </w:r>
    </w:p>
    <w:p>
      <w:pPr>
        <w:spacing w:after="180" w:line="276"/>
      </w:pPr>
      <w:r>
        <w:rPr>
          <w:rFonts w:ascii="Arial" w:cs="Arial" w:eastAsia="Arial" w:hAnsi="Arial"/>
          <w:sz w:val="22"/>
          <w:szCs w:val="22"/>
        </w:rPr>
        <w:t xml:space="preserve">Colombian OxG palm production avoids the peatland deforestation issues associated with Southeast Asian palm oil. Colombia’s palm is grown on established agricultural land, primarily in the Llanos Orientales and Pacific regions, without the peatland drainage that releases massive carbon stores in Indonesia and Malaysia. RSPO certification is available for Colombian OxG production, and the deforestation risk is rated low by sustainability assessors (WWF, 2020; FAO Oilcrops Indices, 2026).</w:t>
      </w:r>
    </w:p>
    <w:p>
      <w:pPr>
        <w:spacing w:after="180" w:line="276"/>
      </w:pPr>
      <w:r>
        <w:rPr>
          <w:rFonts w:ascii="Arial" w:cs="Arial" w:eastAsia="Arial" w:hAnsi="Arial"/>
          <w:sz w:val="22"/>
          <w:szCs w:val="22"/>
        </w:rPr>
        <w:t xml:space="preserve">The term “high oleic” for OxG palm means oleic acid (a MUFA) comprises 52–53% of the fatty acid profile, compared to roughly 39–40% in conventional E. guineensis palm oil. This higher MUFA content directly explains the superior frying performance: OxG palm olein achieved 342 measured frying cycles and OxG palm oil achieved 355 cycles in the Fedepalma/UCaldas study—the highest measured frying life of any oil tested.</w:t>
      </w:r>
    </w:p>
    <w:p>
      <w:pPr>
        <w:pStyle w:val="Heading3"/>
        <w:spacing w:before="240" w:after="120"/>
      </w:pPr>
      <w:r>
        <w:rPr>
          <w:rFonts w:ascii="Arial" w:cs="Arial" w:eastAsia="Arial" w:hAnsi="Arial"/>
          <w:b/>
          <w:bCs/>
          <w:sz w:val="24"/>
          <w:szCs w:val="24"/>
        </w:rPr>
        <w:t xml:space="preserve">HO Palm Olein (OxG Colombian)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Palm (OxG hybrid, high oleic). </w:t>
      </w:r>
      <w:r>
        <w:rPr>
          <w:rFonts w:ascii="Arial" w:cs="Arial" w:eastAsia="Arial" w:hAnsi="Arial"/>
          <w:b/>
          <w:bCs/>
          <w:sz w:val="22"/>
          <w:szCs w:val="22"/>
        </w:rPr>
        <w:t xml:space="preserve">Processing:</w:t>
      </w:r>
      <w:r>
        <w:rPr>
          <w:rFonts w:ascii="Arial" w:cs="Arial" w:eastAsia="Arial" w:hAnsi="Arial"/>
          <w:sz w:val="22"/>
          <w:szCs w:val="22"/>
        </w:rPr>
        <w:t xml:space="preserve"> Refined, bleached, deodorized (RBD), then fractionated to produce the liquid olein fraction. </w:t>
      </w:r>
      <w:r>
        <w:rPr>
          <w:rFonts w:ascii="Arial" w:cs="Arial" w:eastAsia="Arial" w:hAnsi="Arial"/>
          <w:b/>
          <w:bCs/>
          <w:sz w:val="22"/>
          <w:szCs w:val="22"/>
        </w:rPr>
        <w:t xml:space="preserve">Fatty Acid Profile:</w:t>
      </w:r>
      <w:r>
        <w:rPr>
          <w:rFonts w:ascii="Arial" w:cs="Arial" w:eastAsia="Arial" w:hAnsi="Arial"/>
          <w:sz w:val="22"/>
          <w:szCs w:val="22"/>
        </w:rPr>
        <w:t xml:space="preserve"> 35% SAFA, 53% MUFA (53.2% oleic), 11% PUFA. </w:t>
      </w:r>
      <w:r>
        <w:rPr>
          <w:rFonts w:ascii="Arial" w:cs="Arial" w:eastAsia="Arial" w:hAnsi="Arial"/>
          <w:b/>
          <w:bCs/>
          <w:sz w:val="22"/>
          <w:szCs w:val="22"/>
        </w:rPr>
        <w:t xml:space="preserve">Smoke Point:</w:t>
      </w:r>
      <w:r>
        <w:rPr>
          <w:rFonts w:ascii="Arial" w:cs="Arial" w:eastAsia="Arial" w:hAnsi="Arial"/>
          <w:sz w:val="22"/>
          <w:szCs w:val="22"/>
        </w:rPr>
        <w:t xml:space="preserve"> 235°C. </w:t>
      </w:r>
      <w:r>
        <w:rPr>
          <w:rFonts w:ascii="Arial" w:cs="Arial" w:eastAsia="Arial" w:hAnsi="Arial"/>
          <w:b/>
          <w:bCs/>
          <w:sz w:val="22"/>
          <w:szCs w:val="22"/>
        </w:rPr>
        <w:t xml:space="preserve">OSI at 110°C:</w:t>
      </w:r>
      <w:r>
        <w:rPr>
          <w:rFonts w:ascii="Arial" w:cs="Arial" w:eastAsia="Arial" w:hAnsi="Arial"/>
          <w:sz w:val="22"/>
          <w:szCs w:val="22"/>
        </w:rPr>
        <w:t xml:space="preserve"> 72.4 hours. </w:t>
      </w:r>
      <w:r>
        <w:rPr>
          <w:rFonts w:ascii="Arial" w:cs="Arial" w:eastAsia="Arial" w:hAnsi="Arial"/>
          <w:b/>
          <w:bCs/>
          <w:sz w:val="22"/>
          <w:szCs w:val="22"/>
        </w:rPr>
        <w:t xml:space="preserve">Omega-6:3 Ratio:</w:t>
      </w:r>
      <w:r>
        <w:rPr>
          <w:rFonts w:ascii="Arial" w:cs="Arial" w:eastAsia="Arial" w:hAnsi="Arial"/>
          <w:sz w:val="22"/>
          <w:szCs w:val="22"/>
        </w:rPr>
        <w:t xml:space="preserve"> 33:1. </w:t>
      </w:r>
      <w:r>
        <w:rPr>
          <w:rFonts w:ascii="Arial" w:cs="Arial" w:eastAsia="Arial" w:hAnsi="Arial"/>
          <w:b/>
          <w:bCs/>
          <w:sz w:val="22"/>
          <w:szCs w:val="22"/>
        </w:rPr>
        <w:t xml:space="preserve">Frying Life:</w:t>
      </w:r>
      <w:r>
        <w:rPr>
          <w:rFonts w:ascii="Arial" w:cs="Arial" w:eastAsia="Arial" w:hAnsi="Arial"/>
          <w:sz w:val="22"/>
          <w:szCs w:val="22"/>
        </w:rPr>
        <w:t xml:space="preserve"> 342 cycles (H confidence — directly measured, Fedepalma/UCaldas 2025). </w:t>
      </w:r>
      <w:r>
        <w:rPr>
          <w:rFonts w:ascii="Arial" w:cs="Arial" w:eastAsia="Arial" w:hAnsi="Arial"/>
          <w:b/>
          <w:bCs/>
          <w:sz w:val="22"/>
          <w:szCs w:val="22"/>
        </w:rPr>
        <w:t xml:space="preserve">Trans Fat:</w:t>
      </w:r>
      <w:r>
        <w:rPr>
          <w:rFonts w:ascii="Arial" w:cs="Arial" w:eastAsia="Arial" w:hAnsi="Arial"/>
          <w:sz w:val="22"/>
          <w:szCs w:val="22"/>
        </w:rPr>
        <w:t xml:space="preserve"> 0%.</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 Considerations:</w:t>
      </w:r>
      <w:r>
        <w:rPr>
          <w:rFonts w:ascii="Arial" w:cs="Arial" w:eastAsia="Arial" w:hAnsi="Arial"/>
          <w:sz w:val="22"/>
          <w:szCs w:val="22"/>
        </w:rPr>
        <w:t xml:space="preserve"> LDL-C impact is neutral. HDL-C impact is neutral. Contains tocotrienols that cross the blood-brain barrier and show neuroprotective effects in preclinical studies. Low PUFA content means minimal oxidative cooking byproducts—among the lowest aldehyde production of any frying oil. The AHA flags palm SAFA generally, but the HO variety has lower palmitic acid than conventional palm. The WHO position is cautious on palm SAFA but does not differentiate high oleic varieties in current guidance.</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Sustainability:</w:t>
      </w:r>
      <w:r>
        <w:rPr>
          <w:rFonts w:ascii="Arial" w:cs="Arial" w:eastAsia="Arial" w:hAnsi="Arial"/>
          <w:sz w:val="22"/>
          <w:szCs w:val="22"/>
        </w:rPr>
        <w:t xml:space="preserve"> Oil yield is 3.6 tonnes per hectare per year—the highest of any oil crop. GHG footprint is 3.0 kgCO₂/kg. Water footprint is 5,000 m³/ton. Deforestation risk is low (established Colombian agricultural land). RSPO certification eligible. Key concern: reputational risk from the broader palm oil category due to Southeast Asian practices. Key strength: highest land efficiency of any oil; OxG Colombian production avoids peatland conversion.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Best Applications:</w:t>
      </w:r>
      <w:r>
        <w:rPr>
          <w:rFonts w:ascii="Arial" w:cs="Arial" w:eastAsia="Arial" w:hAnsi="Arial"/>
          <w:sz w:val="22"/>
          <w:szCs w:val="22"/>
        </w:rPr>
        <w:t xml:space="preserve"> High-heat deep frying (the benchmark application), pressure frying, continuous/industrial frying, and any high-volume frying operation where oil longevity and cost-per-cycle are priorities. </w:t>
      </w:r>
      <w:r>
        <w:rPr>
          <w:rFonts w:ascii="Arial" w:cs="Arial" w:eastAsia="Arial" w:hAnsi="Arial"/>
          <w:b/>
          <w:bCs/>
          <w:sz w:val="22"/>
          <w:szCs w:val="22"/>
        </w:rPr>
        <w:t xml:space="preserve">Price:</w:t>
      </w:r>
      <w:r>
        <w:rPr>
          <w:rFonts w:ascii="Arial" w:cs="Arial" w:eastAsia="Arial" w:hAnsi="Arial"/>
          <w:sz w:val="22"/>
          <w:szCs w:val="22"/>
        </w:rPr>
        <w:t xml:space="preserve"> approximately $1,080/ton.</w:t>
      </w:r>
    </w:p>
    <w:p>
      <w:pPr>
        <w:pStyle w:val="Heading3"/>
        <w:spacing w:before="240" w:after="120"/>
      </w:pPr>
      <w:r>
        <w:rPr>
          <w:rFonts w:ascii="Arial" w:cs="Arial" w:eastAsia="Arial" w:hAnsi="Arial"/>
          <w:b/>
          <w:bCs/>
          <w:sz w:val="24"/>
          <w:szCs w:val="24"/>
        </w:rPr>
        <w:t xml:space="preserve">HO Palm Oil (OxG Colombian)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Palm (OxG hybrid, high oleic). </w:t>
      </w:r>
      <w:r>
        <w:rPr>
          <w:rFonts w:ascii="Arial" w:cs="Arial" w:eastAsia="Arial" w:hAnsi="Arial"/>
          <w:b/>
          <w:bCs/>
          <w:sz w:val="22"/>
          <w:szCs w:val="22"/>
        </w:rPr>
        <w:t xml:space="preserve">Processing:</w:t>
      </w:r>
      <w:r>
        <w:rPr>
          <w:rFonts w:ascii="Arial" w:cs="Arial" w:eastAsia="Arial" w:hAnsi="Arial"/>
          <w:sz w:val="22"/>
          <w:szCs w:val="22"/>
        </w:rPr>
        <w:t xml:space="preserve"> Refined, RBD. Unlike olein, this is the whole oil without fractionation. </w:t>
      </w:r>
      <w:r>
        <w:rPr>
          <w:rFonts w:ascii="Arial" w:cs="Arial" w:eastAsia="Arial" w:hAnsi="Arial"/>
          <w:b/>
          <w:bCs/>
          <w:sz w:val="22"/>
          <w:szCs w:val="22"/>
        </w:rPr>
        <w:t xml:space="preserve">Fatty Acid Profile:</w:t>
      </w:r>
      <w:r>
        <w:rPr>
          <w:rFonts w:ascii="Arial" w:cs="Arial" w:eastAsia="Arial" w:hAnsi="Arial"/>
          <w:sz w:val="22"/>
          <w:szCs w:val="22"/>
        </w:rPr>
        <w:t xml:space="preserve"> 37% SAFA, 52% MUFA (52.2% oleic), 10% PUFA. </w:t>
      </w:r>
      <w:r>
        <w:rPr>
          <w:rFonts w:ascii="Arial" w:cs="Arial" w:eastAsia="Arial" w:hAnsi="Arial"/>
          <w:b/>
          <w:bCs/>
          <w:sz w:val="22"/>
          <w:szCs w:val="22"/>
        </w:rPr>
        <w:t xml:space="preserve">Smoke Point:</w:t>
      </w:r>
      <w:r>
        <w:rPr>
          <w:rFonts w:ascii="Arial" w:cs="Arial" w:eastAsia="Arial" w:hAnsi="Arial"/>
          <w:sz w:val="22"/>
          <w:szCs w:val="22"/>
        </w:rPr>
        <w:t xml:space="preserve"> 235°C. </w:t>
      </w:r>
      <w:r>
        <w:rPr>
          <w:rFonts w:ascii="Arial" w:cs="Arial" w:eastAsia="Arial" w:hAnsi="Arial"/>
          <w:b/>
          <w:bCs/>
          <w:sz w:val="22"/>
          <w:szCs w:val="22"/>
        </w:rPr>
        <w:t xml:space="preserve">OSI at 110°C:</w:t>
      </w:r>
      <w:r>
        <w:rPr>
          <w:rFonts w:ascii="Arial" w:cs="Arial" w:eastAsia="Arial" w:hAnsi="Arial"/>
          <w:sz w:val="22"/>
          <w:szCs w:val="22"/>
        </w:rPr>
        <w:t xml:space="preserve"> 74.3 hours. </w:t>
      </w:r>
      <w:r>
        <w:rPr>
          <w:rFonts w:ascii="Arial" w:cs="Arial" w:eastAsia="Arial" w:hAnsi="Arial"/>
          <w:b/>
          <w:bCs/>
          <w:sz w:val="22"/>
          <w:szCs w:val="22"/>
        </w:rPr>
        <w:t xml:space="preserve">Omega-6:3 Ratio:</w:t>
      </w:r>
      <w:r>
        <w:rPr>
          <w:rFonts w:ascii="Arial" w:cs="Arial" w:eastAsia="Arial" w:hAnsi="Arial"/>
          <w:sz w:val="22"/>
          <w:szCs w:val="22"/>
        </w:rPr>
        <w:t xml:space="preserve"> 30:1. </w:t>
      </w:r>
      <w:r>
        <w:rPr>
          <w:rFonts w:ascii="Arial" w:cs="Arial" w:eastAsia="Arial" w:hAnsi="Arial"/>
          <w:b/>
          <w:bCs/>
          <w:sz w:val="22"/>
          <w:szCs w:val="22"/>
        </w:rPr>
        <w:t xml:space="preserve">Frying Life:</w:t>
      </w:r>
      <w:r>
        <w:rPr>
          <w:rFonts w:ascii="Arial" w:cs="Arial" w:eastAsia="Arial" w:hAnsi="Arial"/>
          <w:sz w:val="22"/>
          <w:szCs w:val="22"/>
        </w:rPr>
        <w:t xml:space="preserve"> 355 cycles (H confidence — the highest measured frying life of any oil in the Fedepalma/UCaldas 2025 study). </w:t>
      </w:r>
      <w:r>
        <w:rPr>
          <w:rFonts w:ascii="Arial" w:cs="Arial" w:eastAsia="Arial" w:hAnsi="Arial"/>
          <w:b/>
          <w:bCs/>
          <w:sz w:val="22"/>
          <w:szCs w:val="22"/>
        </w:rPr>
        <w:t xml:space="preserve">Trans Fat:</w:t>
      </w:r>
      <w:r>
        <w:rPr>
          <w:rFonts w:ascii="Arial" w:cs="Arial" w:eastAsia="Arial" w:hAnsi="Arial"/>
          <w:sz w:val="22"/>
          <w:szCs w:val="22"/>
        </w:rPr>
        <w:t xml:space="preserve"> 0%.</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Similar to HO Palm Olein. Slightly higher SAFA (37% vs. 35%) due to inclusion of the stearin fraction. Contains tocotrienols and, in crude forms, beta-carotene. </w:t>
      </w:r>
      <w:r>
        <w:rPr>
          <w:rFonts w:ascii="Arial" w:cs="Arial" w:eastAsia="Arial" w:hAnsi="Arial"/>
          <w:b/>
          <w:bCs/>
          <w:sz w:val="22"/>
          <w:szCs w:val="22"/>
        </w:rPr>
        <w:t xml:space="preserve">Sustainability:</w:t>
      </w:r>
      <w:r>
        <w:rPr>
          <w:rFonts w:ascii="Arial" w:cs="Arial" w:eastAsia="Arial" w:hAnsi="Arial"/>
          <w:sz w:val="22"/>
          <w:szCs w:val="22"/>
        </w:rPr>
        <w:t xml:space="preserve"> Identical profile to HO Palm Olein. </w:t>
      </w:r>
      <w:r>
        <w:rPr>
          <w:rFonts w:ascii="Arial" w:cs="Arial" w:eastAsia="Arial" w:hAnsi="Arial"/>
          <w:b/>
          <w:bCs/>
          <w:sz w:val="22"/>
          <w:szCs w:val="22"/>
        </w:rPr>
        <w:t xml:space="preserve">Best Applications:</w:t>
      </w:r>
      <w:r>
        <w:rPr>
          <w:rFonts w:ascii="Arial" w:cs="Arial" w:eastAsia="Arial" w:hAnsi="Arial"/>
          <w:sz w:val="22"/>
          <w:szCs w:val="22"/>
        </w:rPr>
        <w:t xml:space="preserve"> Same as HO Palm Olein; the slightly higher melting point (due to stearin) may make it preferable in operations where a semi-solid state at room temperature aids handling. </w:t>
      </w:r>
      <w:r>
        <w:rPr>
          <w:rFonts w:ascii="Arial" w:cs="Arial" w:eastAsia="Arial" w:hAnsi="Arial"/>
          <w:b/>
          <w:bCs/>
          <w:sz w:val="22"/>
          <w:szCs w:val="22"/>
        </w:rPr>
        <w:t xml:space="preserve">Price:</w:t>
      </w:r>
      <w:r>
        <w:rPr>
          <w:rFonts w:ascii="Arial" w:cs="Arial" w:eastAsia="Arial" w:hAnsi="Arial"/>
          <w:sz w:val="22"/>
          <w:szCs w:val="22"/>
        </w:rPr>
        <w:t xml:space="preserve"> approximately $1,050/ton.</w:t>
      </w:r>
    </w:p>
    <w:p>
      <w:pPr>
        <w:pStyle w:val="Heading2"/>
        <w:spacing w:before="360" w:after="180"/>
      </w:pPr>
      <w:r>
        <w:rPr>
          <w:rFonts w:ascii="Arial" w:cs="Arial" w:eastAsia="Arial" w:hAnsi="Arial"/>
          <w:b/>
          <w:bCs/>
          <w:sz w:val="28"/>
          <w:szCs w:val="28"/>
        </w:rPr>
        <w:t xml:space="preserve">Group B: Conventional Palm Oils</w:t>
      </w:r>
    </w:p>
    <w:p>
      <w:pPr>
        <w:pStyle w:val="Heading3"/>
        <w:spacing w:before="240" w:after="120"/>
      </w:pPr>
      <w:r>
        <w:rPr>
          <w:rFonts w:ascii="Arial" w:cs="Arial" w:eastAsia="Arial" w:hAnsi="Arial"/>
          <w:b/>
          <w:bCs/>
          <w:sz w:val="24"/>
          <w:szCs w:val="24"/>
        </w:rPr>
        <w:t xml:space="preserve">Palm Olein (Conventional E. guineensis)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Palm (E. guineensis, conventional). </w:t>
      </w:r>
      <w:r>
        <w:rPr>
          <w:rFonts w:ascii="Arial" w:cs="Arial" w:eastAsia="Arial" w:hAnsi="Arial"/>
          <w:b/>
          <w:bCs/>
          <w:sz w:val="22"/>
          <w:szCs w:val="22"/>
        </w:rPr>
        <w:t xml:space="preserve">Processing:</w:t>
      </w:r>
      <w:r>
        <w:rPr>
          <w:rFonts w:ascii="Arial" w:cs="Arial" w:eastAsia="Arial" w:hAnsi="Arial"/>
          <w:sz w:val="22"/>
          <w:szCs w:val="22"/>
        </w:rPr>
        <w:t xml:space="preserve"> Refined, fractionated. </w:t>
      </w:r>
      <w:r>
        <w:rPr>
          <w:rFonts w:ascii="Arial" w:cs="Arial" w:eastAsia="Arial" w:hAnsi="Arial"/>
          <w:b/>
          <w:bCs/>
          <w:sz w:val="22"/>
          <w:szCs w:val="22"/>
        </w:rPr>
        <w:t xml:space="preserve">Fatty Acid Profile:</w:t>
      </w:r>
      <w:r>
        <w:rPr>
          <w:rFonts w:ascii="Arial" w:cs="Arial" w:eastAsia="Arial" w:hAnsi="Arial"/>
          <w:sz w:val="22"/>
          <w:szCs w:val="22"/>
        </w:rPr>
        <w:t xml:space="preserve"> 43% SAFA, 40% MUFA (40% oleic), 16% PUFA. </w:t>
      </w:r>
      <w:r>
        <w:rPr>
          <w:rFonts w:ascii="Arial" w:cs="Arial" w:eastAsia="Arial" w:hAnsi="Arial"/>
          <w:b/>
          <w:bCs/>
          <w:sz w:val="22"/>
          <w:szCs w:val="22"/>
        </w:rPr>
        <w:t xml:space="preserve">Smoke Point:</w:t>
      </w:r>
      <w:r>
        <w:rPr>
          <w:rFonts w:ascii="Arial" w:cs="Arial" w:eastAsia="Arial" w:hAnsi="Arial"/>
          <w:sz w:val="22"/>
          <w:szCs w:val="22"/>
        </w:rPr>
        <w:t xml:space="preserve"> 230°C. </w:t>
      </w:r>
      <w:r>
        <w:rPr>
          <w:rFonts w:ascii="Arial" w:cs="Arial" w:eastAsia="Arial" w:hAnsi="Arial"/>
          <w:b/>
          <w:bCs/>
          <w:sz w:val="22"/>
          <w:szCs w:val="22"/>
        </w:rPr>
        <w:t xml:space="preserve">OSI:</w:t>
      </w:r>
      <w:r>
        <w:rPr>
          <w:rFonts w:ascii="Arial" w:cs="Arial" w:eastAsia="Arial" w:hAnsi="Arial"/>
          <w:sz w:val="22"/>
          <w:szCs w:val="22"/>
        </w:rPr>
        <w:t xml:space="preserve"> 48 hours. </w:t>
      </w:r>
      <w:r>
        <w:rPr>
          <w:rFonts w:ascii="Arial" w:cs="Arial" w:eastAsia="Arial" w:hAnsi="Arial"/>
          <w:b/>
          <w:bCs/>
          <w:sz w:val="22"/>
          <w:szCs w:val="22"/>
        </w:rPr>
        <w:t xml:space="preserve">Frying Life:</w:t>
      </w:r>
      <w:r>
        <w:rPr>
          <w:rFonts w:ascii="Arial" w:cs="Arial" w:eastAsia="Arial" w:hAnsi="Arial"/>
          <w:sz w:val="22"/>
          <w:szCs w:val="22"/>
        </w:rPr>
        <w:t xml:space="preserve"> 239 cycles (H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~$950/ton.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Slightly raises LDL-C due to higher palmitic acid content (43% SAFA vs. 35% in HO varieties). WHO recommends reducing palm SAFA intake. Higher palmitic acid may activate the TLR4 inflammatory pathway. </w:t>
      </w:r>
      <w:r>
        <w:rPr>
          <w:rFonts w:ascii="Arial" w:cs="Arial" w:eastAsia="Arial" w:hAnsi="Arial"/>
          <w:b/>
          <w:bCs/>
          <w:sz w:val="22"/>
          <w:szCs w:val="22"/>
        </w:rPr>
        <w:t xml:space="preserve">Sustainability:</w:t>
      </w:r>
      <w:r>
        <w:rPr>
          <w:rFonts w:ascii="Arial" w:cs="Arial" w:eastAsia="Arial" w:hAnsi="Arial"/>
          <w:sz w:val="22"/>
          <w:szCs w:val="22"/>
        </w:rPr>
        <w:t xml:space="preserve"> Moderate-to-high deforestation risk (Indonesia, Malaysia). High biodiversity impact (associated with threats to 321 species per WWF). RSPO and MSPO certification available. Supports millions of smallholder farmers globally. </w:t>
      </w:r>
      <w:r>
        <w:rPr>
          <w:rFonts w:ascii="Arial" w:cs="Arial" w:eastAsia="Arial" w:hAnsi="Arial"/>
          <w:b/>
          <w:bCs/>
          <w:sz w:val="22"/>
          <w:szCs w:val="22"/>
        </w:rPr>
        <w:t xml:space="preserve">Best Applications:</w:t>
      </w:r>
      <w:r>
        <w:rPr>
          <w:rFonts w:ascii="Arial" w:cs="Arial" w:eastAsia="Arial" w:hAnsi="Arial"/>
          <w:sz w:val="22"/>
          <w:szCs w:val="22"/>
        </w:rPr>
        <w:t xml:space="preserve"> High-volume frying where cost is the primary driver and health considerations are secondary; widely used in QSR and snack food manufacturing globally.</w:t>
      </w:r>
    </w:p>
    <w:p>
      <w:pPr>
        <w:pStyle w:val="Heading3"/>
        <w:spacing w:before="240" w:after="120"/>
      </w:pPr>
      <w:r>
        <w:rPr>
          <w:rFonts w:ascii="Arial" w:cs="Arial" w:eastAsia="Arial" w:hAnsi="Arial"/>
          <w:b/>
          <w:bCs/>
          <w:sz w:val="24"/>
          <w:szCs w:val="24"/>
        </w:rPr>
        <w:t xml:space="preserve">Crude Palm Oil (Conventional)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Palm (E. guineensis). </w:t>
      </w:r>
      <w:r>
        <w:rPr>
          <w:rFonts w:ascii="Arial" w:cs="Arial" w:eastAsia="Arial" w:hAnsi="Arial"/>
          <w:b/>
          <w:bCs/>
          <w:sz w:val="22"/>
          <w:szCs w:val="22"/>
        </w:rPr>
        <w:t xml:space="preserve">Processing:</w:t>
      </w:r>
      <w:r>
        <w:rPr>
          <w:rFonts w:ascii="Arial" w:cs="Arial" w:eastAsia="Arial" w:hAnsi="Arial"/>
          <w:sz w:val="22"/>
          <w:szCs w:val="22"/>
        </w:rPr>
        <w:t xml:space="preserve"> Crude or minimally processed—retains carotenoids (red-orange color) and tocotrienols. </w:t>
      </w:r>
      <w:r>
        <w:rPr>
          <w:rFonts w:ascii="Arial" w:cs="Arial" w:eastAsia="Arial" w:hAnsi="Arial"/>
          <w:b/>
          <w:bCs/>
          <w:sz w:val="22"/>
          <w:szCs w:val="22"/>
        </w:rPr>
        <w:t xml:space="preserve">Fatty Acid Profile:</w:t>
      </w:r>
      <w:r>
        <w:rPr>
          <w:rFonts w:ascii="Arial" w:cs="Arial" w:eastAsia="Arial" w:hAnsi="Arial"/>
          <w:sz w:val="22"/>
          <w:szCs w:val="22"/>
        </w:rPr>
        <w:t xml:space="preserve"> 50% SAFA, 39% MUFA, 11% PUFA. </w:t>
      </w:r>
      <w:r>
        <w:rPr>
          <w:rFonts w:ascii="Arial" w:cs="Arial" w:eastAsia="Arial" w:hAnsi="Arial"/>
          <w:b/>
          <w:bCs/>
          <w:sz w:val="22"/>
          <w:szCs w:val="22"/>
        </w:rPr>
        <w:t xml:space="preserve">Smoke Point:</w:t>
      </w:r>
      <w:r>
        <w:rPr>
          <w:rFonts w:ascii="Arial" w:cs="Arial" w:eastAsia="Arial" w:hAnsi="Arial"/>
          <w:sz w:val="22"/>
          <w:szCs w:val="22"/>
        </w:rPr>
        <w:t xml:space="preserve"> 230°C. </w:t>
      </w:r>
      <w:r>
        <w:rPr>
          <w:rFonts w:ascii="Arial" w:cs="Arial" w:eastAsia="Arial" w:hAnsi="Arial"/>
          <w:b/>
          <w:bCs/>
          <w:sz w:val="22"/>
          <w:szCs w:val="22"/>
        </w:rPr>
        <w:t xml:space="preserve">OSI:</w:t>
      </w:r>
      <w:r>
        <w:rPr>
          <w:rFonts w:ascii="Arial" w:cs="Arial" w:eastAsia="Arial" w:hAnsi="Arial"/>
          <w:sz w:val="22"/>
          <w:szCs w:val="22"/>
        </w:rPr>
        <w:t xml:space="preserve"> 42 hours. </w:t>
      </w:r>
      <w:r>
        <w:rPr>
          <w:rFonts w:ascii="Arial" w:cs="Arial" w:eastAsia="Arial" w:hAnsi="Arial"/>
          <w:b/>
          <w:bCs/>
          <w:sz w:val="22"/>
          <w:szCs w:val="22"/>
        </w:rPr>
        <w:t xml:space="preserve">Frying Life:</w:t>
      </w:r>
      <w:r>
        <w:rPr>
          <w:rFonts w:ascii="Arial" w:cs="Arial" w:eastAsia="Arial" w:hAnsi="Arial"/>
          <w:sz w:val="22"/>
          <w:szCs w:val="22"/>
        </w:rPr>
        <w:t xml:space="preserve"> 230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~$908/ton.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Raises LDL-C due to 50% SAFA. However, crude palm retains significant carotenoids (beta-carotene, the precursor to vitamin A) with neurological benefits and tocotrienols. WHO is cautious; red palm oil has some nutritional advocates. </w:t>
      </w:r>
      <w:r>
        <w:rPr>
          <w:rFonts w:ascii="Arial" w:cs="Arial" w:eastAsia="Arial" w:hAnsi="Arial"/>
          <w:b/>
          <w:bCs/>
          <w:sz w:val="22"/>
          <w:szCs w:val="22"/>
        </w:rPr>
        <w:t xml:space="preserve">Sustainability:</w:t>
      </w:r>
      <w:r>
        <w:rPr>
          <w:rFonts w:ascii="Arial" w:cs="Arial" w:eastAsia="Arial" w:hAnsi="Arial"/>
          <w:sz w:val="22"/>
          <w:szCs w:val="22"/>
        </w:rPr>
        <w:t xml:space="preserve"> High deforestation risk (SEA). POME (palm oil mill effluent) generates methane. Same yield advantage as all palm. </w:t>
      </w:r>
      <w:r>
        <w:rPr>
          <w:rFonts w:ascii="Arial" w:cs="Arial" w:eastAsia="Arial" w:hAnsi="Arial"/>
          <w:b/>
          <w:bCs/>
          <w:sz w:val="22"/>
          <w:szCs w:val="22"/>
        </w:rPr>
        <w:t xml:space="preserve">Best Applications:</w:t>
      </w:r>
      <w:r>
        <w:rPr>
          <w:rFonts w:ascii="Arial" w:cs="Arial" w:eastAsia="Arial" w:hAnsi="Arial"/>
          <w:sz w:val="22"/>
          <w:szCs w:val="22"/>
        </w:rPr>
        <w:t xml:space="preserve"> Traditional cooking in tropical regions; limited use in Western commercial frying due to intense color.</w:t>
      </w:r>
    </w:p>
    <w:p>
      <w:pPr>
        <w:pStyle w:val="Heading3"/>
        <w:spacing w:before="240" w:after="120"/>
      </w:pPr>
      <w:r>
        <w:rPr>
          <w:rFonts w:ascii="Arial" w:cs="Arial" w:eastAsia="Arial" w:hAnsi="Arial"/>
          <w:b/>
          <w:bCs/>
          <w:sz w:val="24"/>
          <w:szCs w:val="24"/>
        </w:rPr>
        <w:t xml:space="preserve">Palm Kernel Oil (Lauric)</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Palm kernel (lauric family—distinct from palm fruit oil).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82% SAFA (primarily lauric acid), 15% MUFA, 3% PUFA. </w:t>
      </w:r>
      <w:r>
        <w:rPr>
          <w:rFonts w:ascii="Arial" w:cs="Arial" w:eastAsia="Arial" w:hAnsi="Arial"/>
          <w:b/>
          <w:bCs/>
          <w:sz w:val="22"/>
          <w:szCs w:val="22"/>
        </w:rPr>
        <w:t xml:space="preserve">Smoke Point:</w:t>
      </w:r>
      <w:r>
        <w:rPr>
          <w:rFonts w:ascii="Arial" w:cs="Arial" w:eastAsia="Arial" w:hAnsi="Arial"/>
          <w:sz w:val="22"/>
          <w:szCs w:val="22"/>
        </w:rPr>
        <w:t xml:space="preserve"> 230°C. </w:t>
      </w:r>
      <w:r>
        <w:rPr>
          <w:rFonts w:ascii="Arial" w:cs="Arial" w:eastAsia="Arial" w:hAnsi="Arial"/>
          <w:b/>
          <w:bCs/>
          <w:sz w:val="22"/>
          <w:szCs w:val="22"/>
        </w:rPr>
        <w:t xml:space="preserve">OSI:</w:t>
      </w:r>
      <w:r>
        <w:rPr>
          <w:rFonts w:ascii="Arial" w:cs="Arial" w:eastAsia="Arial" w:hAnsi="Arial"/>
          <w:sz w:val="22"/>
          <w:szCs w:val="22"/>
        </w:rPr>
        <w:t xml:space="preserve"> 80 hours. </w:t>
      </w:r>
      <w:r>
        <w:rPr>
          <w:rFonts w:ascii="Arial" w:cs="Arial" w:eastAsia="Arial" w:hAnsi="Arial"/>
          <w:b/>
          <w:bCs/>
          <w:sz w:val="22"/>
          <w:szCs w:val="22"/>
        </w:rPr>
        <w:t xml:space="preserve">Frying Life:</w:t>
      </w:r>
      <w:r>
        <w:rPr>
          <w:rFonts w:ascii="Arial" w:cs="Arial" w:eastAsia="Arial" w:hAnsi="Arial"/>
          <w:sz w:val="22"/>
          <w:szCs w:val="22"/>
        </w:rPr>
        <w:t xml:space="preserve"> 210 cycles (L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~$1,100/ton.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Strongly raises LDL-C due to 82% SAFA. Lauric acid may activate TLR4 inflammatory pathways. AHA advises limiting. Similar profile to coconut oil. No significant brain-specific nutrients. </w:t>
      </w:r>
      <w:r>
        <w:rPr>
          <w:rFonts w:ascii="Arial" w:cs="Arial" w:eastAsia="Arial" w:hAnsi="Arial"/>
          <w:b/>
          <w:bCs/>
          <w:sz w:val="22"/>
          <w:szCs w:val="22"/>
        </w:rPr>
        <w:t xml:space="preserve">Sustainability:</w:t>
      </w:r>
      <w:r>
        <w:rPr>
          <w:rFonts w:ascii="Arial" w:cs="Arial" w:eastAsia="Arial" w:hAnsi="Arial"/>
          <w:sz w:val="22"/>
          <w:szCs w:val="22"/>
        </w:rPr>
        <w:t xml:space="preserve"> Same deforestation/biodiversity profile as palm oil (it is a byproduct of palm fruit processing). </w:t>
      </w:r>
      <w:r>
        <w:rPr>
          <w:rFonts w:ascii="Arial" w:cs="Arial" w:eastAsia="Arial" w:hAnsi="Arial"/>
          <w:b/>
          <w:bCs/>
          <w:sz w:val="22"/>
          <w:szCs w:val="22"/>
        </w:rPr>
        <w:t xml:space="preserve">Best Applications:</w:t>
      </w:r>
      <w:r>
        <w:rPr>
          <w:rFonts w:ascii="Arial" w:cs="Arial" w:eastAsia="Arial" w:hAnsi="Arial"/>
          <w:sz w:val="22"/>
          <w:szCs w:val="22"/>
        </w:rPr>
        <w:t xml:space="preserve"> Confectionery coatings, spray oils, non-dairy creamers. Limited frying application due to lauric acid’s distinct flavor and foaming behavior at sustained high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RESEARCH NOTE</w:t>
            </w:r>
          </w:p>
          <w:p>
            <w:pPr>
              <w:spacing w:after="0"/>
            </w:pPr>
            <w:r>
              <w:rPr>
                <w:rFonts w:ascii="Arial" w:cs="Arial" w:eastAsia="Arial" w:hAnsi="Arial"/>
                <w:sz w:val="21"/>
                <w:szCs w:val="21"/>
              </w:rPr>
              <w:t xml:space="preserve">The Southeast Asian palm oil deforestation controversy: Conventional E. guineensis palm cultivation in Indonesia and Malaysia has been a leading driver of tropical deforestation, peatland drainage, and habitat loss for critically endangered species including orangutans, Sumatran tigers, and pygmy elephants (WWF, 2020). RSPO (Roundtable on Sustainable Palm Oil) certification was established to address these concerns, but coverage remains incomplete. Colombian OxG palm production represents a geographically and agronomically distinct model that avoids peatland conversion. Operators choosing palm oil should verify origin and certification status.</w:t>
            </w:r>
          </w:p>
        </w:tc>
      </w:tr>
    </w:tbl>
    <w:p>
      <w:pPr>
        <w:spacing w:after="120"/>
      </w:pPr>
    </w:p>
    <w:p>
      <w:pPr>
        <w:pStyle w:val="Heading2"/>
        <w:spacing w:before="360" w:after="180"/>
      </w:pPr>
      <w:r>
        <w:rPr>
          <w:rFonts w:ascii="Arial" w:cs="Arial" w:eastAsia="Arial" w:hAnsi="Arial"/>
          <w:b/>
          <w:bCs/>
          <w:sz w:val="28"/>
          <w:szCs w:val="28"/>
        </w:rPr>
        <w:t xml:space="preserve">Group C: High Oleic Seeds</w:t>
      </w:r>
    </w:p>
    <w:p>
      <w:pPr>
        <w:pStyle w:val="Heading3"/>
        <w:spacing w:before="240" w:after="120"/>
      </w:pPr>
      <w:r>
        <w:rPr>
          <w:rFonts w:ascii="Arial" w:cs="Arial" w:eastAsia="Arial" w:hAnsi="Arial"/>
          <w:b/>
          <w:bCs/>
          <w:sz w:val="24"/>
          <w:szCs w:val="24"/>
        </w:rPr>
        <w:t xml:space="preserve">HO Sunflower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Sunflower (high oleic variety—bred to shift fatty acid profile from linoleic to oleic dominance).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9% SAFA, 82% MUFA (78% oleic), 9% PUFA. </w:t>
      </w:r>
      <w:r>
        <w:rPr>
          <w:rFonts w:ascii="Arial" w:cs="Arial" w:eastAsia="Arial" w:hAnsi="Arial"/>
          <w:b/>
          <w:bCs/>
          <w:sz w:val="22"/>
          <w:szCs w:val="22"/>
        </w:rPr>
        <w:t xml:space="preserve">Smoke Point:</w:t>
      </w:r>
      <w:r>
        <w:rPr>
          <w:rFonts w:ascii="Arial" w:cs="Arial" w:eastAsia="Arial" w:hAnsi="Arial"/>
          <w:sz w:val="22"/>
          <w:szCs w:val="22"/>
        </w:rPr>
        <w:t xml:space="preserve"> 244°C. </w:t>
      </w:r>
      <w:r>
        <w:rPr>
          <w:rFonts w:ascii="Arial" w:cs="Arial" w:eastAsia="Arial" w:hAnsi="Arial"/>
          <w:b/>
          <w:bCs/>
          <w:sz w:val="22"/>
          <w:szCs w:val="22"/>
        </w:rPr>
        <w:t xml:space="preserve">OSI:</w:t>
      </w:r>
      <w:r>
        <w:rPr>
          <w:rFonts w:ascii="Arial" w:cs="Arial" w:eastAsia="Arial" w:hAnsi="Arial"/>
          <w:sz w:val="22"/>
          <w:szCs w:val="22"/>
        </w:rPr>
        <w:t xml:space="preserve"> 101 hours (the highest of any oil in this dataset). </w:t>
      </w:r>
      <w:r>
        <w:rPr>
          <w:rFonts w:ascii="Arial" w:cs="Arial" w:eastAsia="Arial" w:hAnsi="Arial"/>
          <w:b/>
          <w:bCs/>
          <w:sz w:val="22"/>
          <w:szCs w:val="22"/>
        </w:rPr>
        <w:t xml:space="preserve">Frying Life:</w:t>
      </w:r>
      <w:r>
        <w:rPr>
          <w:rFonts w:ascii="Arial" w:cs="Arial" w:eastAsia="Arial" w:hAnsi="Arial"/>
          <w:sz w:val="22"/>
          <w:szCs w:val="22"/>
        </w:rPr>
        <w:t xml:space="preserve"> 347 cycles (H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~$1,350/ton.</w:t>
      </w:r>
    </w:p>
    <w:p>
      <w:pPr>
        <w:spacing w:after="180" w:line="276"/>
      </w:pPr>
      <w:r>
        <w:rPr>
          <w:rFonts w:ascii="Arial" w:cs="Arial" w:eastAsia="Arial" w:hAnsi="Arial"/>
          <w:sz w:val="22"/>
          <w:szCs w:val="22"/>
        </w:rPr>
        <w:t xml:space="preserve">“High oleic” sunflower is a fundamentally different product from conventional sunflower. Through selective breeding (not genetic modification), the fatty acid profile was shifted from approximately 56% linoleic (PUFA) to approximately 78% oleic (MUFA). This transformation improved OSI from 16.5 hours to 101 hours and frying life from 107 cycles to 347 cycles—a more than threefold improvement (Fedepalma/UCaldas, 2025).</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Rich in alpha-tocopherol (vitamin E). Very low SAFA (9%)—the most heart-favorable frying oil by this metric. Very low PUFA means minimal pro-inflammatory cooking byproducts. Positively viewed by AHA/WHO. </w:t>
      </w:r>
      <w:r>
        <w:rPr>
          <w:rFonts w:ascii="Arial" w:cs="Arial" w:eastAsia="Arial" w:hAnsi="Arial"/>
          <w:b/>
          <w:bCs/>
          <w:sz w:val="22"/>
          <w:szCs w:val="22"/>
        </w:rPr>
        <w:t xml:space="preserve">Sustainability:</w:t>
      </w:r>
      <w:r>
        <w:rPr>
          <w:rFonts w:ascii="Arial" w:cs="Arial" w:eastAsia="Arial" w:hAnsi="Arial"/>
          <w:sz w:val="22"/>
          <w:szCs w:val="22"/>
        </w:rPr>
        <w:t xml:space="preserve"> Very low deforestation risk (temperate climate crop). However, high water footprint (6,800 m³/ton) and low land efficiency (0.6 t/ha/yr—six times less efficient than palm). </w:t>
      </w:r>
      <w:r>
        <w:rPr>
          <w:rFonts w:ascii="Arial" w:cs="Arial" w:eastAsia="Arial" w:hAnsi="Arial"/>
          <w:b/>
          <w:bCs/>
          <w:sz w:val="22"/>
          <w:szCs w:val="22"/>
        </w:rPr>
        <w:t xml:space="preserve">Best Applications:</w:t>
      </w:r>
      <w:r>
        <w:rPr>
          <w:rFonts w:ascii="Arial" w:cs="Arial" w:eastAsia="Arial" w:hAnsi="Arial"/>
          <w:sz w:val="22"/>
          <w:szCs w:val="22"/>
        </w:rPr>
        <w:t xml:space="preserve"> Premium deep frying, QSR chains seeking a high-performance seed oil, health-conscious operations. Flavor is neutral.</w:t>
      </w:r>
    </w:p>
    <w:p>
      <w:pPr>
        <w:pStyle w:val="Heading3"/>
        <w:spacing w:before="240" w:after="120"/>
      </w:pPr>
      <w:r>
        <w:rPr>
          <w:rFonts w:ascii="Arial" w:cs="Arial" w:eastAsia="Arial" w:hAnsi="Arial"/>
          <w:b/>
          <w:bCs/>
          <w:sz w:val="24"/>
          <w:szCs w:val="24"/>
        </w:rPr>
        <w:t xml:space="preserve">HO Soybean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Legume (high oleic variety).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9% SAFA, 75% MUFA (71% oleic), 14% PUFA. </w:t>
      </w:r>
      <w:r>
        <w:rPr>
          <w:rFonts w:ascii="Arial" w:cs="Arial" w:eastAsia="Arial" w:hAnsi="Arial"/>
          <w:b/>
          <w:bCs/>
          <w:sz w:val="22"/>
          <w:szCs w:val="22"/>
        </w:rPr>
        <w:t xml:space="preserve">Smoke Point:</w:t>
      </w:r>
      <w:r>
        <w:rPr>
          <w:rFonts w:ascii="Arial" w:cs="Arial" w:eastAsia="Arial" w:hAnsi="Arial"/>
          <w:sz w:val="22"/>
          <w:szCs w:val="22"/>
        </w:rPr>
        <w:t xml:space="preserve"> 232°C. </w:t>
      </w:r>
      <w:r>
        <w:rPr>
          <w:rFonts w:ascii="Arial" w:cs="Arial" w:eastAsia="Arial" w:hAnsi="Arial"/>
          <w:b/>
          <w:bCs/>
          <w:sz w:val="22"/>
          <w:szCs w:val="22"/>
        </w:rPr>
        <w:t xml:space="preserve">OSI:</w:t>
      </w:r>
      <w:r>
        <w:rPr>
          <w:rFonts w:ascii="Arial" w:cs="Arial" w:eastAsia="Arial" w:hAnsi="Arial"/>
          <w:sz w:val="22"/>
          <w:szCs w:val="22"/>
        </w:rPr>
        <w:t xml:space="preserve"> 55 hours. </w:t>
      </w:r>
      <w:r>
        <w:rPr>
          <w:rFonts w:ascii="Arial" w:cs="Arial" w:eastAsia="Arial" w:hAnsi="Arial"/>
          <w:b/>
          <w:bCs/>
          <w:sz w:val="22"/>
          <w:szCs w:val="22"/>
        </w:rPr>
        <w:t xml:space="preserve">Frying Life:</w:t>
      </w:r>
      <w:r>
        <w:rPr>
          <w:rFonts w:ascii="Arial" w:cs="Arial" w:eastAsia="Arial" w:hAnsi="Arial"/>
          <w:sz w:val="22"/>
          <w:szCs w:val="22"/>
        </w:rPr>
        <w:t xml:space="preserve"> 280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~$1,400/ton.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75% MUFA provides dramatically reduced inflammatory byproducts vs. conventional soy (61% PUFA). Improved omega balance. Positively viewed by emerging evidence. </w:t>
      </w:r>
      <w:r>
        <w:rPr>
          <w:rFonts w:ascii="Arial" w:cs="Arial" w:eastAsia="Arial" w:hAnsi="Arial"/>
          <w:b/>
          <w:bCs/>
          <w:sz w:val="22"/>
          <w:szCs w:val="22"/>
        </w:rPr>
        <w:t xml:space="preserve">Sustainability:</w:t>
      </w:r>
      <w:r>
        <w:rPr>
          <w:rFonts w:ascii="Arial" w:cs="Arial" w:eastAsia="Arial" w:hAnsi="Arial"/>
          <w:sz w:val="22"/>
          <w:szCs w:val="22"/>
        </w:rPr>
        <w:t xml:space="preserve"> Same deforestation risk as conventional soy (very high—soy is the second largest deforestation driver globally). Same crop, different variety. RTRS certification available but limited adoption. </w:t>
      </w:r>
      <w:r>
        <w:rPr>
          <w:rFonts w:ascii="Arial" w:cs="Arial" w:eastAsia="Arial" w:hAnsi="Arial"/>
          <w:b/>
          <w:bCs/>
          <w:sz w:val="22"/>
          <w:szCs w:val="22"/>
        </w:rPr>
        <w:t xml:space="preserve">Best Applications:</w:t>
      </w:r>
      <w:r>
        <w:rPr>
          <w:rFonts w:ascii="Arial" w:cs="Arial" w:eastAsia="Arial" w:hAnsi="Arial"/>
          <w:sz w:val="22"/>
          <w:szCs w:val="22"/>
        </w:rPr>
        <w:t xml:space="preserve"> Deep frying for operations already using soybean oil that want improved performance without switching oil categories.</w:t>
      </w:r>
    </w:p>
    <w:p>
      <w:pPr>
        <w:pStyle w:val="Heading2"/>
        <w:spacing w:before="360" w:after="180"/>
      </w:pPr>
      <w:r>
        <w:rPr>
          <w:rFonts w:ascii="Arial" w:cs="Arial" w:eastAsia="Arial" w:hAnsi="Arial"/>
          <w:b/>
          <w:bCs/>
          <w:sz w:val="28"/>
          <w:szCs w:val="28"/>
        </w:rPr>
        <w:t xml:space="preserve">Group D: Commodity Seed Oils — The Anti-Seed-Oil Context</w:t>
      </w:r>
    </w:p>
    <w:p>
      <w:pPr>
        <w:pStyle w:val="Heading3"/>
        <w:spacing w:before="240" w:after="120"/>
      </w:pPr>
      <w:r>
        <w:rPr>
          <w:rFonts w:ascii="Arial" w:cs="Arial" w:eastAsia="Arial" w:hAnsi="Arial"/>
          <w:b/>
          <w:bCs/>
          <w:sz w:val="24"/>
          <w:szCs w:val="24"/>
        </w:rPr>
        <w:t xml:space="preserve">Sunflower Oil (Conventional)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Sunflower (linoleic variety).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12% SAFA, 32% MUFA, 56% PUFA. </w:t>
      </w:r>
      <w:r>
        <w:rPr>
          <w:rFonts w:ascii="Arial" w:cs="Arial" w:eastAsia="Arial" w:hAnsi="Arial"/>
          <w:b/>
          <w:bCs/>
          <w:sz w:val="22"/>
          <w:szCs w:val="22"/>
        </w:rPr>
        <w:t xml:space="preserve">Smoke Point:</w:t>
      </w:r>
      <w:r>
        <w:rPr>
          <w:rFonts w:ascii="Arial" w:cs="Arial" w:eastAsia="Arial" w:hAnsi="Arial"/>
          <w:sz w:val="22"/>
          <w:szCs w:val="22"/>
        </w:rPr>
        <w:t xml:space="preserve"> 227°C. </w:t>
      </w:r>
      <w:r>
        <w:rPr>
          <w:rFonts w:ascii="Arial" w:cs="Arial" w:eastAsia="Arial" w:hAnsi="Arial"/>
          <w:b/>
          <w:bCs/>
          <w:sz w:val="22"/>
          <w:szCs w:val="22"/>
        </w:rPr>
        <w:t xml:space="preserve">OSI:</w:t>
      </w:r>
      <w:r>
        <w:rPr>
          <w:rFonts w:ascii="Arial" w:cs="Arial" w:eastAsia="Arial" w:hAnsi="Arial"/>
          <w:sz w:val="22"/>
          <w:szCs w:val="22"/>
        </w:rPr>
        <w:t xml:space="preserve"> 16.5 hours. </w:t>
      </w:r>
      <w:r>
        <w:rPr>
          <w:rFonts w:ascii="Arial" w:cs="Arial" w:eastAsia="Arial" w:hAnsi="Arial"/>
          <w:b/>
          <w:bCs/>
          <w:sz w:val="22"/>
          <w:szCs w:val="22"/>
        </w:rPr>
        <w:t xml:space="preserve">Frying Life:</w:t>
      </w:r>
      <w:r>
        <w:rPr>
          <w:rFonts w:ascii="Arial" w:cs="Arial" w:eastAsia="Arial" w:hAnsi="Arial"/>
          <w:sz w:val="22"/>
          <w:szCs w:val="22"/>
        </w:rPr>
        <w:t xml:space="preserve"> 107 cycles (H confidence—measured in Fedepalma/UCaldas 2025 study).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~$1,262/ton.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alpha-tocopherol. However, 52% omega-6 with approximately 0% omega-3 makes it one of the most pro-inflammatory oils when heated. Growing scientific and consumer concern about omega-6 excess.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but supply resilience is very low—the Russia-Ukraine conflict removed approximately 80% of global supply, causing dramatic price spikes (FAO, 2026). </w:t>
      </w:r>
      <w:r>
        <w:rPr>
          <w:rFonts w:ascii="Arial" w:cs="Arial" w:eastAsia="Arial" w:hAnsi="Arial"/>
          <w:b/>
          <w:bCs/>
          <w:sz w:val="22"/>
          <w:szCs w:val="22"/>
        </w:rPr>
        <w:t xml:space="preserve">Best Applications:</w:t>
      </w:r>
      <w:r>
        <w:rPr>
          <w:rFonts w:ascii="Arial" w:cs="Arial" w:eastAsia="Arial" w:hAnsi="Arial"/>
          <w:sz w:val="22"/>
          <w:szCs w:val="22"/>
        </w:rPr>
        <w:t xml:space="preserve"> Salad dressings, low-temperature cooking. Poor choice for deep frying due to rapid degradation.</w:t>
      </w:r>
    </w:p>
    <w:p>
      <w:pPr>
        <w:pStyle w:val="Heading3"/>
        <w:spacing w:before="240" w:after="120"/>
      </w:pPr>
      <w:r>
        <w:rPr>
          <w:rFonts w:ascii="Arial" w:cs="Arial" w:eastAsia="Arial" w:hAnsi="Arial"/>
          <w:b/>
          <w:bCs/>
          <w:sz w:val="24"/>
          <w:szCs w:val="24"/>
        </w:rPr>
        <w:t xml:space="preserve">Canola / Rapeseed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Brassica (rapeseed). </w:t>
      </w:r>
      <w:r>
        <w:rPr>
          <w:rFonts w:ascii="Arial" w:cs="Arial" w:eastAsia="Arial" w:hAnsi="Arial"/>
          <w:b/>
          <w:bCs/>
          <w:sz w:val="22"/>
          <w:szCs w:val="22"/>
        </w:rPr>
        <w:t xml:space="preserve">Processing:</w:t>
      </w:r>
      <w:r>
        <w:rPr>
          <w:rFonts w:ascii="Arial" w:cs="Arial" w:eastAsia="Arial" w:hAnsi="Arial"/>
          <w:sz w:val="22"/>
          <w:szCs w:val="22"/>
        </w:rPr>
        <w:t xml:space="preserve"> Refined, deodorized. </w:t>
      </w:r>
      <w:r>
        <w:rPr>
          <w:rFonts w:ascii="Arial" w:cs="Arial" w:eastAsia="Arial" w:hAnsi="Arial"/>
          <w:b/>
          <w:bCs/>
          <w:sz w:val="22"/>
          <w:szCs w:val="22"/>
        </w:rPr>
        <w:t xml:space="preserve">Fatty Acid Profile:</w:t>
      </w:r>
      <w:r>
        <w:rPr>
          <w:rFonts w:ascii="Arial" w:cs="Arial" w:eastAsia="Arial" w:hAnsi="Arial"/>
          <w:sz w:val="22"/>
          <w:szCs w:val="22"/>
        </w:rPr>
        <w:t xml:space="preserve"> 7% SAFA, 63% MUFA (59% oleic), 30% PUFA. </w:t>
      </w:r>
      <w:r>
        <w:rPr>
          <w:rFonts w:ascii="Arial" w:cs="Arial" w:eastAsia="Arial" w:hAnsi="Arial"/>
          <w:b/>
          <w:bCs/>
          <w:sz w:val="22"/>
          <w:szCs w:val="22"/>
        </w:rPr>
        <w:t xml:space="preserve">Smoke Point:</w:t>
      </w:r>
      <w:r>
        <w:rPr>
          <w:rFonts w:ascii="Arial" w:cs="Arial" w:eastAsia="Arial" w:hAnsi="Arial"/>
          <w:sz w:val="22"/>
          <w:szCs w:val="22"/>
        </w:rPr>
        <w:t xml:space="preserve"> 204°C. </w:t>
      </w:r>
      <w:r>
        <w:rPr>
          <w:rFonts w:ascii="Arial" w:cs="Arial" w:eastAsia="Arial" w:hAnsi="Arial"/>
          <w:b/>
          <w:bCs/>
          <w:sz w:val="22"/>
          <w:szCs w:val="22"/>
        </w:rPr>
        <w:t xml:space="preserve">OSI:</w:t>
      </w:r>
      <w:r>
        <w:rPr>
          <w:rFonts w:ascii="Arial" w:cs="Arial" w:eastAsia="Arial" w:hAnsi="Arial"/>
          <w:sz w:val="22"/>
          <w:szCs w:val="22"/>
        </w:rPr>
        <w:t xml:space="preserve"> 14.4 hours. </w:t>
      </w:r>
      <w:r>
        <w:rPr>
          <w:rFonts w:ascii="Arial" w:cs="Arial" w:eastAsia="Arial" w:hAnsi="Arial"/>
          <w:b/>
          <w:bCs/>
          <w:sz w:val="22"/>
          <w:szCs w:val="22"/>
        </w:rPr>
        <w:t xml:space="preserve">Frying Life:</w:t>
      </w:r>
      <w:r>
        <w:rPr>
          <w:rFonts w:ascii="Arial" w:cs="Arial" w:eastAsia="Arial" w:hAnsi="Arial"/>
          <w:sz w:val="22"/>
          <w:szCs w:val="22"/>
        </w:rPr>
        <w:t xml:space="preserve"> 146 cycles (H confidence). </w:t>
      </w:r>
      <w:r>
        <w:rPr>
          <w:rFonts w:ascii="Arial" w:cs="Arial" w:eastAsia="Arial" w:hAnsi="Arial"/>
          <w:b/>
          <w:bCs/>
          <w:sz w:val="22"/>
          <w:szCs w:val="22"/>
        </w:rPr>
        <w:t xml:space="preserve">Trans Fat:</w:t>
      </w:r>
      <w:r>
        <w:rPr>
          <w:rFonts w:ascii="Arial" w:cs="Arial" w:eastAsia="Arial" w:hAnsi="Arial"/>
          <w:sz w:val="22"/>
          <w:szCs w:val="22"/>
        </w:rPr>
        <w:t xml:space="preserve"> 0.5%. </w:t>
      </w:r>
      <w:r>
        <w:rPr>
          <w:rFonts w:ascii="Arial" w:cs="Arial" w:eastAsia="Arial" w:hAnsi="Arial"/>
          <w:b/>
          <w:bCs/>
          <w:sz w:val="22"/>
          <w:szCs w:val="22"/>
        </w:rPr>
        <w:t xml:space="preserve">Price:</w:t>
      </w:r>
      <w:r>
        <w:rPr>
          <w:rFonts w:ascii="Arial" w:cs="Arial" w:eastAsia="Arial" w:hAnsi="Arial"/>
          <w:sz w:val="22"/>
          <w:szCs w:val="22"/>
        </w:rPr>
        <w:t xml:space="preserve"> ~$1,180/ton.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Best plant-source omega-3 ratio (9% ALA; omega-6:3 of 2.2:1). Strongly recommended by AHA/WHO. However, 30% PUFA makes it moderately unstable under sustained frying—a tension between its excellent nutritional profile and its middling frying performance. </w:t>
      </w:r>
      <w:r>
        <w:rPr>
          <w:rFonts w:ascii="Arial" w:cs="Arial" w:eastAsia="Arial" w:hAnsi="Arial"/>
          <w:b/>
          <w:bCs/>
          <w:sz w:val="22"/>
          <w:szCs w:val="22"/>
        </w:rPr>
        <w:t xml:space="preserve">Sustainability:</w:t>
      </w:r>
      <w:r>
        <w:rPr>
          <w:rFonts w:ascii="Arial" w:cs="Arial" w:eastAsia="Arial" w:hAnsi="Arial"/>
          <w:sz w:val="22"/>
          <w:szCs w:val="22"/>
        </w:rPr>
        <w:t xml:space="preserve"> Very low deforestation risk. Lowest GHG of major oils (2.5 kgCO₂/kg). Moderate concern about neonicotinoid impacts on pollinators. </w:t>
      </w:r>
      <w:r>
        <w:rPr>
          <w:rFonts w:ascii="Arial" w:cs="Arial" w:eastAsia="Arial" w:hAnsi="Arial"/>
          <w:b/>
          <w:bCs/>
          <w:sz w:val="22"/>
          <w:szCs w:val="22"/>
        </w:rPr>
        <w:t xml:space="preserve">Best Applications:</w:t>
      </w:r>
      <w:r>
        <w:rPr>
          <w:rFonts w:ascii="Arial" w:cs="Arial" w:eastAsia="Arial" w:hAnsi="Arial"/>
          <w:sz w:val="22"/>
          <w:szCs w:val="22"/>
        </w:rPr>
        <w:t xml:space="preserve"> Baking, sautéing, medium-duty frying. Adequate for deep frying in operations with good filtration and oil management, but not optimal for high-volume continuous frying.</w:t>
      </w:r>
    </w:p>
    <w:p>
      <w:pPr>
        <w:pStyle w:val="Heading3"/>
        <w:spacing w:before="240" w:after="120"/>
      </w:pPr>
      <w:r>
        <w:rPr>
          <w:rFonts w:ascii="Arial" w:cs="Arial" w:eastAsia="Arial" w:hAnsi="Arial"/>
          <w:b/>
          <w:bCs/>
          <w:sz w:val="24"/>
          <w:szCs w:val="24"/>
        </w:rPr>
        <w:t xml:space="preserve">Soybean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Legume. </w:t>
      </w:r>
      <w:r>
        <w:rPr>
          <w:rFonts w:ascii="Arial" w:cs="Arial" w:eastAsia="Arial" w:hAnsi="Arial"/>
          <w:b/>
          <w:bCs/>
          <w:sz w:val="22"/>
          <w:szCs w:val="22"/>
        </w:rPr>
        <w:t xml:space="preserve">Processing:</w:t>
      </w:r>
      <w:r>
        <w:rPr>
          <w:rFonts w:ascii="Arial" w:cs="Arial" w:eastAsia="Arial" w:hAnsi="Arial"/>
          <w:sz w:val="22"/>
          <w:szCs w:val="22"/>
        </w:rPr>
        <w:t xml:space="preserve"> Refined, degummed. </w:t>
      </w:r>
      <w:r>
        <w:rPr>
          <w:rFonts w:ascii="Arial" w:cs="Arial" w:eastAsia="Arial" w:hAnsi="Arial"/>
          <w:b/>
          <w:bCs/>
          <w:sz w:val="22"/>
          <w:szCs w:val="22"/>
        </w:rPr>
        <w:t xml:space="preserve">Fatty Acid Profile:</w:t>
      </w:r>
      <w:r>
        <w:rPr>
          <w:rFonts w:ascii="Arial" w:cs="Arial" w:eastAsia="Arial" w:hAnsi="Arial"/>
          <w:sz w:val="22"/>
          <w:szCs w:val="22"/>
        </w:rPr>
        <w:t xml:space="preserve"> 15% SAFA, 23% MUFA, 61% PUFA. </w:t>
      </w:r>
      <w:r>
        <w:rPr>
          <w:rFonts w:ascii="Arial" w:cs="Arial" w:eastAsia="Arial" w:hAnsi="Arial"/>
          <w:b/>
          <w:bCs/>
          <w:sz w:val="22"/>
          <w:szCs w:val="22"/>
        </w:rPr>
        <w:t xml:space="preserve">Smoke Point:</w:t>
      </w:r>
      <w:r>
        <w:rPr>
          <w:rFonts w:ascii="Arial" w:cs="Arial" w:eastAsia="Arial" w:hAnsi="Arial"/>
          <w:sz w:val="22"/>
          <w:szCs w:val="22"/>
        </w:rPr>
        <w:t xml:space="preserve"> 232°C. </w:t>
      </w:r>
      <w:r>
        <w:rPr>
          <w:rFonts w:ascii="Arial" w:cs="Arial" w:eastAsia="Arial" w:hAnsi="Arial"/>
          <w:b/>
          <w:bCs/>
          <w:sz w:val="22"/>
          <w:szCs w:val="22"/>
        </w:rPr>
        <w:t xml:space="preserve">OSI:</w:t>
      </w:r>
      <w:r>
        <w:rPr>
          <w:rFonts w:ascii="Arial" w:cs="Arial" w:eastAsia="Arial" w:hAnsi="Arial"/>
          <w:sz w:val="22"/>
          <w:szCs w:val="22"/>
        </w:rPr>
        <w:t xml:space="preserve"> 29 hours. </w:t>
      </w:r>
      <w:r>
        <w:rPr>
          <w:rFonts w:ascii="Arial" w:cs="Arial" w:eastAsia="Arial" w:hAnsi="Arial"/>
          <w:b/>
          <w:bCs/>
          <w:sz w:val="22"/>
          <w:szCs w:val="22"/>
        </w:rPr>
        <w:t xml:space="preserve">Frying Life:</w:t>
      </w:r>
      <w:r>
        <w:rPr>
          <w:rFonts w:ascii="Arial" w:cs="Arial" w:eastAsia="Arial" w:hAnsi="Arial"/>
          <w:sz w:val="22"/>
          <w:szCs w:val="22"/>
        </w:rPr>
        <w:t xml:space="preserve"> 187 cycles (H confidence). </w:t>
      </w:r>
      <w:r>
        <w:rPr>
          <w:rFonts w:ascii="Arial" w:cs="Arial" w:eastAsia="Arial" w:hAnsi="Arial"/>
          <w:b/>
          <w:bCs/>
          <w:sz w:val="22"/>
          <w:szCs w:val="22"/>
        </w:rPr>
        <w:t xml:space="preserve">Trans Fat:</w:t>
      </w:r>
      <w:r>
        <w:rPr>
          <w:rFonts w:ascii="Arial" w:cs="Arial" w:eastAsia="Arial" w:hAnsi="Arial"/>
          <w:sz w:val="22"/>
          <w:szCs w:val="22"/>
        </w:rPr>
        <w:t xml:space="preserve"> 0.5%. </w:t>
      </w:r>
      <w:r>
        <w:rPr>
          <w:rFonts w:ascii="Arial" w:cs="Arial" w:eastAsia="Arial" w:hAnsi="Arial"/>
          <w:b/>
          <w:bCs/>
          <w:sz w:val="22"/>
          <w:szCs w:val="22"/>
        </w:rPr>
        <w:t xml:space="preserve">Price:</w:t>
      </w:r>
      <w:r>
        <w:rPr>
          <w:rFonts w:ascii="Arial" w:cs="Arial" w:eastAsia="Arial" w:hAnsi="Arial"/>
          <w:sz w:val="22"/>
          <w:szCs w:val="22"/>
        </w:rPr>
        <w:t xml:space="preserve"> ~$1,250/ton.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7% ALA (omega-3), giving it a moderate omega-6:3 ratio of 7.3:1. AHA recommends as SAFA replacement. However, 51% omega-6 makes the inflammatory potential debated. </w:t>
      </w:r>
      <w:r>
        <w:rPr>
          <w:rFonts w:ascii="Arial" w:cs="Arial" w:eastAsia="Arial" w:hAnsi="Arial"/>
          <w:b/>
          <w:bCs/>
          <w:sz w:val="22"/>
          <w:szCs w:val="22"/>
        </w:rPr>
        <w:t xml:space="preserve">Sustainability:</w:t>
      </w:r>
      <w:r>
        <w:rPr>
          <w:rFonts w:ascii="Arial" w:cs="Arial" w:eastAsia="Arial" w:hAnsi="Arial"/>
          <w:sz w:val="22"/>
          <w:szCs w:val="22"/>
        </w:rPr>
        <w:t xml:space="preserve"> Very high deforestation risk—second largest driver globally. N₂-fixing legume with valuable meal byproduct. </w:t>
      </w:r>
      <w:r>
        <w:rPr>
          <w:rFonts w:ascii="Arial" w:cs="Arial" w:eastAsia="Arial" w:hAnsi="Arial"/>
          <w:b/>
          <w:bCs/>
          <w:sz w:val="22"/>
          <w:szCs w:val="22"/>
        </w:rPr>
        <w:t xml:space="preserve">Best Applications:</w:t>
      </w:r>
      <w:r>
        <w:rPr>
          <w:rFonts w:ascii="Arial" w:cs="Arial" w:eastAsia="Arial" w:hAnsi="Arial"/>
          <w:sz w:val="22"/>
          <w:szCs w:val="22"/>
        </w:rPr>
        <w:t xml:space="preserve"> The most widely used frying oil in American foodservice. Adequate for moderate-duty frying with proper management; outperformed significantly by HO alternatives.</w:t>
      </w:r>
    </w:p>
    <w:p>
      <w:pPr>
        <w:pStyle w:val="Heading3"/>
        <w:spacing w:before="240" w:after="120"/>
      </w:pPr>
      <w:r>
        <w:rPr>
          <w:rFonts w:ascii="Arial" w:cs="Arial" w:eastAsia="Arial" w:hAnsi="Arial"/>
          <w:b/>
          <w:bCs/>
          <w:sz w:val="24"/>
          <w:szCs w:val="24"/>
        </w:rPr>
        <w:t xml:space="preserve">Corn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Cereal grain (byproduct of corn wet-milling). </w:t>
      </w:r>
      <w:r>
        <w:rPr>
          <w:rFonts w:ascii="Arial" w:cs="Arial" w:eastAsia="Arial" w:hAnsi="Arial"/>
          <w:b/>
          <w:bCs/>
          <w:sz w:val="22"/>
          <w:szCs w:val="22"/>
        </w:rPr>
        <w:t xml:space="preserve">Processing:</w:t>
      </w:r>
      <w:r>
        <w:rPr>
          <w:rFonts w:ascii="Arial" w:cs="Arial" w:eastAsia="Arial" w:hAnsi="Arial"/>
          <w:sz w:val="22"/>
          <w:szCs w:val="22"/>
        </w:rPr>
        <w:t xml:space="preserve"> Refined, solvent-extracted. </w:t>
      </w:r>
      <w:r>
        <w:rPr>
          <w:rFonts w:ascii="Arial" w:cs="Arial" w:eastAsia="Arial" w:hAnsi="Arial"/>
          <w:b/>
          <w:bCs/>
          <w:sz w:val="22"/>
          <w:szCs w:val="22"/>
        </w:rPr>
        <w:t xml:space="preserve">Fatty Acid Profile:</w:t>
      </w:r>
      <w:r>
        <w:rPr>
          <w:rFonts w:ascii="Arial" w:cs="Arial" w:eastAsia="Arial" w:hAnsi="Arial"/>
          <w:sz w:val="22"/>
          <w:szCs w:val="22"/>
        </w:rPr>
        <w:t xml:space="preserve"> 13% SAFA, 28% MUFA, 55% PUFA. </w:t>
      </w:r>
      <w:r>
        <w:rPr>
          <w:rFonts w:ascii="Arial" w:cs="Arial" w:eastAsia="Arial" w:hAnsi="Arial"/>
          <w:b/>
          <w:bCs/>
          <w:sz w:val="22"/>
          <w:szCs w:val="22"/>
        </w:rPr>
        <w:t xml:space="preserve">Smoke Point:</w:t>
      </w:r>
      <w:r>
        <w:rPr>
          <w:rFonts w:ascii="Arial" w:cs="Arial" w:eastAsia="Arial" w:hAnsi="Arial"/>
          <w:sz w:val="22"/>
          <w:szCs w:val="22"/>
        </w:rPr>
        <w:t xml:space="preserve"> 232°C. </w:t>
      </w:r>
      <w:r>
        <w:rPr>
          <w:rFonts w:ascii="Arial" w:cs="Arial" w:eastAsia="Arial" w:hAnsi="Arial"/>
          <w:b/>
          <w:bCs/>
          <w:sz w:val="22"/>
          <w:szCs w:val="22"/>
        </w:rPr>
        <w:t xml:space="preserve">OSI:</w:t>
      </w:r>
      <w:r>
        <w:rPr>
          <w:rFonts w:ascii="Arial" w:cs="Arial" w:eastAsia="Arial" w:hAnsi="Arial"/>
          <w:sz w:val="22"/>
          <w:szCs w:val="22"/>
        </w:rPr>
        <w:t xml:space="preserve"> 18 hours. </w:t>
      </w:r>
      <w:r>
        <w:rPr>
          <w:rFonts w:ascii="Arial" w:cs="Arial" w:eastAsia="Arial" w:hAnsi="Arial"/>
          <w:b/>
          <w:bCs/>
          <w:sz w:val="22"/>
          <w:szCs w:val="22"/>
        </w:rPr>
        <w:t xml:space="preserve">Frying Life:</w:t>
      </w:r>
      <w:r>
        <w:rPr>
          <w:rFonts w:ascii="Arial" w:cs="Arial" w:eastAsia="Arial" w:hAnsi="Arial"/>
          <w:sz w:val="22"/>
          <w:szCs w:val="22"/>
        </w:rPr>
        <w:t xml:space="preserve"> 115 cycles (M confidence). </w:t>
      </w:r>
      <w:r>
        <w:rPr>
          <w:rFonts w:ascii="Arial" w:cs="Arial" w:eastAsia="Arial" w:hAnsi="Arial"/>
          <w:b/>
          <w:bCs/>
          <w:sz w:val="22"/>
          <w:szCs w:val="22"/>
        </w:rPr>
        <w:t xml:space="preserve">Trans Fat:</w:t>
      </w:r>
      <w:r>
        <w:rPr>
          <w:rFonts w:ascii="Arial" w:cs="Arial" w:eastAsia="Arial" w:hAnsi="Arial"/>
          <w:sz w:val="22"/>
          <w:szCs w:val="22"/>
        </w:rPr>
        <w:t xml:space="preserve"> 0.5%. </w:t>
      </w:r>
      <w:r>
        <w:rPr>
          <w:rFonts w:ascii="Arial" w:cs="Arial" w:eastAsia="Arial" w:hAnsi="Arial"/>
          <w:b/>
          <w:bCs/>
          <w:sz w:val="22"/>
          <w:szCs w:val="22"/>
        </w:rPr>
        <w:t xml:space="preserve">Price:</w:t>
      </w:r>
      <w:r>
        <w:rPr>
          <w:rFonts w:ascii="Arial" w:cs="Arial" w:eastAsia="Arial" w:hAnsi="Arial"/>
          <w:sz w:val="22"/>
          <w:szCs w:val="22"/>
        </w:rPr>
        <w:t xml:space="preserve"> ~$1,100/ton.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phytosterols (cholesterol absorption inhibitors). However, 55% omega-6 and an omega-6:3 ratio of 43:1 make it a significant source of pro-inflammatory PUFA when heated. Generates high aldehyde levels under frying conditions.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(byproduct). Heavy pesticide/fertilizer inputs in corn agriculture. </w:t>
      </w:r>
      <w:r>
        <w:rPr>
          <w:rFonts w:ascii="Arial" w:cs="Arial" w:eastAsia="Arial" w:hAnsi="Arial"/>
          <w:b/>
          <w:bCs/>
          <w:sz w:val="22"/>
          <w:szCs w:val="22"/>
        </w:rPr>
        <w:t xml:space="preserve">Best Applications:</w:t>
      </w:r>
      <w:r>
        <w:rPr>
          <w:rFonts w:ascii="Arial" w:cs="Arial" w:eastAsia="Arial" w:hAnsi="Arial"/>
          <w:sz w:val="22"/>
          <w:szCs w:val="22"/>
        </w:rPr>
        <w:t xml:space="preserve"> Commodity frying, snack food manufacturing. Not recommended for health-conscious operations.</w:t>
      </w:r>
    </w:p>
    <w:p>
      <w:pPr>
        <w:pStyle w:val="Heading3"/>
        <w:spacing w:before="240" w:after="120"/>
      </w:pPr>
      <w:r>
        <w:rPr>
          <w:rFonts w:ascii="Arial" w:cs="Arial" w:eastAsia="Arial" w:hAnsi="Arial"/>
          <w:b/>
          <w:bCs/>
          <w:sz w:val="24"/>
          <w:szCs w:val="24"/>
        </w:rPr>
        <w:t xml:space="preserve">Cottonseed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Seed (Gossypium). </w:t>
      </w:r>
      <w:r>
        <w:rPr>
          <w:rFonts w:ascii="Arial" w:cs="Arial" w:eastAsia="Arial" w:hAnsi="Arial"/>
          <w:b/>
          <w:bCs/>
          <w:sz w:val="22"/>
          <w:szCs w:val="22"/>
        </w:rPr>
        <w:t xml:space="preserve">Processing:</w:t>
      </w:r>
      <w:r>
        <w:rPr>
          <w:rFonts w:ascii="Arial" w:cs="Arial" w:eastAsia="Arial" w:hAnsi="Arial"/>
          <w:sz w:val="22"/>
          <w:szCs w:val="22"/>
        </w:rPr>
        <w:t xml:space="preserve"> Refined, solvent-extracted. </w:t>
      </w:r>
      <w:r>
        <w:rPr>
          <w:rFonts w:ascii="Arial" w:cs="Arial" w:eastAsia="Arial" w:hAnsi="Arial"/>
          <w:b/>
          <w:bCs/>
          <w:sz w:val="22"/>
          <w:szCs w:val="22"/>
        </w:rPr>
        <w:t xml:space="preserve">Fatty Acid Profile:</w:t>
      </w:r>
      <w:r>
        <w:rPr>
          <w:rFonts w:ascii="Arial" w:cs="Arial" w:eastAsia="Arial" w:hAnsi="Arial"/>
          <w:sz w:val="22"/>
          <w:szCs w:val="22"/>
        </w:rPr>
        <w:t xml:space="preserve"> 26% SAFA, 18% MUFA, 52% PUFA. </w:t>
      </w:r>
      <w:r>
        <w:rPr>
          <w:rFonts w:ascii="Arial" w:cs="Arial" w:eastAsia="Arial" w:hAnsi="Arial"/>
          <w:b/>
          <w:bCs/>
          <w:sz w:val="22"/>
          <w:szCs w:val="22"/>
        </w:rPr>
        <w:t xml:space="preserve">Smoke Point:</w:t>
      </w:r>
      <w:r>
        <w:rPr>
          <w:rFonts w:ascii="Arial" w:cs="Arial" w:eastAsia="Arial" w:hAnsi="Arial"/>
          <w:sz w:val="22"/>
          <w:szCs w:val="22"/>
        </w:rPr>
        <w:t xml:space="preserve"> 216°C. </w:t>
      </w:r>
      <w:r>
        <w:rPr>
          <w:rFonts w:ascii="Arial" w:cs="Arial" w:eastAsia="Arial" w:hAnsi="Arial"/>
          <w:b/>
          <w:bCs/>
          <w:sz w:val="22"/>
          <w:szCs w:val="22"/>
        </w:rPr>
        <w:t xml:space="preserve">OSI:</w:t>
      </w:r>
      <w:r>
        <w:rPr>
          <w:rFonts w:ascii="Arial" w:cs="Arial" w:eastAsia="Arial" w:hAnsi="Arial"/>
          <w:sz w:val="22"/>
          <w:szCs w:val="22"/>
        </w:rPr>
        <w:t xml:space="preserve"> 15 hours. </w:t>
      </w:r>
      <w:r>
        <w:rPr>
          <w:rFonts w:ascii="Arial" w:cs="Arial" w:eastAsia="Arial" w:hAnsi="Arial"/>
          <w:b/>
          <w:bCs/>
          <w:sz w:val="22"/>
          <w:szCs w:val="22"/>
        </w:rPr>
        <w:t xml:space="preserve">Frying Life:</w:t>
      </w:r>
      <w:r>
        <w:rPr>
          <w:rFonts w:ascii="Arial" w:cs="Arial" w:eastAsia="Arial" w:hAnsi="Arial"/>
          <w:sz w:val="22"/>
          <w:szCs w:val="22"/>
        </w:rPr>
        <w:t xml:space="preserve"> 85 cycles (M confidence). </w:t>
      </w:r>
      <w:r>
        <w:rPr>
          <w:rFonts w:ascii="Arial" w:cs="Arial" w:eastAsia="Arial" w:hAnsi="Arial"/>
          <w:b/>
          <w:bCs/>
          <w:sz w:val="22"/>
          <w:szCs w:val="22"/>
        </w:rPr>
        <w:t xml:space="preserve">Trans Fat:</w:t>
      </w:r>
      <w:r>
        <w:rPr>
          <w:rFonts w:ascii="Arial" w:cs="Arial" w:eastAsia="Arial" w:hAnsi="Arial"/>
          <w:sz w:val="22"/>
          <w:szCs w:val="22"/>
        </w:rPr>
        <w:t xml:space="preserve"> 0.5%. </w:t>
      </w:r>
      <w:r>
        <w:rPr>
          <w:rFonts w:ascii="Arial" w:cs="Arial" w:eastAsia="Arial" w:hAnsi="Arial"/>
          <w:b/>
          <w:bCs/>
          <w:sz w:val="22"/>
          <w:szCs w:val="22"/>
        </w:rPr>
        <w:t xml:space="preserve">Price:</w:t>
      </w:r>
      <w:r>
        <w:rPr>
          <w:rFonts w:ascii="Arial" w:cs="Arial" w:eastAsia="Arial" w:hAnsi="Arial"/>
          <w:sz w:val="22"/>
          <w:szCs w:val="22"/>
        </w:rPr>
        <w:t xml:space="preserve"> ~$1,100/ton.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Neutral LDL-C effect. Extreme omega-6:3 ratio (255:1). Gossypol residue is an antinutritional concern unique to cottonseed. Not recommended by most nutritional authorities.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(byproduct of cotton ginning). Cotton agriculture involves heavy pesticide use. </w:t>
      </w:r>
      <w:r>
        <w:rPr>
          <w:rFonts w:ascii="Arial" w:cs="Arial" w:eastAsia="Arial" w:hAnsi="Arial"/>
          <w:b/>
          <w:bCs/>
          <w:sz w:val="22"/>
          <w:szCs w:val="22"/>
        </w:rPr>
        <w:t xml:space="preserve">Best Applications:</w:t>
      </w:r>
      <w:r>
        <w:rPr>
          <w:rFonts w:ascii="Arial" w:cs="Arial" w:eastAsia="Arial" w:hAnsi="Arial"/>
          <w:sz w:val="22"/>
          <w:szCs w:val="22"/>
        </w:rPr>
        <w:t xml:space="preserve"> Limited. Historically used in Southern US frying traditions. Poor frying longevity and health profile make it a low-ranked option.</w:t>
      </w:r>
    </w:p>
    <w:p>
      <w:pPr>
        <w:pStyle w:val="Heading3"/>
        <w:spacing w:before="240" w:after="120"/>
      </w:pPr>
      <w:r>
        <w:rPr>
          <w:rFonts w:ascii="Arial" w:cs="Arial" w:eastAsia="Arial" w:hAnsi="Arial"/>
          <w:b/>
          <w:bCs/>
          <w:sz w:val="24"/>
          <w:szCs w:val="24"/>
        </w:rPr>
        <w:t xml:space="preserve">The Consumer Anti-Seed-Oil Movement — What Professional Kitchens Should Know</w:t>
      </w:r>
    </w:p>
    <w:p>
      <w:pPr>
        <w:spacing w:after="180" w:line="276"/>
      </w:pPr>
      <w:r>
        <w:rPr>
          <w:rFonts w:ascii="Arial" w:cs="Arial" w:eastAsia="Arial" w:hAnsi="Arial"/>
          <w:sz w:val="22"/>
          <w:szCs w:val="22"/>
        </w:rPr>
        <w:t xml:space="preserve">A significant consumer movement has emerged, particularly on social media, advocating that “seed oils”—soybean, sunflower, canola, corn, cottonseed, and grapeseed—are the primary cause of modern epidemics of obesity, heart disease, and metabolic disorder, primarily due to excess linoleic acid (omega-6 PUFA) in the diet.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What the scientific evidence supports:</w:t>
      </w:r>
      <w:r>
        <w:rPr>
          <w:rFonts w:ascii="Arial" w:cs="Arial" w:eastAsia="Arial" w:hAnsi="Arial"/>
          <w:sz w:val="22"/>
          <w:szCs w:val="22"/>
        </w:rPr>
        <w:t xml:space="preserve"> The omega-6:3 ratio concern is legitimate and well-documented (Simopoulos, 2002). Excess dietary PUFA from heated seed oils does produce harmful oxidation products, including aldehydes at levels of health concern (Grootveld et al., 2017). The historical shift from animal fats and olive oil to commodity seed oils in the 20th century correlates temporally with increases in certain chronic diseases. The evidence that PUFA-rich oils produce more toxic degradation products under heat than MUFA or SAFA-rich alternatives is robust.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What the movement overstates:</w:t>
      </w:r>
      <w:r>
        <w:rPr>
          <w:rFonts w:ascii="Arial" w:cs="Arial" w:eastAsia="Arial" w:hAnsi="Arial"/>
          <w:sz w:val="22"/>
          <w:szCs w:val="22"/>
        </w:rPr>
        <w:t xml:space="preserve"> Correlation is not causation; the same period saw increases in sugar consumption, processed food consumption, sedentary behavior, and dozens of other variables. The Mediterranean diet, which is high in olive oil—itself derived from a fruit seed—remains the best-evidenced dietary pattern for longevity (PREDIMED Trial, 2013). Individual oils have vastly different properties: grouping canola (63% MUFA, 2.2:1 omega ratio) with cottonseed (18% MUFA, 255:1 omega ratio) as “seed oils” obscures more than it reveals.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What this means for operators:</w:t>
      </w:r>
      <w:r>
        <w:rPr>
          <w:rFonts w:ascii="Arial" w:cs="Arial" w:eastAsia="Arial" w:hAnsi="Arial"/>
          <w:sz w:val="22"/>
          <w:szCs w:val="22"/>
        </w:rPr>
        <w:t xml:space="preserve"> Guest expectations are shifting. Menus that disclose frying oil type are becoming competitive differentiators. The legitimate case for higher-MUFA oils—HO palm, HO sunflower, olive—over conventional PUFA-rich options is strong on both performance and health grounds. The return of beef tallow, lard, and animal fats in some operations reflects this cultural moment. Professional kitchens should make oil selection decisions based on the complete data in this guide, not on social media sentiment, while recognizing that consumer perception is a business reality.</w:t>
      </w:r>
    </w:p>
    <w:p>
      <w:r>
        <w:br w:type="page"/>
      </w:r>
    </w:p>
    <w:p>
      <w:pPr>
        <w:pStyle w:val="Heading2"/>
        <w:spacing w:before="360" w:after="180"/>
      </w:pPr>
      <w:r>
        <w:rPr>
          <w:rFonts w:ascii="Arial" w:cs="Arial" w:eastAsia="Arial" w:hAnsi="Arial"/>
          <w:b/>
          <w:bCs/>
          <w:sz w:val="28"/>
          <w:szCs w:val="28"/>
        </w:rPr>
        <w:t xml:space="preserve">Group E: Premium Specialty Oils</w:t>
      </w:r>
    </w:p>
    <w:p>
      <w:pPr>
        <w:pStyle w:val="Heading3"/>
        <w:spacing w:before="240" w:after="120"/>
      </w:pPr>
      <w:r>
        <w:rPr>
          <w:rFonts w:ascii="Arial" w:cs="Arial" w:eastAsia="Arial" w:hAnsi="Arial"/>
          <w:b/>
          <w:bCs/>
          <w:sz w:val="24"/>
          <w:szCs w:val="24"/>
        </w:rPr>
        <w:t xml:space="preserve">Olive Oil (Extra Virgin)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Fruit (olive, unrefined). </w:t>
      </w:r>
      <w:r>
        <w:rPr>
          <w:rFonts w:ascii="Arial" w:cs="Arial" w:eastAsia="Arial" w:hAnsi="Arial"/>
          <w:b/>
          <w:bCs/>
          <w:sz w:val="22"/>
          <w:szCs w:val="22"/>
        </w:rPr>
        <w:t xml:space="preserve">Processing:</w:t>
      </w:r>
      <w:r>
        <w:rPr>
          <w:rFonts w:ascii="Arial" w:cs="Arial" w:eastAsia="Arial" w:hAnsi="Arial"/>
          <w:sz w:val="22"/>
          <w:szCs w:val="22"/>
        </w:rPr>
        <w:t xml:space="preserve"> Unrefined, cold-pressed—retains full polyphenol and antioxidant complement. </w:t>
      </w:r>
      <w:r>
        <w:rPr>
          <w:rFonts w:ascii="Arial" w:cs="Arial" w:eastAsia="Arial" w:hAnsi="Arial"/>
          <w:b/>
          <w:bCs/>
          <w:sz w:val="22"/>
          <w:szCs w:val="22"/>
        </w:rPr>
        <w:t xml:space="preserve">Fatty Acid Profile:</w:t>
      </w:r>
      <w:r>
        <w:rPr>
          <w:rFonts w:ascii="Arial" w:cs="Arial" w:eastAsia="Arial" w:hAnsi="Arial"/>
          <w:sz w:val="22"/>
          <w:szCs w:val="22"/>
        </w:rPr>
        <w:t xml:space="preserve"> 14% SAFA, 73% MUFA (71% oleic), 11% PUFA. </w:t>
      </w:r>
      <w:r>
        <w:rPr>
          <w:rFonts w:ascii="Arial" w:cs="Arial" w:eastAsia="Arial" w:hAnsi="Arial"/>
          <w:b/>
          <w:bCs/>
          <w:sz w:val="22"/>
          <w:szCs w:val="22"/>
        </w:rPr>
        <w:t xml:space="preserve">Smoke Point:</w:t>
      </w:r>
      <w:r>
        <w:rPr>
          <w:rFonts w:ascii="Arial" w:cs="Arial" w:eastAsia="Arial" w:hAnsi="Arial"/>
          <w:sz w:val="22"/>
          <w:szCs w:val="22"/>
        </w:rPr>
        <w:t xml:space="preserve"> 191°C. </w:t>
      </w:r>
      <w:r>
        <w:rPr>
          <w:rFonts w:ascii="Arial" w:cs="Arial" w:eastAsia="Arial" w:hAnsi="Arial"/>
          <w:b/>
          <w:bCs/>
          <w:sz w:val="22"/>
          <w:szCs w:val="22"/>
        </w:rPr>
        <w:t xml:space="preserve">OSI:</w:t>
      </w:r>
      <w:r>
        <w:rPr>
          <w:rFonts w:ascii="Arial" w:cs="Arial" w:eastAsia="Arial" w:hAnsi="Arial"/>
          <w:sz w:val="22"/>
          <w:szCs w:val="22"/>
        </w:rPr>
        <w:t xml:space="preserve"> 45 hours. </w:t>
      </w:r>
      <w:r>
        <w:rPr>
          <w:rFonts w:ascii="Arial" w:cs="Arial" w:eastAsia="Arial" w:hAnsi="Arial"/>
          <w:b/>
          <w:bCs/>
          <w:sz w:val="22"/>
          <w:szCs w:val="22"/>
        </w:rPr>
        <w:t xml:space="preserve">Frying Life:</w:t>
      </w:r>
      <w:r>
        <w:rPr>
          <w:rFonts w:ascii="Arial" w:cs="Arial" w:eastAsia="Arial" w:hAnsi="Arial"/>
          <w:sz w:val="22"/>
          <w:szCs w:val="22"/>
        </w:rPr>
        <w:t xml:space="preserve"> ~270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~$5,500/ton.</w:t>
      </w:r>
    </w:p>
    <w:p>
      <w:pPr>
        <w:spacing w:after="180" w:line="276"/>
      </w:pPr>
      <w:r>
        <w:rPr>
          <w:rFonts w:ascii="Arial" w:cs="Arial" w:eastAsia="Arial" w:hAnsi="Arial"/>
          <w:sz w:val="22"/>
          <w:szCs w:val="22"/>
        </w:rPr>
        <w:t xml:space="preserve">EVOO is the gold standard for health. The PREDIMED trial (2013, New England Journal of Medicine)—the largest randomized dietary intervention trial ever conducted—demonstrated a 30% reduction in major cardiovascular events among participants following a Mediterranean diet supplemented with EVOO, compared to a low-fat control diet. No other cooking oil has this level of clinical evidence supporting its health benefits.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Strongly reduces LDL-C. Raises HDL-C. Contains oleocanthal (a natural anti-inflammatory with ibuprofen-like activity), hydroxytyrosol (a potent antioxidant), and oleuropein. PREDIMED showed cognitive protection. Polyphenols markedly reduce C-reactive protein (a systemic inflammation marker). Receives the strongest recommendation from all major dietary guidelines. </w:t>
      </w:r>
      <w:r>
        <w:rPr>
          <w:rFonts w:ascii="Arial" w:cs="Arial" w:eastAsia="Arial" w:hAnsi="Arial"/>
          <w:b/>
          <w:bCs/>
          <w:sz w:val="22"/>
          <w:szCs w:val="22"/>
        </w:rPr>
        <w:t xml:space="preserve">Sustainability:</w:t>
      </w:r>
      <w:r>
        <w:rPr>
          <w:rFonts w:ascii="Arial" w:cs="Arial" w:eastAsia="Arial" w:hAnsi="Arial"/>
          <w:sz w:val="22"/>
          <w:szCs w:val="22"/>
        </w:rPr>
        <w:t xml:space="preserve"> Very low deforestation risk. Perennial crop (no annual replanting). However, the highest water footprint of any oil (14,500 m³/ton) and very low land efficiency (0.3 t/ha/yr). Climate vulnerable. </w:t>
      </w:r>
      <w:r>
        <w:rPr>
          <w:rFonts w:ascii="Arial" w:cs="Arial" w:eastAsia="Arial" w:hAnsi="Arial"/>
          <w:b/>
          <w:bCs/>
          <w:sz w:val="22"/>
          <w:szCs w:val="22"/>
        </w:rPr>
        <w:t xml:space="preserve">Best Applications:</w:t>
      </w:r>
      <w:r>
        <w:rPr>
          <w:rFonts w:ascii="Arial" w:cs="Arial" w:eastAsia="Arial" w:hAnsi="Arial"/>
          <w:sz w:val="22"/>
          <w:szCs w:val="22"/>
        </w:rPr>
        <w:t xml:space="preserve"> Finishing, drizzling, salad dressings, low-to-medium-heat sautéing. Can be used for deep frying in moderate-volume operations, but the 191°C smoke point limits high-heat applications and the $5,500/ton price makes it impractical for most commercial deep frying.</w:t>
      </w:r>
    </w:p>
    <w:p>
      <w:pPr>
        <w:pStyle w:val="Heading3"/>
        <w:spacing w:before="240" w:after="120"/>
      </w:pPr>
      <w:r>
        <w:rPr>
          <w:rFonts w:ascii="Arial" w:cs="Arial" w:eastAsia="Arial" w:hAnsi="Arial"/>
          <w:b/>
          <w:bCs/>
          <w:sz w:val="24"/>
          <w:szCs w:val="24"/>
        </w:rPr>
        <w:t xml:space="preserve">Olive Oil (Refined/Light)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Fruit (olive, refined). </w:t>
      </w:r>
      <w:r>
        <w:rPr>
          <w:rFonts w:ascii="Arial" w:cs="Arial" w:eastAsia="Arial" w:hAnsi="Arial"/>
          <w:b/>
          <w:bCs/>
          <w:sz w:val="22"/>
          <w:szCs w:val="22"/>
        </w:rPr>
        <w:t xml:space="preserve">Processing:</w:t>
      </w:r>
      <w:r>
        <w:rPr>
          <w:rFonts w:ascii="Arial" w:cs="Arial" w:eastAsia="Arial" w:hAnsi="Arial"/>
          <w:sz w:val="22"/>
          <w:szCs w:val="22"/>
        </w:rPr>
        <w:t xml:space="preserve"> Refined—polyphenols largely removed, higher smoke point. </w:t>
      </w:r>
      <w:r>
        <w:rPr>
          <w:rFonts w:ascii="Arial" w:cs="Arial" w:eastAsia="Arial" w:hAnsi="Arial"/>
          <w:b/>
          <w:bCs/>
          <w:sz w:val="22"/>
          <w:szCs w:val="22"/>
        </w:rPr>
        <w:t xml:space="preserve">Fatty Acid Profile:</w:t>
      </w:r>
      <w:r>
        <w:rPr>
          <w:rFonts w:ascii="Arial" w:cs="Arial" w:eastAsia="Arial" w:hAnsi="Arial"/>
          <w:sz w:val="22"/>
          <w:szCs w:val="22"/>
        </w:rPr>
        <w:t xml:space="preserve"> 14% SAFA, 73% MUFA, 11% PUFA. </w:t>
      </w:r>
      <w:r>
        <w:rPr>
          <w:rFonts w:ascii="Arial" w:cs="Arial" w:eastAsia="Arial" w:hAnsi="Arial"/>
          <w:b/>
          <w:bCs/>
          <w:sz w:val="22"/>
          <w:szCs w:val="22"/>
        </w:rPr>
        <w:t xml:space="preserve">Smoke Point:</w:t>
      </w:r>
      <w:r>
        <w:rPr>
          <w:rFonts w:ascii="Arial" w:cs="Arial" w:eastAsia="Arial" w:hAnsi="Arial"/>
          <w:sz w:val="22"/>
          <w:szCs w:val="22"/>
        </w:rPr>
        <w:t xml:space="preserve"> 242°C. </w:t>
      </w:r>
      <w:r>
        <w:rPr>
          <w:rFonts w:ascii="Arial" w:cs="Arial" w:eastAsia="Arial" w:hAnsi="Arial"/>
          <w:b/>
          <w:bCs/>
          <w:sz w:val="22"/>
          <w:szCs w:val="22"/>
        </w:rPr>
        <w:t xml:space="preserve">OSI:</w:t>
      </w:r>
      <w:r>
        <w:rPr>
          <w:rFonts w:ascii="Arial" w:cs="Arial" w:eastAsia="Arial" w:hAnsi="Arial"/>
          <w:sz w:val="22"/>
          <w:szCs w:val="22"/>
        </w:rPr>
        <w:t xml:space="preserve"> 40 hours. </w:t>
      </w:r>
      <w:r>
        <w:rPr>
          <w:rFonts w:ascii="Arial" w:cs="Arial" w:eastAsia="Arial" w:hAnsi="Arial"/>
          <w:b/>
          <w:bCs/>
          <w:sz w:val="22"/>
          <w:szCs w:val="22"/>
        </w:rPr>
        <w:t xml:space="preserve">Frying Life:</w:t>
      </w:r>
      <w:r>
        <w:rPr>
          <w:rFonts w:ascii="Arial" w:cs="Arial" w:eastAsia="Arial" w:hAnsi="Arial"/>
          <w:sz w:val="22"/>
          <w:szCs w:val="22"/>
        </w:rPr>
        <w:t xml:space="preserve"> ~220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~$3,500/ton.</w:t>
      </w:r>
    </w:p>
    <w:p>
      <w:pPr>
        <w:spacing w:after="180" w:line="276"/>
      </w:pPr>
      <w:r>
        <w:rPr>
          <w:rFonts w:ascii="Arial" w:cs="Arial" w:eastAsia="Arial" w:hAnsi="Arial"/>
          <w:sz w:val="22"/>
          <w:szCs w:val="22"/>
        </w:rPr>
        <w:t xml:space="preserve">Refining removes most of EVOO’s polyphenol content but retains the MUFA-dominant fatty acid profile and raises the smoke point significantly. This makes refined olive oil a credible commercial frying option for operations that want to claim “fried in olive oil” without the smoke point limitations or cost of EVOO. </w:t>
      </w:r>
      <w:r>
        <w:rPr>
          <w:rFonts w:ascii="Arial" w:cs="Arial" w:eastAsia="Arial" w:hAnsi="Arial"/>
          <w:b/>
          <w:bCs/>
          <w:sz w:val="22"/>
          <w:szCs w:val="22"/>
        </w:rPr>
        <w:t xml:space="preserve">Health:</w:t>
      </w:r>
      <w:r>
        <w:rPr>
          <w:rFonts w:ascii="Arial" w:cs="Arial" w:eastAsia="Arial" w:hAnsi="Arial"/>
          <w:sz w:val="22"/>
          <w:szCs w:val="22"/>
        </w:rPr>
        <w:t xml:space="preserve"> Still reduces LDL-C and is AHA-positive, but loses the anti-inflammatory polyphenol benefits that make EVOO exceptional. </w:t>
      </w:r>
      <w:r>
        <w:rPr>
          <w:rFonts w:ascii="Arial" w:cs="Arial" w:eastAsia="Arial" w:hAnsi="Arial"/>
          <w:b/>
          <w:bCs/>
          <w:sz w:val="22"/>
          <w:szCs w:val="22"/>
        </w:rPr>
        <w:t xml:space="preserve">Best Applications:</w:t>
      </w:r>
      <w:r>
        <w:rPr>
          <w:rFonts w:ascii="Arial" w:cs="Arial" w:eastAsia="Arial" w:hAnsi="Arial"/>
          <w:sz w:val="22"/>
          <w:szCs w:val="22"/>
        </w:rPr>
        <w:t xml:space="preserve"> Commercial frying in health-premium operations; pan frying; baking.</w:t>
      </w:r>
    </w:p>
    <w:p>
      <w:pPr>
        <w:pStyle w:val="Heading3"/>
        <w:spacing w:before="240" w:after="120"/>
      </w:pPr>
      <w:r>
        <w:rPr>
          <w:rFonts w:ascii="Arial" w:cs="Arial" w:eastAsia="Arial" w:hAnsi="Arial"/>
          <w:b/>
          <w:bCs/>
          <w:sz w:val="24"/>
          <w:szCs w:val="24"/>
        </w:rPr>
        <w:t xml:space="preserve">Avocado Oil (Refined)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Fruit (avocado).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12% SAFA, 71% MUFA (65% oleic), 14% PUFA. </w:t>
      </w:r>
      <w:r>
        <w:rPr>
          <w:rFonts w:ascii="Arial" w:cs="Arial" w:eastAsia="Arial" w:hAnsi="Arial"/>
          <w:b/>
          <w:bCs/>
          <w:sz w:val="22"/>
          <w:szCs w:val="22"/>
        </w:rPr>
        <w:t xml:space="preserve">Smoke Point:</w:t>
      </w:r>
      <w:r>
        <w:rPr>
          <w:rFonts w:ascii="Arial" w:cs="Arial" w:eastAsia="Arial" w:hAnsi="Arial"/>
          <w:sz w:val="22"/>
          <w:szCs w:val="22"/>
        </w:rPr>
        <w:t xml:space="preserve"> 271°C (the highest of any oil in this dataset). </w:t>
      </w:r>
      <w:r>
        <w:rPr>
          <w:rFonts w:ascii="Arial" w:cs="Arial" w:eastAsia="Arial" w:hAnsi="Arial"/>
          <w:b/>
          <w:bCs/>
          <w:sz w:val="22"/>
          <w:szCs w:val="22"/>
        </w:rPr>
        <w:t xml:space="preserve">OSI:</w:t>
      </w:r>
      <w:r>
        <w:rPr>
          <w:rFonts w:ascii="Arial" w:cs="Arial" w:eastAsia="Arial" w:hAnsi="Arial"/>
          <w:sz w:val="22"/>
          <w:szCs w:val="22"/>
        </w:rPr>
        <w:t xml:space="preserve"> 50 hours. </w:t>
      </w:r>
      <w:r>
        <w:rPr>
          <w:rFonts w:ascii="Arial" w:cs="Arial" w:eastAsia="Arial" w:hAnsi="Arial"/>
          <w:b/>
          <w:bCs/>
          <w:sz w:val="22"/>
          <w:szCs w:val="22"/>
        </w:rPr>
        <w:t xml:space="preserve">Frying Life:</w:t>
      </w:r>
      <w:r>
        <w:rPr>
          <w:rFonts w:ascii="Arial" w:cs="Arial" w:eastAsia="Arial" w:hAnsi="Arial"/>
          <w:sz w:val="22"/>
          <w:szCs w:val="22"/>
        </w:rPr>
        <w:t xml:space="preserve"> ~210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~$4,000/ton.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Raises HDL-C. Contains lutein (crosses the blood-brain barrier; animal studies show memory improvement) and phytosterols. MUFA-rich with phytosterol anti-inflammatory benefits. Generally positive outlook but limited randomized controlled trial data compared to olive oil. </w:t>
      </w:r>
      <w:r>
        <w:rPr>
          <w:rFonts w:ascii="Arial" w:cs="Arial" w:eastAsia="Arial" w:hAnsi="Arial"/>
          <w:b/>
          <w:bCs/>
          <w:sz w:val="22"/>
          <w:szCs w:val="22"/>
        </w:rPr>
        <w:t xml:space="preserve">Sustainability:</w:t>
      </w:r>
      <w:r>
        <w:rPr>
          <w:rFonts w:ascii="Arial" w:cs="Arial" w:eastAsia="Arial" w:hAnsi="Arial"/>
          <w:sz w:val="22"/>
          <w:szCs w:val="22"/>
        </w:rPr>
        <w:t xml:space="preserve"> Moderate deforestation risk (Michuácan, Mexico has documented cartel-linked deforestation for avocado cultivation). High water footprint (12,000 m³/ton). Fragile supply chain. </w:t>
      </w:r>
      <w:r>
        <w:rPr>
          <w:rFonts w:ascii="Arial" w:cs="Arial" w:eastAsia="Arial" w:hAnsi="Arial"/>
          <w:b/>
          <w:bCs/>
          <w:sz w:val="22"/>
          <w:szCs w:val="22"/>
        </w:rPr>
        <w:t xml:space="preserve">Best Applications:</w:t>
      </w:r>
      <w:r>
        <w:rPr>
          <w:rFonts w:ascii="Arial" w:cs="Arial" w:eastAsia="Arial" w:hAnsi="Arial"/>
          <w:sz w:val="22"/>
          <w:szCs w:val="22"/>
        </w:rPr>
        <w:t xml:space="preserve"> High-heat searing, wok cooking, premium deep frying where the highest possible smoke point is needed. The 271°C smoke point provides the most thermal headroom of any oil.</w:t>
      </w:r>
    </w:p>
    <w:p>
      <w:pPr>
        <w:pStyle w:val="Heading3"/>
        <w:spacing w:before="240" w:after="120"/>
      </w:pPr>
      <w:r>
        <w:rPr>
          <w:rFonts w:ascii="Arial" w:cs="Arial" w:eastAsia="Arial" w:hAnsi="Arial"/>
          <w:b/>
          <w:bCs/>
          <w:sz w:val="24"/>
          <w:szCs w:val="24"/>
        </w:rPr>
        <w:t xml:space="preserve">Grapeseed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Fruit seed (winery byproduct). </w:t>
      </w:r>
      <w:r>
        <w:rPr>
          <w:rFonts w:ascii="Arial" w:cs="Arial" w:eastAsia="Arial" w:hAnsi="Arial"/>
          <w:b/>
          <w:bCs/>
          <w:sz w:val="22"/>
          <w:szCs w:val="22"/>
        </w:rPr>
        <w:t xml:space="preserve">Processing:</w:t>
      </w:r>
      <w:r>
        <w:rPr>
          <w:rFonts w:ascii="Arial" w:cs="Arial" w:eastAsia="Arial" w:hAnsi="Arial"/>
          <w:sz w:val="22"/>
          <w:szCs w:val="22"/>
        </w:rPr>
        <w:t xml:space="preserve"> Refined, solvent-extracted. </w:t>
      </w:r>
      <w:r>
        <w:rPr>
          <w:rFonts w:ascii="Arial" w:cs="Arial" w:eastAsia="Arial" w:hAnsi="Arial"/>
          <w:b/>
          <w:bCs/>
          <w:sz w:val="22"/>
          <w:szCs w:val="22"/>
        </w:rPr>
        <w:t xml:space="preserve">Fatty Acid Profile:</w:t>
      </w:r>
      <w:r>
        <w:rPr>
          <w:rFonts w:ascii="Arial" w:cs="Arial" w:eastAsia="Arial" w:hAnsi="Arial"/>
          <w:sz w:val="22"/>
          <w:szCs w:val="22"/>
        </w:rPr>
        <w:t xml:space="preserve"> 10% SAFA, 16% MUFA, 71% PUFA. </w:t>
      </w:r>
      <w:r>
        <w:rPr>
          <w:rFonts w:ascii="Arial" w:cs="Arial" w:eastAsia="Arial" w:hAnsi="Arial"/>
          <w:b/>
          <w:bCs/>
          <w:sz w:val="22"/>
          <w:szCs w:val="22"/>
        </w:rPr>
        <w:t xml:space="preserve">Smoke Point:</w:t>
      </w:r>
      <w:r>
        <w:rPr>
          <w:rFonts w:ascii="Arial" w:cs="Arial" w:eastAsia="Arial" w:hAnsi="Arial"/>
          <w:sz w:val="22"/>
          <w:szCs w:val="22"/>
        </w:rPr>
        <w:t xml:space="preserve"> 216°C. </w:t>
      </w:r>
      <w:r>
        <w:rPr>
          <w:rFonts w:ascii="Arial" w:cs="Arial" w:eastAsia="Arial" w:hAnsi="Arial"/>
          <w:b/>
          <w:bCs/>
          <w:sz w:val="22"/>
          <w:szCs w:val="22"/>
        </w:rPr>
        <w:t xml:space="preserve">OSI:</w:t>
      </w:r>
      <w:r>
        <w:rPr>
          <w:rFonts w:ascii="Arial" w:cs="Arial" w:eastAsia="Arial" w:hAnsi="Arial"/>
          <w:sz w:val="22"/>
          <w:szCs w:val="22"/>
        </w:rPr>
        <w:t xml:space="preserve"> 8 hours (the lowest of any oil in this dataset). </w:t>
      </w:r>
      <w:r>
        <w:rPr>
          <w:rFonts w:ascii="Arial" w:cs="Arial" w:eastAsia="Arial" w:hAnsi="Arial"/>
          <w:b/>
          <w:bCs/>
          <w:sz w:val="22"/>
          <w:szCs w:val="22"/>
        </w:rPr>
        <w:t xml:space="preserve">Frying Life:</w:t>
      </w:r>
      <w:r>
        <w:rPr>
          <w:rFonts w:ascii="Arial" w:cs="Arial" w:eastAsia="Arial" w:hAnsi="Arial"/>
          <w:sz w:val="22"/>
          <w:szCs w:val="22"/>
        </w:rPr>
        <w:t xml:space="preserve"> ~70 cycles (M confidence—the lowest estimated frying life).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~$2,000/ton.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minor proanthocyanidins. However, 70% omega-6 makes it the most pro-inflammatory oil when heated. Generates very high aldehyde levels. Not recommended for cooking by most nutritionists. </w:t>
      </w:r>
      <w:r>
        <w:rPr>
          <w:rFonts w:ascii="Arial" w:cs="Arial" w:eastAsia="Arial" w:hAnsi="Arial"/>
          <w:b/>
          <w:bCs/>
          <w:sz w:val="22"/>
          <w:szCs w:val="22"/>
        </w:rPr>
        <w:t xml:space="preserve">Sustainability:</w:t>
      </w:r>
      <w:r>
        <w:rPr>
          <w:rFonts w:ascii="Arial" w:cs="Arial" w:eastAsia="Arial" w:hAnsi="Arial"/>
          <w:sz w:val="22"/>
          <w:szCs w:val="22"/>
        </w:rPr>
        <w:t xml:space="preserve"> Very low deforestation risk (byproduct). Hexane used in extraction. </w:t>
      </w:r>
      <w:r>
        <w:rPr>
          <w:rFonts w:ascii="Arial" w:cs="Arial" w:eastAsia="Arial" w:hAnsi="Arial"/>
          <w:b/>
          <w:bCs/>
          <w:sz w:val="22"/>
          <w:szCs w:val="22"/>
        </w:rPr>
        <w:t xml:space="preserve">Best Applications:</w:t>
      </w:r>
      <w:r>
        <w:rPr>
          <w:rFonts w:ascii="Arial" w:cs="Arial" w:eastAsia="Arial" w:hAnsi="Arial"/>
          <w:sz w:val="22"/>
          <w:szCs w:val="22"/>
        </w:rPr>
        <w:t xml:space="preserve"> Cold applications only: vinaigrettes, unheated dressings. Not recommended for any frying application. Grapeseed oil’s 70-cycle frying life at $2,000/ton makes it the worst value proposition in professional frying.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Grapeseed oil has the lowest OSI (8 hours) and shortest frying life (~70 cycles) of any oil in this guide, despite a seemingly adequate smoke point of 216°C. At $2,000/ton, it delivers the highest cost per fry cycle of any option. Its 71% PUFA generates the highest aldehyde loads under heat. It should never be used for deep frying in a professional kitchen.</w:t>
            </w:r>
          </w:p>
        </w:tc>
      </w:tr>
    </w:tbl>
    <w:p>
      <w:pPr>
        <w:spacing w:after="120"/>
      </w:pPr>
    </w:p>
    <w:p>
      <w:pPr>
        <w:pStyle w:val="Heading3"/>
        <w:spacing w:before="240" w:after="120"/>
      </w:pPr>
      <w:r>
        <w:rPr>
          <w:rFonts w:ascii="Arial" w:cs="Arial" w:eastAsia="Arial" w:hAnsi="Arial"/>
          <w:b/>
          <w:bCs/>
          <w:sz w:val="24"/>
          <w:szCs w:val="24"/>
        </w:rPr>
        <w:t xml:space="preserve">Rice Bran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Cereal grain (byproduct of rice milling).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20% SAFA, 42% MUFA (40% oleic), 35% PUFA. </w:t>
      </w:r>
      <w:r>
        <w:rPr>
          <w:rFonts w:ascii="Arial" w:cs="Arial" w:eastAsia="Arial" w:hAnsi="Arial"/>
          <w:b/>
          <w:bCs/>
          <w:sz w:val="22"/>
          <w:szCs w:val="22"/>
        </w:rPr>
        <w:t xml:space="preserve">Smoke Point:</w:t>
      </w:r>
      <w:r>
        <w:rPr>
          <w:rFonts w:ascii="Arial" w:cs="Arial" w:eastAsia="Arial" w:hAnsi="Arial"/>
          <w:sz w:val="22"/>
          <w:szCs w:val="22"/>
        </w:rPr>
        <w:t xml:space="preserve"> 232°C. </w:t>
      </w:r>
      <w:r>
        <w:rPr>
          <w:rFonts w:ascii="Arial" w:cs="Arial" w:eastAsia="Arial" w:hAnsi="Arial"/>
          <w:b/>
          <w:bCs/>
          <w:sz w:val="22"/>
          <w:szCs w:val="22"/>
        </w:rPr>
        <w:t xml:space="preserve">OSI:</w:t>
      </w:r>
      <w:r>
        <w:rPr>
          <w:rFonts w:ascii="Arial" w:cs="Arial" w:eastAsia="Arial" w:hAnsi="Arial"/>
          <w:sz w:val="22"/>
          <w:szCs w:val="22"/>
        </w:rPr>
        <w:t xml:space="preserve"> 22 hours. </w:t>
      </w:r>
      <w:r>
        <w:rPr>
          <w:rFonts w:ascii="Arial" w:cs="Arial" w:eastAsia="Arial" w:hAnsi="Arial"/>
          <w:b/>
          <w:bCs/>
          <w:sz w:val="22"/>
          <w:szCs w:val="22"/>
        </w:rPr>
        <w:t xml:space="preserve">Frying Life:</w:t>
      </w:r>
      <w:r>
        <w:rPr>
          <w:rFonts w:ascii="Arial" w:cs="Arial" w:eastAsia="Arial" w:hAnsi="Arial"/>
          <w:sz w:val="22"/>
          <w:szCs w:val="22"/>
        </w:rPr>
        <w:t xml:space="preserve"> ~170 cycles (L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~$1,500/ton.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Raises HDL-C. Contains gamma-oryzanol—a unique antioxidant with emerging anti-inflammatory and neuroprotective research. However, 35% PUFA limits its advantage under sustained heating. Moderate positive outlook. </w:t>
      </w:r>
      <w:r>
        <w:rPr>
          <w:rFonts w:ascii="Arial" w:cs="Arial" w:eastAsia="Arial" w:hAnsi="Arial"/>
          <w:b/>
          <w:bCs/>
          <w:sz w:val="22"/>
          <w:szCs w:val="22"/>
        </w:rPr>
        <w:t xml:space="preserve">Sustainability:</w:t>
      </w:r>
      <w:r>
        <w:rPr>
          <w:rFonts w:ascii="Arial" w:cs="Arial" w:eastAsia="Arial" w:hAnsi="Arial"/>
          <w:sz w:val="22"/>
          <w:szCs w:val="22"/>
        </w:rPr>
        <w:t xml:space="preserve"> Very low deforestation risk (byproduct). Rice paddy methane is a concern for the base crop. </w:t>
      </w:r>
      <w:r>
        <w:rPr>
          <w:rFonts w:ascii="Arial" w:cs="Arial" w:eastAsia="Arial" w:hAnsi="Arial"/>
          <w:b/>
          <w:bCs/>
          <w:sz w:val="22"/>
          <w:szCs w:val="22"/>
        </w:rPr>
        <w:t xml:space="preserve">Best Applications:</w:t>
      </w:r>
      <w:r>
        <w:rPr>
          <w:rFonts w:ascii="Arial" w:cs="Arial" w:eastAsia="Arial" w:hAnsi="Arial"/>
          <w:sz w:val="22"/>
          <w:szCs w:val="22"/>
        </w:rPr>
        <w:t xml:space="preserve"> Asian cuisine frying, tempura, moderate-duty deep frying. Popular in Japanese and Southeast Asian commercial kitchens. The gamma-oryzanol provides some oxidative protection beyond what the PUFA level would predict.</w:t>
      </w:r>
    </w:p>
    <w:p>
      <w:pPr>
        <w:pStyle w:val="Heading3"/>
        <w:spacing w:before="240" w:after="120"/>
      </w:pPr>
      <w:r>
        <w:rPr>
          <w:rFonts w:ascii="Arial" w:cs="Arial" w:eastAsia="Arial" w:hAnsi="Arial"/>
          <w:b/>
          <w:bCs/>
          <w:sz w:val="24"/>
          <w:szCs w:val="24"/>
        </w:rPr>
        <w:t xml:space="preserve">Sesame Oil (Refined)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Seed.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14% SAFA, 42% MUFA (40% oleic), 42% PUFA. </w:t>
      </w:r>
      <w:r>
        <w:rPr>
          <w:rFonts w:ascii="Arial" w:cs="Arial" w:eastAsia="Arial" w:hAnsi="Arial"/>
          <w:b/>
          <w:bCs/>
          <w:sz w:val="22"/>
          <w:szCs w:val="22"/>
        </w:rPr>
        <w:t xml:space="preserve">Smoke Point:</w:t>
      </w:r>
      <w:r>
        <w:rPr>
          <w:rFonts w:ascii="Arial" w:cs="Arial" w:eastAsia="Arial" w:hAnsi="Arial"/>
          <w:sz w:val="22"/>
          <w:szCs w:val="22"/>
        </w:rPr>
        <w:t xml:space="preserve"> 210°C. </w:t>
      </w:r>
      <w:r>
        <w:rPr>
          <w:rFonts w:ascii="Arial" w:cs="Arial" w:eastAsia="Arial" w:hAnsi="Arial"/>
          <w:b/>
          <w:bCs/>
          <w:sz w:val="22"/>
          <w:szCs w:val="22"/>
        </w:rPr>
        <w:t xml:space="preserve">OSI:</w:t>
      </w:r>
      <w:r>
        <w:rPr>
          <w:rFonts w:ascii="Arial" w:cs="Arial" w:eastAsia="Arial" w:hAnsi="Arial"/>
          <w:sz w:val="22"/>
          <w:szCs w:val="22"/>
        </w:rPr>
        <w:t xml:space="preserve"> 20 hours. </w:t>
      </w:r>
      <w:r>
        <w:rPr>
          <w:rFonts w:ascii="Arial" w:cs="Arial" w:eastAsia="Arial" w:hAnsi="Arial"/>
          <w:b/>
          <w:bCs/>
          <w:sz w:val="22"/>
          <w:szCs w:val="22"/>
        </w:rPr>
        <w:t xml:space="preserve">Frying Life:</w:t>
      </w:r>
      <w:r>
        <w:rPr>
          <w:rFonts w:ascii="Arial" w:cs="Arial" w:eastAsia="Arial" w:hAnsi="Arial"/>
          <w:sz w:val="22"/>
          <w:szCs w:val="22"/>
        </w:rPr>
        <w:t xml:space="preserve"> ~140 cycles (L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~$2,500/ton.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unique lignans (sesamin, sesamol, sesamolin) with neuroprotective properties in some studies and anti-inflammatory activity. However, 42% PUFA partially offsets the lignan benefit under heat. Moderate outlook.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Small-scale traditional production limits supply. </w:t>
      </w:r>
      <w:r>
        <w:rPr>
          <w:rFonts w:ascii="Arial" w:cs="Arial" w:eastAsia="Arial" w:hAnsi="Arial"/>
          <w:b/>
          <w:bCs/>
          <w:sz w:val="22"/>
          <w:szCs w:val="22"/>
        </w:rPr>
        <w:t xml:space="preserve">Best Applications:</w:t>
      </w:r>
      <w:r>
        <w:rPr>
          <w:rFonts w:ascii="Arial" w:cs="Arial" w:eastAsia="Arial" w:hAnsi="Arial"/>
          <w:sz w:val="22"/>
          <w:szCs w:val="22"/>
        </w:rPr>
        <w:t xml:space="preserve"> Asian cuisine finishing and stir-frying. Distinctive flavor makes it unsuitable for neutral-flavor frying but prized in specific culinary traditions.</w:t>
      </w:r>
    </w:p>
    <w:p>
      <w:pPr>
        <w:pStyle w:val="Heading3"/>
        <w:spacing w:before="240" w:after="120"/>
      </w:pPr>
      <w:r>
        <w:rPr>
          <w:rFonts w:ascii="Arial" w:cs="Arial" w:eastAsia="Arial" w:hAnsi="Arial"/>
          <w:b/>
          <w:bCs/>
          <w:sz w:val="24"/>
          <w:szCs w:val="24"/>
        </w:rPr>
        <w:t xml:space="preserve">Peanut Oil (Refined)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Legume. </w:t>
      </w:r>
      <w:r>
        <w:rPr>
          <w:rFonts w:ascii="Arial" w:cs="Arial" w:eastAsia="Arial" w:hAnsi="Arial"/>
          <w:b/>
          <w:bCs/>
          <w:sz w:val="22"/>
          <w:szCs w:val="22"/>
        </w:rPr>
        <w:t xml:space="preserve">Processing:</w:t>
      </w:r>
      <w:r>
        <w:rPr>
          <w:rFonts w:ascii="Arial" w:cs="Arial" w:eastAsia="Arial" w:hAnsi="Arial"/>
          <w:sz w:val="22"/>
          <w:szCs w:val="22"/>
        </w:rPr>
        <w:t xml:space="preserve"> Refined. </w:t>
      </w:r>
      <w:r>
        <w:rPr>
          <w:rFonts w:ascii="Arial" w:cs="Arial" w:eastAsia="Arial" w:hAnsi="Arial"/>
          <w:b/>
          <w:bCs/>
          <w:sz w:val="22"/>
          <w:szCs w:val="22"/>
        </w:rPr>
        <w:t xml:space="preserve">Fatty Acid Profile:</w:t>
      </w:r>
      <w:r>
        <w:rPr>
          <w:rFonts w:ascii="Arial" w:cs="Arial" w:eastAsia="Arial" w:hAnsi="Arial"/>
          <w:sz w:val="22"/>
          <w:szCs w:val="22"/>
        </w:rPr>
        <w:t xml:space="preserve"> 17% SAFA, 46% MUFA (44% oleic), 32% PUFA. </w:t>
      </w:r>
      <w:r>
        <w:rPr>
          <w:rFonts w:ascii="Arial" w:cs="Arial" w:eastAsia="Arial" w:hAnsi="Arial"/>
          <w:b/>
          <w:bCs/>
          <w:sz w:val="22"/>
          <w:szCs w:val="22"/>
        </w:rPr>
        <w:t xml:space="preserve">Smoke Point:</w:t>
      </w:r>
      <w:r>
        <w:rPr>
          <w:rFonts w:ascii="Arial" w:cs="Arial" w:eastAsia="Arial" w:hAnsi="Arial"/>
          <w:sz w:val="22"/>
          <w:szCs w:val="22"/>
        </w:rPr>
        <w:t xml:space="preserve"> 232°C. </w:t>
      </w:r>
      <w:r>
        <w:rPr>
          <w:rFonts w:ascii="Arial" w:cs="Arial" w:eastAsia="Arial" w:hAnsi="Arial"/>
          <w:b/>
          <w:bCs/>
          <w:sz w:val="22"/>
          <w:szCs w:val="22"/>
        </w:rPr>
        <w:t xml:space="preserve">OSI:</w:t>
      </w:r>
      <w:r>
        <w:rPr>
          <w:rFonts w:ascii="Arial" w:cs="Arial" w:eastAsia="Arial" w:hAnsi="Arial"/>
          <w:sz w:val="22"/>
          <w:szCs w:val="22"/>
        </w:rPr>
        <w:t xml:space="preserve"> 25 hours. </w:t>
      </w:r>
      <w:r>
        <w:rPr>
          <w:rFonts w:ascii="Arial" w:cs="Arial" w:eastAsia="Arial" w:hAnsi="Arial"/>
          <w:b/>
          <w:bCs/>
          <w:sz w:val="22"/>
          <w:szCs w:val="22"/>
        </w:rPr>
        <w:t xml:space="preserve">Frying Life:</w:t>
      </w:r>
      <w:r>
        <w:rPr>
          <w:rFonts w:ascii="Arial" w:cs="Arial" w:eastAsia="Arial" w:hAnsi="Arial"/>
          <w:sz w:val="22"/>
          <w:szCs w:val="22"/>
        </w:rPr>
        <w:t xml:space="preserve"> ~220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~$1,800/ton.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Reduces LDL-C. Contains trace resveratrol (insufficient for therapeutic effect). Very high omega-6:3 ratio (320:1)—the most extreme imbalance in this dataset. Moderate MUFA partially compensates. The primary health concern is not the oil’s fatty acid profile but its allergen status: peanut is one of the Big 9 allergens and peanut oil (even refined) requires careful allergen management in foodservice.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N₂-fixing legume. Aflatoxin storage risk. </w:t>
      </w:r>
      <w:r>
        <w:rPr>
          <w:rFonts w:ascii="Arial" w:cs="Arial" w:eastAsia="Arial" w:hAnsi="Arial"/>
          <w:b/>
          <w:bCs/>
          <w:sz w:val="22"/>
          <w:szCs w:val="22"/>
        </w:rPr>
        <w:t xml:space="preserve">Best Applications:</w:t>
      </w:r>
      <w:r>
        <w:rPr>
          <w:rFonts w:ascii="Arial" w:cs="Arial" w:eastAsia="Arial" w:hAnsi="Arial"/>
          <w:sz w:val="22"/>
          <w:szCs w:val="22"/>
        </w:rPr>
        <w:t xml:space="preserve"> Traditional Southern US and Asian frying. Delivers good flavor and moderate stability. Allergen management is the dominant operational concern.</w:t>
      </w:r>
    </w:p>
    <w:p>
      <w:r>
        <w:br w:type="page"/>
      </w:r>
    </w:p>
    <w:p>
      <w:pPr>
        <w:pStyle w:val="Heading2"/>
        <w:spacing w:before="360" w:after="180"/>
      </w:pPr>
      <w:r>
        <w:rPr>
          <w:rFonts w:ascii="Arial" w:cs="Arial" w:eastAsia="Arial" w:hAnsi="Arial"/>
          <w:b/>
          <w:bCs/>
          <w:sz w:val="28"/>
          <w:szCs w:val="28"/>
        </w:rPr>
        <w:t xml:space="preserve">Group F: Tropical Saturated Oils</w:t>
      </w:r>
    </w:p>
    <w:p>
      <w:pPr>
        <w:pStyle w:val="Heading3"/>
        <w:spacing w:before="240" w:after="120"/>
      </w:pPr>
      <w:r>
        <w:rPr>
          <w:rFonts w:ascii="Arial" w:cs="Arial" w:eastAsia="Arial" w:hAnsi="Arial"/>
          <w:b/>
          <w:bCs/>
          <w:sz w:val="24"/>
          <w:szCs w:val="24"/>
        </w:rPr>
        <w:t xml:space="preserve">Coconut Oil (Virgin)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Tropical fruit (lauric family). </w:t>
      </w:r>
      <w:r>
        <w:rPr>
          <w:rFonts w:ascii="Arial" w:cs="Arial" w:eastAsia="Arial" w:hAnsi="Arial"/>
          <w:b/>
          <w:bCs/>
          <w:sz w:val="22"/>
          <w:szCs w:val="22"/>
        </w:rPr>
        <w:t xml:space="preserve">Processing:</w:t>
      </w:r>
      <w:r>
        <w:rPr>
          <w:rFonts w:ascii="Arial" w:cs="Arial" w:eastAsia="Arial" w:hAnsi="Arial"/>
          <w:sz w:val="22"/>
          <w:szCs w:val="22"/>
        </w:rPr>
        <w:t xml:space="preserve"> Unrefined, cold-pressed. </w:t>
      </w:r>
      <w:r>
        <w:rPr>
          <w:rFonts w:ascii="Arial" w:cs="Arial" w:eastAsia="Arial" w:hAnsi="Arial"/>
          <w:b/>
          <w:bCs/>
          <w:sz w:val="22"/>
          <w:szCs w:val="22"/>
        </w:rPr>
        <w:t xml:space="preserve">Fatty Acid Profile:</w:t>
      </w:r>
      <w:r>
        <w:rPr>
          <w:rFonts w:ascii="Arial" w:cs="Arial" w:eastAsia="Arial" w:hAnsi="Arial"/>
          <w:sz w:val="22"/>
          <w:szCs w:val="22"/>
        </w:rPr>
        <w:t xml:space="preserve"> 87% SAFA (primarily lauric acid), 6% MUFA, 2% PUFA. </w:t>
      </w:r>
      <w:r>
        <w:rPr>
          <w:rFonts w:ascii="Arial" w:cs="Arial" w:eastAsia="Arial" w:hAnsi="Arial"/>
          <w:b/>
          <w:bCs/>
          <w:sz w:val="22"/>
          <w:szCs w:val="22"/>
        </w:rPr>
        <w:t xml:space="preserve">Smoke Point:</w:t>
      </w:r>
      <w:r>
        <w:rPr>
          <w:rFonts w:ascii="Arial" w:cs="Arial" w:eastAsia="Arial" w:hAnsi="Arial"/>
          <w:sz w:val="22"/>
          <w:szCs w:val="22"/>
        </w:rPr>
        <w:t xml:space="preserve"> 177°C. </w:t>
      </w:r>
      <w:r>
        <w:rPr>
          <w:rFonts w:ascii="Arial" w:cs="Arial" w:eastAsia="Arial" w:hAnsi="Arial"/>
          <w:b/>
          <w:bCs/>
          <w:sz w:val="22"/>
          <w:szCs w:val="22"/>
        </w:rPr>
        <w:t xml:space="preserve">OSI:</w:t>
      </w:r>
      <w:r>
        <w:rPr>
          <w:rFonts w:ascii="Arial" w:cs="Arial" w:eastAsia="Arial" w:hAnsi="Arial"/>
          <w:sz w:val="22"/>
          <w:szCs w:val="22"/>
        </w:rPr>
        <w:t xml:space="preserve"> 35 hours. </w:t>
      </w:r>
      <w:r>
        <w:rPr>
          <w:rFonts w:ascii="Arial" w:cs="Arial" w:eastAsia="Arial" w:hAnsi="Arial"/>
          <w:b/>
          <w:bCs/>
          <w:sz w:val="22"/>
          <w:szCs w:val="22"/>
        </w:rPr>
        <w:t xml:space="preserve">Frying Life:</w:t>
      </w:r>
      <w:r>
        <w:rPr>
          <w:rFonts w:ascii="Arial" w:cs="Arial" w:eastAsia="Arial" w:hAnsi="Arial"/>
          <w:sz w:val="22"/>
          <w:szCs w:val="22"/>
        </w:rPr>
        <w:t xml:space="preserve"> ~220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~$1,200/ton.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Raises both LDL-C and HDL-C. The AHA explicitly advises against coconut oil due to 87% SAFA. The medium-chain triglyceride (MCT) to brain-fuel-via-ketone pathway has generated interest in Alzheimer’s research, but clinical evidence remains inconclusive. Minor polyphenols in virgin. 87% SAFA may promote TLR4-mediated inflammation; this is highly debated. </w:t>
      </w:r>
      <w:r>
        <w:rPr>
          <w:rFonts w:ascii="Arial" w:cs="Arial" w:eastAsia="Arial" w:hAnsi="Arial"/>
          <w:b/>
          <w:bCs/>
          <w:sz w:val="22"/>
          <w:szCs w:val="22"/>
        </w:rPr>
        <w:t xml:space="preserve">Sustainability:</w:t>
      </w:r>
      <w:r>
        <w:rPr>
          <w:rFonts w:ascii="Arial" w:cs="Arial" w:eastAsia="Arial" w:hAnsi="Arial"/>
          <w:sz w:val="22"/>
          <w:szCs w:val="22"/>
        </w:rPr>
        <w:t xml:space="preserve"> Low deforestation risk. However, highest biodiversity threat per ton of any oil (66 species per ton). Supports small island developing states. Low GHG (2.0 kgCO₂/kg). </w:t>
      </w:r>
      <w:r>
        <w:rPr>
          <w:rFonts w:ascii="Arial" w:cs="Arial" w:eastAsia="Arial" w:hAnsi="Arial"/>
          <w:b/>
          <w:bCs/>
          <w:sz w:val="22"/>
          <w:szCs w:val="22"/>
        </w:rPr>
        <w:t xml:space="preserve">Best Applications:</w:t>
      </w:r>
      <w:r>
        <w:rPr>
          <w:rFonts w:ascii="Arial" w:cs="Arial" w:eastAsia="Arial" w:hAnsi="Arial"/>
          <w:sz w:val="22"/>
          <w:szCs w:val="22"/>
        </w:rPr>
        <w:t xml:space="preserve"> Confections, baking, low-temperature frying of specific items where coconut flavor is desired. The 177°C smoke point limits deep frying applications.</w:t>
      </w:r>
    </w:p>
    <w:p>
      <w:pPr>
        <w:pStyle w:val="Heading3"/>
        <w:spacing w:before="240" w:after="120"/>
      </w:pPr>
      <w:r>
        <w:rPr>
          <w:rFonts w:ascii="Arial" w:cs="Arial" w:eastAsia="Arial" w:hAnsi="Arial"/>
          <w:b/>
          <w:bCs/>
          <w:sz w:val="24"/>
          <w:szCs w:val="24"/>
        </w:rPr>
        <w:t xml:space="preserve">Coconut Oil (Refined)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Tropical fruit (lauric). </w:t>
      </w:r>
      <w:r>
        <w:rPr>
          <w:rFonts w:ascii="Arial" w:cs="Arial" w:eastAsia="Arial" w:hAnsi="Arial"/>
          <w:b/>
          <w:bCs/>
          <w:sz w:val="22"/>
          <w:szCs w:val="22"/>
        </w:rPr>
        <w:t xml:space="preserve">Processing:</w:t>
      </w:r>
      <w:r>
        <w:rPr>
          <w:rFonts w:ascii="Arial" w:cs="Arial" w:eastAsia="Arial" w:hAnsi="Arial"/>
          <w:sz w:val="22"/>
          <w:szCs w:val="22"/>
        </w:rPr>
        <w:t xml:space="preserve"> Refined, RBD. </w:t>
      </w:r>
      <w:r>
        <w:rPr>
          <w:rFonts w:ascii="Arial" w:cs="Arial" w:eastAsia="Arial" w:hAnsi="Arial"/>
          <w:b/>
          <w:bCs/>
          <w:sz w:val="22"/>
          <w:szCs w:val="22"/>
        </w:rPr>
        <w:t xml:space="preserve">Fatty Acid Profile:</w:t>
      </w:r>
      <w:r>
        <w:rPr>
          <w:rFonts w:ascii="Arial" w:cs="Arial" w:eastAsia="Arial" w:hAnsi="Arial"/>
          <w:sz w:val="22"/>
          <w:szCs w:val="22"/>
        </w:rPr>
        <w:t xml:space="preserve"> 87% SAFA, 6% MUFA, 2% PUFA. </w:t>
      </w:r>
      <w:r>
        <w:rPr>
          <w:rFonts w:ascii="Arial" w:cs="Arial" w:eastAsia="Arial" w:hAnsi="Arial"/>
          <w:b/>
          <w:bCs/>
          <w:sz w:val="22"/>
          <w:szCs w:val="22"/>
        </w:rPr>
        <w:t xml:space="preserve">Smoke Point:</w:t>
      </w:r>
      <w:r>
        <w:rPr>
          <w:rFonts w:ascii="Arial" w:cs="Arial" w:eastAsia="Arial" w:hAnsi="Arial"/>
          <w:sz w:val="22"/>
          <w:szCs w:val="22"/>
        </w:rPr>
        <w:t xml:space="preserve"> 232°C (raised significantly by refining). </w:t>
      </w:r>
      <w:r>
        <w:rPr>
          <w:rFonts w:ascii="Arial" w:cs="Arial" w:eastAsia="Arial" w:hAnsi="Arial"/>
          <w:b/>
          <w:bCs/>
          <w:sz w:val="22"/>
          <w:szCs w:val="22"/>
        </w:rPr>
        <w:t xml:space="preserve">OSI:</w:t>
      </w:r>
      <w:r>
        <w:rPr>
          <w:rFonts w:ascii="Arial" w:cs="Arial" w:eastAsia="Arial" w:hAnsi="Arial"/>
          <w:sz w:val="22"/>
          <w:szCs w:val="22"/>
        </w:rPr>
        <w:t xml:space="preserve"> 30 hours. </w:t>
      </w:r>
      <w:r>
        <w:rPr>
          <w:rFonts w:ascii="Arial" w:cs="Arial" w:eastAsia="Arial" w:hAnsi="Arial"/>
          <w:b/>
          <w:bCs/>
          <w:sz w:val="22"/>
          <w:szCs w:val="22"/>
        </w:rPr>
        <w:t xml:space="preserve">Frying Life:</w:t>
      </w:r>
      <w:r>
        <w:rPr>
          <w:rFonts w:ascii="Arial" w:cs="Arial" w:eastAsia="Arial" w:hAnsi="Arial"/>
          <w:sz w:val="22"/>
          <w:szCs w:val="22"/>
        </w:rPr>
        <w:t xml:space="preserve"> ~230 cycles (M confidence). </w:t>
      </w:r>
      <w:r>
        <w:rPr>
          <w:rFonts w:ascii="Arial" w:cs="Arial" w:eastAsia="Arial" w:hAnsi="Arial"/>
          <w:b/>
          <w:bCs/>
          <w:sz w:val="22"/>
          <w:szCs w:val="22"/>
        </w:rPr>
        <w:t xml:space="preserve">Trans Fat:</w:t>
      </w:r>
      <w:r>
        <w:rPr>
          <w:rFonts w:ascii="Arial" w:cs="Arial" w:eastAsia="Arial" w:hAnsi="Arial"/>
          <w:sz w:val="22"/>
          <w:szCs w:val="22"/>
        </w:rPr>
        <w:t xml:space="preserve"> 0%. </w:t>
      </w:r>
      <w:r>
        <w:rPr>
          <w:rFonts w:ascii="Arial" w:cs="Arial" w:eastAsia="Arial" w:hAnsi="Arial"/>
          <w:b/>
          <w:bCs/>
          <w:sz w:val="22"/>
          <w:szCs w:val="22"/>
        </w:rPr>
        <w:t xml:space="preserve">Price:</w:t>
      </w:r>
      <w:r>
        <w:rPr>
          <w:rFonts w:ascii="Arial" w:cs="Arial" w:eastAsia="Arial" w:hAnsi="Arial"/>
          <w:sz w:val="22"/>
          <w:szCs w:val="22"/>
        </w:rPr>
        <w:t xml:space="preserve"> ~$1,100/ton.</w:t>
      </w:r>
    </w:p>
    <w:p>
      <w:pPr>
        <w:spacing w:after="180" w:line="276"/>
      </w:pPr>
      <w:r>
        <w:rPr>
          <w:rFonts w:ascii="Arial" w:cs="Arial" w:eastAsia="Arial" w:hAnsi="Arial"/>
          <w:sz w:val="22"/>
          <w:szCs w:val="22"/>
        </w:rPr>
        <w:t xml:space="preserve">Refining raises the smoke point to a functional deep frying temperature and removes the coconut flavor. Yu et al. (2018) found that coconut oil showed remarkably low total polar compound accumulation after 80 repeated frying cycles, consistent with its extreme SAFA stability. The health trade-off remains: 87% SAFA. </w:t>
      </w:r>
      <w:r>
        <w:rPr>
          <w:rFonts w:ascii="Arial" w:cs="Arial" w:eastAsia="Arial" w:hAnsi="Arial"/>
          <w:b/>
          <w:bCs/>
          <w:sz w:val="22"/>
          <w:szCs w:val="22"/>
        </w:rPr>
        <w:t xml:space="preserve">Best Applications:</w:t>
      </w:r>
      <w:r>
        <w:rPr>
          <w:rFonts w:ascii="Arial" w:cs="Arial" w:eastAsia="Arial" w:hAnsi="Arial"/>
          <w:sz w:val="22"/>
          <w:szCs w:val="22"/>
        </w:rPr>
        <w:t xml:space="preserve"> Deep frying in operations that prioritize thermal stability and are willing to accept the AHA’s caution on SAFA. Used in some specialty chains and confectionery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RESEARCH NOTE</w:t>
            </w:r>
          </w:p>
          <w:p>
            <w:pPr>
              <w:spacing w:after="0"/>
            </w:pPr>
            <w:r>
              <w:rPr>
                <w:rFonts w:ascii="Arial" w:cs="Arial" w:eastAsia="Arial" w:hAnsi="Arial"/>
                <w:sz w:val="21"/>
                <w:szCs w:val="21"/>
              </w:rPr>
              <w:t xml:space="preserve">The AHA coconut oil controversy: In 2017, the AHA issued an advisory specifically recommending against coconut oil, citing its LDL-C-raising effect (87% SAFA). This generated significant public debate. The MCT/brain health argument—that lauric acid is rapidly metabolized into ketones that fuel the brain—has preclinical support but lacks definitive clinical trial evidence in humans. The biodiversity cost (66 species threatened per ton) is the highest of any oil and is rarely discussed in health-focused evaluations (WWF, 2020).</w:t>
            </w:r>
          </w:p>
        </w:tc>
      </w:tr>
    </w:tbl>
    <w:p>
      <w:pPr>
        <w:spacing w:after="120"/>
      </w:pPr>
    </w:p>
    <w:p>
      <w:pPr>
        <w:pStyle w:val="Heading2"/>
        <w:spacing w:before="360" w:after="180"/>
      </w:pPr>
      <w:r>
        <w:rPr>
          <w:rFonts w:ascii="Arial" w:cs="Arial" w:eastAsia="Arial" w:hAnsi="Arial"/>
          <w:b/>
          <w:bCs/>
          <w:sz w:val="28"/>
          <w:szCs w:val="28"/>
        </w:rPr>
        <w:t xml:space="preserve">Group G: Animal Fats — The Resurgence</w:t>
      </w:r>
    </w:p>
    <w:p>
      <w:pPr>
        <w:pStyle w:val="Heading3"/>
        <w:spacing w:before="240" w:after="120"/>
      </w:pPr>
      <w:r>
        <w:rPr>
          <w:rFonts w:ascii="Arial" w:cs="Arial" w:eastAsia="Arial" w:hAnsi="Arial"/>
          <w:b/>
          <w:bCs/>
          <w:sz w:val="24"/>
          <w:szCs w:val="24"/>
        </w:rPr>
        <w:t xml:space="preserve">Lard (Pork Fat)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Animal fat (byproduct of pork production). </w:t>
      </w:r>
      <w:r>
        <w:rPr>
          <w:rFonts w:ascii="Arial" w:cs="Arial" w:eastAsia="Arial" w:hAnsi="Arial"/>
          <w:b/>
          <w:bCs/>
          <w:sz w:val="22"/>
          <w:szCs w:val="22"/>
        </w:rPr>
        <w:t xml:space="preserve">Processing:</w:t>
      </w:r>
      <w:r>
        <w:rPr>
          <w:rFonts w:ascii="Arial" w:cs="Arial" w:eastAsia="Arial" w:hAnsi="Arial"/>
          <w:sz w:val="22"/>
          <w:szCs w:val="22"/>
        </w:rPr>
        <w:t xml:space="preserve"> Rendered. </w:t>
      </w:r>
      <w:r>
        <w:rPr>
          <w:rFonts w:ascii="Arial" w:cs="Arial" w:eastAsia="Arial" w:hAnsi="Arial"/>
          <w:b/>
          <w:bCs/>
          <w:sz w:val="22"/>
          <w:szCs w:val="22"/>
        </w:rPr>
        <w:t xml:space="preserve">Fatty Acid Profile:</w:t>
      </w:r>
      <w:r>
        <w:rPr>
          <w:rFonts w:ascii="Arial" w:cs="Arial" w:eastAsia="Arial" w:hAnsi="Arial"/>
          <w:sz w:val="22"/>
          <w:szCs w:val="22"/>
        </w:rPr>
        <w:t xml:space="preserve"> 39% SAFA, 45% MUFA (44% oleic), 11% PUFA. </w:t>
      </w:r>
      <w:r>
        <w:rPr>
          <w:rFonts w:ascii="Arial" w:cs="Arial" w:eastAsia="Arial" w:hAnsi="Arial"/>
          <w:b/>
          <w:bCs/>
          <w:sz w:val="22"/>
          <w:szCs w:val="22"/>
        </w:rPr>
        <w:t xml:space="preserve">Smoke Point:</w:t>
      </w:r>
      <w:r>
        <w:rPr>
          <w:rFonts w:ascii="Arial" w:cs="Arial" w:eastAsia="Arial" w:hAnsi="Arial"/>
          <w:sz w:val="22"/>
          <w:szCs w:val="22"/>
        </w:rPr>
        <w:t xml:space="preserve"> 190°C. </w:t>
      </w:r>
      <w:r>
        <w:rPr>
          <w:rFonts w:ascii="Arial" w:cs="Arial" w:eastAsia="Arial" w:hAnsi="Arial"/>
          <w:b/>
          <w:bCs/>
          <w:sz w:val="22"/>
          <w:szCs w:val="22"/>
        </w:rPr>
        <w:t xml:space="preserve">OSI:</w:t>
      </w:r>
      <w:r>
        <w:rPr>
          <w:rFonts w:ascii="Arial" w:cs="Arial" w:eastAsia="Arial" w:hAnsi="Arial"/>
          <w:sz w:val="22"/>
          <w:szCs w:val="22"/>
        </w:rPr>
        <w:t xml:space="preserve"> 12 hours. </w:t>
      </w:r>
      <w:r>
        <w:rPr>
          <w:rFonts w:ascii="Arial" w:cs="Arial" w:eastAsia="Arial" w:hAnsi="Arial"/>
          <w:b/>
          <w:bCs/>
          <w:sz w:val="22"/>
          <w:szCs w:val="22"/>
        </w:rPr>
        <w:t xml:space="preserve">Frying Life:</w:t>
      </w:r>
      <w:r>
        <w:rPr>
          <w:rFonts w:ascii="Arial" w:cs="Arial" w:eastAsia="Arial" w:hAnsi="Arial"/>
          <w:sz w:val="22"/>
          <w:szCs w:val="22"/>
        </w:rPr>
        <w:t xml:space="preserve"> ~175 cycles (L confidence). </w:t>
      </w:r>
      <w:r>
        <w:rPr>
          <w:rFonts w:ascii="Arial" w:cs="Arial" w:eastAsia="Arial" w:hAnsi="Arial"/>
          <w:b/>
          <w:bCs/>
          <w:sz w:val="22"/>
          <w:szCs w:val="22"/>
        </w:rPr>
        <w:t xml:space="preserve">Trans Fat:</w:t>
      </w:r>
      <w:r>
        <w:rPr>
          <w:rFonts w:ascii="Arial" w:cs="Arial" w:eastAsia="Arial" w:hAnsi="Arial"/>
          <w:sz w:val="22"/>
          <w:szCs w:val="22"/>
        </w:rPr>
        <w:t xml:space="preserve"> 0.5% (natural trans fats, not industrially hydrogenated). </w:t>
      </w:r>
      <w:r>
        <w:rPr>
          <w:rFonts w:ascii="Arial" w:cs="Arial" w:eastAsia="Arial" w:hAnsi="Arial"/>
          <w:b/>
          <w:bCs/>
          <w:sz w:val="22"/>
          <w:szCs w:val="22"/>
        </w:rPr>
        <w:t xml:space="preserve">Price:</w:t>
      </w:r>
      <w:r>
        <w:rPr>
          <w:rFonts w:ascii="Arial" w:cs="Arial" w:eastAsia="Arial" w:hAnsi="Arial"/>
          <w:sz w:val="22"/>
          <w:szCs w:val="22"/>
        </w:rPr>
        <w:t xml:space="preserve"> ~$700/ton (the cheapest fat in this dataset).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Slightly raises LDL-C. The 45% MUFA content is underappreciated—lard is actually more monounsaturated than commonly perceived. AHA recommends limiting animal fat. The 0.5% natural trans fat content is low but non-zero. </w:t>
      </w:r>
      <w:r>
        <w:rPr>
          <w:rFonts w:ascii="Arial" w:cs="Arial" w:eastAsia="Arial" w:hAnsi="Arial"/>
          <w:b/>
          <w:bCs/>
          <w:sz w:val="22"/>
          <w:szCs w:val="22"/>
        </w:rPr>
        <w:t xml:space="preserve">Sustainability:</w:t>
      </w:r>
      <w:r>
        <w:rPr>
          <w:rFonts w:ascii="Arial" w:cs="Arial" w:eastAsia="Arial" w:hAnsi="Arial"/>
          <w:sz w:val="22"/>
          <w:szCs w:val="22"/>
        </w:rPr>
        <w:t xml:space="preserve"> Byproduct of meat production—no additional land, water, or GHG attributed. </w:t>
      </w:r>
      <w:r>
        <w:rPr>
          <w:rFonts w:ascii="Arial" w:cs="Arial" w:eastAsia="Arial" w:hAnsi="Arial"/>
          <w:b/>
          <w:bCs/>
          <w:sz w:val="22"/>
          <w:szCs w:val="22"/>
        </w:rPr>
        <w:t xml:space="preserve">Best Applications:</w:t>
      </w:r>
      <w:r>
        <w:rPr>
          <w:rFonts w:ascii="Arial" w:cs="Arial" w:eastAsia="Arial" w:hAnsi="Arial"/>
          <w:sz w:val="22"/>
          <w:szCs w:val="22"/>
        </w:rPr>
        <w:t xml:space="preserve"> Pastry (flaky crusts), traditional frying (carnitas, lard-fried chicken), baking. The 190°C smoke point limits high-heat deep frying but is adequate for moderate temperatures.</w:t>
      </w:r>
    </w:p>
    <w:p>
      <w:pPr>
        <w:pStyle w:val="Heading3"/>
        <w:spacing w:before="240" w:after="120"/>
      </w:pPr>
      <w:r>
        <w:rPr>
          <w:rFonts w:ascii="Arial" w:cs="Arial" w:eastAsia="Arial" w:hAnsi="Arial"/>
          <w:b/>
          <w:bCs/>
          <w:sz w:val="24"/>
          <w:szCs w:val="24"/>
        </w:rPr>
        <w:t xml:space="preserve">Beef Tallow</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Animal fat (byproduct of beef production). </w:t>
      </w:r>
      <w:r>
        <w:rPr>
          <w:rFonts w:ascii="Arial" w:cs="Arial" w:eastAsia="Arial" w:hAnsi="Arial"/>
          <w:b/>
          <w:bCs/>
          <w:sz w:val="22"/>
          <w:szCs w:val="22"/>
        </w:rPr>
        <w:t xml:space="preserve">Processing:</w:t>
      </w:r>
      <w:r>
        <w:rPr>
          <w:rFonts w:ascii="Arial" w:cs="Arial" w:eastAsia="Arial" w:hAnsi="Arial"/>
          <w:sz w:val="22"/>
          <w:szCs w:val="22"/>
        </w:rPr>
        <w:t xml:space="preserve"> Rendered. </w:t>
      </w:r>
      <w:r>
        <w:rPr>
          <w:rFonts w:ascii="Arial" w:cs="Arial" w:eastAsia="Arial" w:hAnsi="Arial"/>
          <w:b/>
          <w:bCs/>
          <w:sz w:val="22"/>
          <w:szCs w:val="22"/>
        </w:rPr>
        <w:t xml:space="preserve">Fatty Acid Profile:</w:t>
      </w:r>
      <w:r>
        <w:rPr>
          <w:rFonts w:ascii="Arial" w:cs="Arial" w:eastAsia="Arial" w:hAnsi="Arial"/>
          <w:sz w:val="22"/>
          <w:szCs w:val="22"/>
        </w:rPr>
        <w:t xml:space="preserve"> 50% SAFA, 42% MUFA (37% oleic), 4% PUFA. </w:t>
      </w:r>
      <w:r>
        <w:rPr>
          <w:rFonts w:ascii="Arial" w:cs="Arial" w:eastAsia="Arial" w:hAnsi="Arial"/>
          <w:b/>
          <w:bCs/>
          <w:sz w:val="22"/>
          <w:szCs w:val="22"/>
        </w:rPr>
        <w:t xml:space="preserve">Smoke Point:</w:t>
      </w:r>
      <w:r>
        <w:rPr>
          <w:rFonts w:ascii="Arial" w:cs="Arial" w:eastAsia="Arial" w:hAnsi="Arial"/>
          <w:sz w:val="22"/>
          <w:szCs w:val="22"/>
        </w:rPr>
        <w:t xml:space="preserve"> 250°C. </w:t>
      </w:r>
      <w:r>
        <w:rPr>
          <w:rFonts w:ascii="Arial" w:cs="Arial" w:eastAsia="Arial" w:hAnsi="Arial"/>
          <w:b/>
          <w:bCs/>
          <w:sz w:val="22"/>
          <w:szCs w:val="22"/>
        </w:rPr>
        <w:t xml:space="preserve">OSI:</w:t>
      </w:r>
      <w:r>
        <w:rPr>
          <w:rFonts w:ascii="Arial" w:cs="Arial" w:eastAsia="Arial" w:hAnsi="Arial"/>
          <w:sz w:val="22"/>
          <w:szCs w:val="22"/>
        </w:rPr>
        <w:t xml:space="preserve"> 20 hours. </w:t>
      </w:r>
      <w:r>
        <w:rPr>
          <w:rFonts w:ascii="Arial" w:cs="Arial" w:eastAsia="Arial" w:hAnsi="Arial"/>
          <w:b/>
          <w:bCs/>
          <w:sz w:val="22"/>
          <w:szCs w:val="22"/>
        </w:rPr>
        <w:t xml:space="preserve">Frying Life:</w:t>
      </w:r>
      <w:r>
        <w:rPr>
          <w:rFonts w:ascii="Arial" w:cs="Arial" w:eastAsia="Arial" w:hAnsi="Arial"/>
          <w:sz w:val="22"/>
          <w:szCs w:val="22"/>
        </w:rPr>
        <w:t xml:space="preserve"> ~280 cycles (M confidence). </w:t>
      </w:r>
      <w:r>
        <w:rPr>
          <w:rFonts w:ascii="Arial" w:cs="Arial" w:eastAsia="Arial" w:hAnsi="Arial"/>
          <w:b/>
          <w:bCs/>
          <w:sz w:val="22"/>
          <w:szCs w:val="22"/>
        </w:rPr>
        <w:t xml:space="preserve">Trans Fat:</w:t>
      </w:r>
      <w:r>
        <w:rPr>
          <w:rFonts w:ascii="Arial" w:cs="Arial" w:eastAsia="Arial" w:hAnsi="Arial"/>
          <w:sz w:val="22"/>
          <w:szCs w:val="22"/>
        </w:rPr>
        <w:t xml:space="preserve"> 3.5% (natural trans fats—the highest of any fat in this dataset). </w:t>
      </w:r>
      <w:r>
        <w:rPr>
          <w:rFonts w:ascii="Arial" w:cs="Arial" w:eastAsia="Arial" w:hAnsi="Arial"/>
          <w:b/>
          <w:bCs/>
          <w:sz w:val="22"/>
          <w:szCs w:val="22"/>
        </w:rPr>
        <w:t xml:space="preserve">Price:</w:t>
      </w:r>
      <w:r>
        <w:rPr>
          <w:rFonts w:ascii="Arial" w:cs="Arial" w:eastAsia="Arial" w:hAnsi="Arial"/>
          <w:sz w:val="22"/>
          <w:szCs w:val="22"/>
        </w:rPr>
        <w:t xml:space="preserve"> ~$800/ton.</w:t>
      </w:r>
    </w:p>
    <w:p>
      <w:pPr>
        <w:spacing w:after="180" w:line="276"/>
      </w:pPr>
      <w:r>
        <w:rPr>
          <w:rFonts w:ascii="Arial" w:cs="Arial" w:eastAsia="Arial" w:hAnsi="Arial"/>
          <w:sz w:val="22"/>
          <w:szCs w:val="22"/>
        </w:rPr>
        <w:t xml:space="preserve">Beef tallow is experiencing a major resurgence in American foodservice, driven by the confluence of the anti-seed-oil movement, the flavor argument (tallow-fried foods have a distinctly rich, savory character), and the stability argument (very low PUFA means minimal oxidative degradation). Dobarganes et al. found that tallow reached 25% TPM after 14 days of continuous frying at 190°C—significantly outperforming canola, corn, and cottonseed in the same trial.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Raises LDL-C (50% SAFA). CLA (conjugated linoleic acid) content is mildly anti-inflammatory but insufficient to offset the SAFA/trans fat concern. The 3.5% natural trans fat content is clinically significant. AHA and WHO recommend limiting. The distinction between natural ruminant trans fats and industrial trans fats (from partial hydrogenation) is scientifically recognized—natural trans fats may be somewhat less harmful—but they are not benign. </w:t>
      </w:r>
      <w:r>
        <w:rPr>
          <w:rFonts w:ascii="Arial" w:cs="Arial" w:eastAsia="Arial" w:hAnsi="Arial"/>
          <w:b/>
          <w:bCs/>
          <w:sz w:val="22"/>
          <w:szCs w:val="22"/>
        </w:rPr>
        <w:t xml:space="preserve">Sustainability:</w:t>
      </w:r>
      <w:r>
        <w:rPr>
          <w:rFonts w:ascii="Arial" w:cs="Arial" w:eastAsia="Arial" w:hAnsi="Arial"/>
          <w:sz w:val="22"/>
          <w:szCs w:val="22"/>
        </w:rPr>
        <w:t xml:space="preserve"> Byproduct. Linked to beef industry methane and land use, but tallow itself requires no additional agriculture. </w:t>
      </w:r>
      <w:r>
        <w:rPr>
          <w:rFonts w:ascii="Arial" w:cs="Arial" w:eastAsia="Arial" w:hAnsi="Arial"/>
          <w:b/>
          <w:bCs/>
          <w:sz w:val="22"/>
          <w:szCs w:val="22"/>
        </w:rPr>
        <w:t xml:space="preserve">Best Applications:</w:t>
      </w:r>
      <w:r>
        <w:rPr>
          <w:rFonts w:ascii="Arial" w:cs="Arial" w:eastAsia="Arial" w:hAnsi="Arial"/>
          <w:sz w:val="22"/>
          <w:szCs w:val="22"/>
        </w:rPr>
        <w:t xml:space="preserve"> Burger frying, premium fries (the original McDonald’s fry was cooked in tallow), high-heat roasting, traditional British fish and chips.</w:t>
      </w:r>
    </w:p>
    <w:p>
      <w:pPr>
        <w:pStyle w:val="Heading3"/>
        <w:spacing w:before="240" w:after="120"/>
      </w:pPr>
      <w:r>
        <w:rPr>
          <w:rFonts w:ascii="Arial" w:cs="Arial" w:eastAsia="Arial" w:hAnsi="Arial"/>
          <w:b/>
          <w:bCs/>
          <w:sz w:val="24"/>
          <w:szCs w:val="24"/>
        </w:rPr>
        <w:t xml:space="preserve">Ghee / Clarified Butter</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Chemical Family:</w:t>
      </w:r>
      <w:r>
        <w:rPr>
          <w:rFonts w:ascii="Arial" w:cs="Arial" w:eastAsia="Arial" w:hAnsi="Arial"/>
          <w:sz w:val="22"/>
          <w:szCs w:val="22"/>
        </w:rPr>
        <w:t xml:space="preserve"> Dairy fat. </w:t>
      </w:r>
      <w:r>
        <w:rPr>
          <w:rFonts w:ascii="Arial" w:cs="Arial" w:eastAsia="Arial" w:hAnsi="Arial"/>
          <w:b/>
          <w:bCs/>
          <w:sz w:val="22"/>
          <w:szCs w:val="22"/>
        </w:rPr>
        <w:t xml:space="preserve">Processing:</w:t>
      </w:r>
      <w:r>
        <w:rPr>
          <w:rFonts w:ascii="Arial" w:cs="Arial" w:eastAsia="Arial" w:hAnsi="Arial"/>
          <w:sz w:val="22"/>
          <w:szCs w:val="22"/>
        </w:rPr>
        <w:t xml:space="preserve"> Clarified from butter (milk solids removed). </w:t>
      </w:r>
      <w:r>
        <w:rPr>
          <w:rFonts w:ascii="Arial" w:cs="Arial" w:eastAsia="Arial" w:hAnsi="Arial"/>
          <w:b/>
          <w:bCs/>
          <w:sz w:val="22"/>
          <w:szCs w:val="22"/>
        </w:rPr>
        <w:t xml:space="preserve">Fatty Acid Profile:</w:t>
      </w:r>
      <w:r>
        <w:rPr>
          <w:rFonts w:ascii="Arial" w:cs="Arial" w:eastAsia="Arial" w:hAnsi="Arial"/>
          <w:sz w:val="22"/>
          <w:szCs w:val="22"/>
        </w:rPr>
        <w:t xml:space="preserve"> 63% SAFA, 26% MUFA (22% oleic), 4% PUFA. </w:t>
      </w:r>
      <w:r>
        <w:rPr>
          <w:rFonts w:ascii="Arial" w:cs="Arial" w:eastAsia="Arial" w:hAnsi="Arial"/>
          <w:b/>
          <w:bCs/>
          <w:sz w:val="22"/>
          <w:szCs w:val="22"/>
        </w:rPr>
        <w:t xml:space="preserve">Smoke Point:</w:t>
      </w:r>
      <w:r>
        <w:rPr>
          <w:rFonts w:ascii="Arial" w:cs="Arial" w:eastAsia="Arial" w:hAnsi="Arial"/>
          <w:sz w:val="22"/>
          <w:szCs w:val="22"/>
        </w:rPr>
        <w:t xml:space="preserve"> 252°C. </w:t>
      </w:r>
      <w:r>
        <w:rPr>
          <w:rFonts w:ascii="Arial" w:cs="Arial" w:eastAsia="Arial" w:hAnsi="Arial"/>
          <w:b/>
          <w:bCs/>
          <w:sz w:val="22"/>
          <w:szCs w:val="22"/>
        </w:rPr>
        <w:t xml:space="preserve">OSI:</w:t>
      </w:r>
      <w:r>
        <w:rPr>
          <w:rFonts w:ascii="Arial" w:cs="Arial" w:eastAsia="Arial" w:hAnsi="Arial"/>
          <w:sz w:val="22"/>
          <w:szCs w:val="22"/>
        </w:rPr>
        <w:t xml:space="preserve"> 15 hours. </w:t>
      </w:r>
      <w:r>
        <w:rPr>
          <w:rFonts w:ascii="Arial" w:cs="Arial" w:eastAsia="Arial" w:hAnsi="Arial"/>
          <w:b/>
          <w:bCs/>
          <w:sz w:val="22"/>
          <w:szCs w:val="22"/>
        </w:rPr>
        <w:t xml:space="preserve">Frying Life:</w:t>
      </w:r>
      <w:r>
        <w:rPr>
          <w:rFonts w:ascii="Arial" w:cs="Arial" w:eastAsia="Arial" w:hAnsi="Arial"/>
          <w:sz w:val="22"/>
          <w:szCs w:val="22"/>
        </w:rPr>
        <w:t xml:space="preserve"> ~230 cycles (L confidence). </w:t>
      </w:r>
      <w:r>
        <w:rPr>
          <w:rFonts w:ascii="Arial" w:cs="Arial" w:eastAsia="Arial" w:hAnsi="Arial"/>
          <w:b/>
          <w:bCs/>
          <w:sz w:val="22"/>
          <w:szCs w:val="22"/>
        </w:rPr>
        <w:t xml:space="preserve">Trans Fat:</w:t>
      </w:r>
      <w:r>
        <w:rPr>
          <w:rFonts w:ascii="Arial" w:cs="Arial" w:eastAsia="Arial" w:hAnsi="Arial"/>
          <w:sz w:val="22"/>
          <w:szCs w:val="22"/>
        </w:rPr>
        <w:t xml:space="preserve"> 3.0% (natural). </w:t>
      </w:r>
      <w:r>
        <w:rPr>
          <w:rFonts w:ascii="Arial" w:cs="Arial" w:eastAsia="Arial" w:hAnsi="Arial"/>
          <w:b/>
          <w:bCs/>
          <w:sz w:val="22"/>
          <w:szCs w:val="22"/>
        </w:rPr>
        <w:t xml:space="preserve">Price:</w:t>
      </w:r>
      <w:r>
        <w:rPr>
          <w:rFonts w:ascii="Arial" w:cs="Arial" w:eastAsia="Arial" w:hAnsi="Arial"/>
          <w:sz w:val="22"/>
          <w:szCs w:val="22"/>
        </w:rPr>
        <w:t xml:space="preserve"> ~$3,000/ton.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Health:</w:t>
      </w:r>
      <w:r>
        <w:rPr>
          <w:rFonts w:ascii="Arial" w:cs="Arial" w:eastAsia="Arial" w:hAnsi="Arial"/>
          <w:sz w:val="22"/>
          <w:szCs w:val="22"/>
        </w:rPr>
        <w:t xml:space="preserve"> Raises LDL-C significantly (63% SAFA). Contains butyrate (supports gut-brain axis, anti-inflammatory in the gut) and CLA. 3.0% natural trans fat is clinically significant. AHA recommends limiting. Ayurvedic medical tradition, conversely, considers ghee a health food—a genuine cultural and scientific disagreement. </w:t>
      </w:r>
      <w:r>
        <w:rPr>
          <w:rFonts w:ascii="Arial" w:cs="Arial" w:eastAsia="Arial" w:hAnsi="Arial"/>
          <w:b/>
          <w:bCs/>
          <w:sz w:val="22"/>
          <w:szCs w:val="22"/>
        </w:rPr>
        <w:t xml:space="preserve">Sustainability:</w:t>
      </w:r>
      <w:r>
        <w:rPr>
          <w:rFonts w:ascii="Arial" w:cs="Arial" w:eastAsia="Arial" w:hAnsi="Arial"/>
          <w:sz w:val="22"/>
          <w:szCs w:val="22"/>
        </w:rPr>
        <w:t xml:space="preserve"> Dairy industry byproduct. Methane and land use concerns from dairy production. </w:t>
      </w:r>
      <w:r>
        <w:rPr>
          <w:rFonts w:ascii="Arial" w:cs="Arial" w:eastAsia="Arial" w:hAnsi="Arial"/>
          <w:b/>
          <w:bCs/>
          <w:sz w:val="22"/>
          <w:szCs w:val="22"/>
        </w:rPr>
        <w:t xml:space="preserve">Best Applications:</w:t>
      </w:r>
      <w:r>
        <w:rPr>
          <w:rFonts w:ascii="Arial" w:cs="Arial" w:eastAsia="Arial" w:hAnsi="Arial"/>
          <w:sz w:val="22"/>
          <w:szCs w:val="22"/>
        </w:rPr>
        <w:t xml:space="preserve"> South Asian cuisine, pastry, high-heat searing. The 252°C smoke point and distinctive flavor make it valued in specific culinary traditions.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PRO TIP</w:t>
            </w:r>
          </w:p>
          <w:p>
            <w:pPr>
              <w:spacing w:after="0"/>
            </w:pPr>
            <w:r>
              <w:rPr>
                <w:rFonts w:ascii="Arial" w:cs="Arial" w:eastAsia="Arial" w:hAnsi="Arial"/>
                <w:sz w:val="21"/>
                <w:szCs w:val="21"/>
              </w:rPr>
              <w:t xml:space="preserve">The animal fat resurgence in professional kitchens reflects three converging forces: (1) the flavor argument—tallow and lard produce distinctively rich, savory fried food that seed oils cannot replicate; (2) the stability argument—low PUFA content means fewer oxidative degradation products; and (3) the anti-seed-oil cultural moment. The legitimate health trade-offs (elevated SAFA, clinically significant natural trans fats in tallow and ghee) must be disclosed and weighed honestly. An evidence-based kitchen acknowledges all three factors.</w:t>
            </w:r>
          </w:p>
        </w:tc>
      </w:tr>
    </w:tbl>
    <w:p>
      <w:pPr>
        <w:spacing w:after="120"/>
      </w:pPr>
    </w:p>
    <w:p>
      <w:r>
        <w:br w:type="page"/>
      </w:r>
    </w:p>
    <w:p>
      <w:pPr>
        <w:pStyle w:val="Heading2"/>
        <w:spacing w:before="360" w:after="180"/>
      </w:pPr>
      <w:r>
        <w:rPr>
          <w:rFonts w:ascii="Arial" w:cs="Arial" w:eastAsia="Arial" w:hAnsi="Arial"/>
          <w:b/>
          <w:bCs/>
          <w:sz w:val="28"/>
          <w:szCs w:val="28"/>
        </w:rPr>
        <w:t xml:space="preserve">Master Comparison Table — All 24 Oils Ranked by Frying Life</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2.1: Complete Comparison of All 24 Cooking Oils and Fats</w:t>
      </w:r>
      <w:r>
        <w:rPr>
          <w:rFonts w:ascii="Arial" w:cs="Arial" w:eastAsia="Arial" w:hAnsi="Arial"/>
          <w:sz w:val="22"/>
          <w:szCs w:val="22"/>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600"/>
        <w:gridCol w:w="1200"/>
        <w:gridCol w:w="800"/>
        <w:gridCol w:w="900"/>
        <w:gridCol w:w="70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Oil / Fat</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Smoke
(°C)</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OSI
(hrs)</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Fry
Cycles</w:t>
            </w:r>
          </w:p>
        </w:tc>
        <w:tc>
          <w:tcPr>
            <w:tcW w:type="dxa" w:w="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SAFA/MUFA
/PUFA</w:t>
            </w:r>
          </w:p>
        </w:tc>
        <w:tc>
          <w:tcPr>
            <w:tcW w:type="dxa" w:w="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ω-6:3</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Price
($/ton)</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GHG
(kg)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Palm Oil (OxG Col.)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37/52/10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HO Sunflower</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244</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101</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347</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9/82/9</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$1,350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Palm Olein (OxG Col.)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72.4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35/53/11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Beef Tallow</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280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50/42/4</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Byprod.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 Soybean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9/75/14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EVOO</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191</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45</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270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14/73/11</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$5,500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Palm Olein (Conv.)</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43/40/16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37:1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Coconut (Refined)</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87/6/2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N/A</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$1,100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Crude Palm Oil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50/39/11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$908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Ghee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63/26/4</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Byprod.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Peanut Oil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17/46/32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Coconut (Virgin)</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177</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87/6/2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N/A</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$1,200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Refined Olive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242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14/73/11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PKO</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82/15/3</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$1,100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Avocado (Refined)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12/71/14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Soybean Oil</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29</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187</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15/23/61</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7.3:1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$1,250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Lard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39/45/11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Byprod.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Rice Bran</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170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20/42/35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28:1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$1,500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Canola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7/63/30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Sesame (Refined)</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14/42/42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137:1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Corn Oil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13/28/55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3.8</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Sunflower (Conv.)</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227</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16.5</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107</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12/32/56</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104:1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$1,262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Cottonseed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26/18/52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Grapeseed</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216</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10/16/71</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233:1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3.0</w:t>
            </w:r>
          </w:p>
        </w:tc>
      </w:tr>
    </w:tbl>
    <w:p>
      <w:pPr>
        <w:spacing w:after="180" w:line="276"/>
      </w:pPr>
      <w:r>
        <w:rPr>
          <w:rFonts w:ascii="Arial" w:cs="Arial" w:eastAsia="Arial" w:hAnsi="Arial"/>
          <w:i/>
          <w:iCs/>
          <w:sz w:val="22"/>
          <w:szCs w:val="22"/>
        </w:rPr>
        <w:t xml:space="preserve">Sources: Fedepalma/UCaldas (2025); Guillaume et al. (2018); Yu et al. (2018); Dobarganes et al.; QAS&amp;F (2024); USDA FoodData Central; FAO; Alcock et al. (2022). H/M/L = confidence level for frying life estimate. Byprod. = byproduct (no dedicated agricultural footprint). Sorted by frying life, descending.</w:t>
      </w:r>
    </w:p>
    <w:p>
      <w:r>
        <w:br w:type="page"/>
      </w:r>
    </w:p>
    <w:p>
      <w:pPr>
        <w:pStyle w:val="Heading1"/>
        <w:spacing w:before="480" w:after="240"/>
      </w:pPr>
      <w:r>
        <w:rPr>
          <w:rFonts w:ascii="Arial" w:cs="Arial" w:eastAsia="Arial" w:hAnsi="Arial"/>
          <w:b/>
          <w:bCs/>
          <w:sz w:val="32"/>
          <w:szCs w:val="32"/>
        </w:rPr>
        <w:t xml:space="preserve">PART 3: FRYER TYPES — EQUIPMENT AND OIL LIFE</w:t>
      </w:r>
    </w:p>
    <w:p>
      <w:pPr>
        <w:spacing w:after="180" w:line="276"/>
      </w:pPr>
      <w:r>
        <w:rPr>
          <w:rFonts w:ascii="Arial" w:cs="Arial" w:eastAsia="Arial" w:hAnsi="Arial"/>
          <w:sz w:val="22"/>
          <w:szCs w:val="22"/>
        </w:rPr>
        <w:t xml:space="preserve">The type of fryer used in a kitchen is not merely an equipment choice—it is one of the primary determinants of oil degradation rate. This section covers every major fryer type in commercial foodservice, explaining how each affects oil life and what management practices each demands.</w:t>
      </w:r>
    </w:p>
    <w:p>
      <w:pPr>
        <w:pStyle w:val="Heading2"/>
        <w:spacing w:before="360" w:after="180"/>
      </w:pPr>
      <w:r>
        <w:rPr>
          <w:rFonts w:ascii="Arial" w:cs="Arial" w:eastAsia="Arial" w:hAnsi="Arial"/>
          <w:b/>
          <w:bCs/>
          <w:sz w:val="28"/>
          <w:szCs w:val="28"/>
        </w:rPr>
        <w:t xml:space="preserve">3.1 Open Vats — The Standard Commercial Fryer</w:t>
      </w:r>
    </w:p>
    <w:p>
      <w:pPr>
        <w:spacing w:after="180" w:line="276"/>
      </w:pPr>
      <w:r>
        <w:rPr>
          <w:rFonts w:ascii="Arial" w:cs="Arial" w:eastAsia="Arial" w:hAnsi="Arial"/>
          <w:sz w:val="22"/>
          <w:szCs w:val="22"/>
        </w:rPr>
        <w:t xml:space="preserve">Open vat fryers are the most common deep frying equipment in foodservice, ranging from countertop units holding 15–25 pounds of oil to floor-standing units holding 50+ pounds. They come in two primary heating configurations: </w:t>
      </w:r>
      <w:r>
        <w:rPr>
          <w:rFonts w:ascii="Arial" w:cs="Arial" w:eastAsia="Arial" w:hAnsi="Arial"/>
          <w:b/>
          <w:bCs/>
          <w:sz w:val="22"/>
          <w:szCs w:val="22"/>
        </w:rPr>
        <w:t xml:space="preserve">electric</w:t>
      </w:r>
      <w:r>
        <w:rPr>
          <w:rFonts w:ascii="Arial" w:cs="Arial" w:eastAsia="Arial" w:hAnsi="Arial"/>
          <w:sz w:val="22"/>
          <w:szCs w:val="22"/>
        </w:rPr>
        <w:t xml:space="preserve"> (with submerged heating elements) and </w:t>
      </w:r>
      <w:r>
        <w:rPr>
          <w:rFonts w:ascii="Arial" w:cs="Arial" w:eastAsia="Arial" w:hAnsi="Arial"/>
          <w:b/>
          <w:bCs/>
          <w:sz w:val="22"/>
          <w:szCs w:val="22"/>
        </w:rPr>
        <w:t xml:space="preserve">gas</w:t>
      </w:r>
      <w:r>
        <w:rPr>
          <w:rFonts w:ascii="Arial" w:cs="Arial" w:eastAsia="Arial" w:hAnsi="Arial"/>
          <w:sz w:val="22"/>
          <w:szCs w:val="22"/>
        </w:rPr>
        <w:t xml:space="preserve"> (with tube burners running through the oil tank). Gas burners create temperature gradients near the tubes, producing hotter zones that can locally overheat the oil and accelerate degradation even when the thermostat reads correctly. Electric elements generally produce more uniform heat distribution (Moreira et al.).</w:t>
      </w:r>
    </w:p>
    <w:p>
      <w:pPr>
        <w:spacing w:after="180" w:line="276"/>
      </w:pPr>
      <w:r>
        <w:rPr>
          <w:rFonts w:ascii="Arial" w:cs="Arial" w:eastAsia="Arial" w:hAnsi="Arial"/>
          <w:sz w:val="22"/>
          <w:szCs w:val="22"/>
        </w:rPr>
        <w:t xml:space="preserve">The </w:t>
      </w:r>
      <w:r>
        <w:rPr>
          <w:rFonts w:ascii="Arial" w:cs="Arial" w:eastAsia="Arial" w:hAnsi="Arial"/>
          <w:b/>
          <w:bCs/>
          <w:sz w:val="22"/>
          <w:szCs w:val="22"/>
        </w:rPr>
        <w:t xml:space="preserve">cold zone</w:t>
      </w:r>
      <w:r>
        <w:rPr>
          <w:rFonts w:ascii="Arial" w:cs="Arial" w:eastAsia="Arial" w:hAnsi="Arial"/>
          <w:sz w:val="22"/>
          <w:szCs w:val="22"/>
        </w:rPr>
        <w:t xml:space="preserve"> is the dead space below the heating elements where oil temperature is 60–80°C lower than the active frying zone. Its function is critical: food particles that detach during frying sink through the active zone and settle in the cold zone, where the lower temperature slows their carbonization and chemical interaction with the oil. In tube-bottom gas fryers, this cold zone is naturally present below the burner tubes. In flat-bottom electric fryers, it may be minimal or absent. Operators who understand and exploit the cold zone benefit from slower particle-driven degradation.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Surface-area-to-volume ratio</w:t>
      </w:r>
      <w:r>
        <w:rPr>
          <w:rFonts w:ascii="Arial" w:cs="Arial" w:eastAsia="Arial" w:hAnsi="Arial"/>
          <w:sz w:val="22"/>
          <w:szCs w:val="22"/>
        </w:rPr>
        <w:t xml:space="preserve"> is the key design variable for oxidative degradation. A wider, shallower fryer exposes more oil surface to atmospheric oxygen than a narrower, deeper one holding the same volume. Since auto-oxidation initiates at the oil-air interface, surface exposure directly drives oxidation rate. A fryer with twice the surface area degrades oil at roughly twice the rate under identical temperature and food-load conditions (Choe &amp; Min,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Idle oxidation: leaving open vats at operating temperature between service periods is one of the most expensive and damaging mistakes in foodservice. At 185°C with no food being fried, the oil is exposed to heat and oxygen with no productive output. Every hour of idle time at temperature is an hour of oil life burned for zero revenue. Protocol: reduce temperature to 120–130°C between services, or turn off and cover when idle periods exceed 30 minutes.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Fryers must be covered with fitted lids whenever not in active use. Covering reduces oxygen contact at the oil surface, slowing auto-oxidation measurably and extending oil life at near-zero cost.</w:t>
            </w:r>
          </w:p>
        </w:tc>
      </w:tr>
    </w:tbl>
    <w:p>
      <w:pPr>
        <w:spacing w:after="120"/>
      </w:pPr>
    </w:p>
    <w:p>
      <w:pPr>
        <w:pStyle w:val="Heading2"/>
        <w:spacing w:before="360" w:after="180"/>
      </w:pPr>
      <w:r>
        <w:rPr>
          <w:rFonts w:ascii="Arial" w:cs="Arial" w:eastAsia="Arial" w:hAnsi="Arial"/>
          <w:b/>
          <w:bCs/>
          <w:sz w:val="28"/>
          <w:szCs w:val="28"/>
        </w:rPr>
        <w:t xml:space="preserve">3.2 Pressure Fryers</w:t>
      </w:r>
    </w:p>
    <w:p>
      <w:pPr>
        <w:spacing w:after="180" w:line="276"/>
      </w:pPr>
      <w:r>
        <w:rPr>
          <w:rFonts w:ascii="Arial" w:cs="Arial" w:eastAsia="Arial" w:hAnsi="Arial"/>
          <w:sz w:val="22"/>
          <w:szCs w:val="22"/>
        </w:rPr>
        <w:t xml:space="preserve">Pressure fryers seal the frying vessel during cooking, creating a pressurized environment (typically 10–15 psi above atmospheric). This changes the physics of frying in several important ways: lower evaporation rate (less steam escapes through the oil surface), higher moisture retention in food (juicier results), and significantly reduced hydrolytic degradation because less water vapor interacts with the oil at the surface (Saguy &amp; Dana, 2003).</w:t>
      </w:r>
    </w:p>
    <w:p>
      <w:pPr>
        <w:spacing w:after="180" w:line="276"/>
      </w:pPr>
      <w:r>
        <w:rPr>
          <w:rFonts w:ascii="Arial" w:cs="Arial" w:eastAsia="Arial" w:hAnsi="Arial"/>
          <w:sz w:val="22"/>
          <w:szCs w:val="22"/>
        </w:rPr>
        <w:t xml:space="preserve">Pressure fryers extend oil life primarily by reducing hydrolysis—the dominant degradation pathway in high-moisture frying. They are the standard equipment for bone-in chicken operations (KFC popularized this technology because pressure frying is the only way to cook through thick bone-in pieces within commercial time constraints). Trade-offs include: harder to filter (sealed design limits access), harder to monitor oil quality during operation, restricted access during cooking for safety, and specialized training requirements for lid locks, pressure gauges, and vent protocols.</w:t>
      </w:r>
    </w:p>
    <w:p>
      <w:pPr>
        <w:pStyle w:val="Heading2"/>
        <w:spacing w:before="360" w:after="180"/>
      </w:pPr>
      <w:r>
        <w:rPr>
          <w:rFonts w:ascii="Arial" w:cs="Arial" w:eastAsia="Arial" w:hAnsi="Arial"/>
          <w:b/>
          <w:bCs/>
          <w:sz w:val="28"/>
          <w:szCs w:val="28"/>
        </w:rPr>
        <w:t xml:space="preserve">3.3 Continuous and Conveyor Fryers</w:t>
      </w:r>
    </w:p>
    <w:p>
      <w:pPr>
        <w:spacing w:after="180" w:line="276"/>
      </w:pPr>
      <w:r>
        <w:rPr>
          <w:rFonts w:ascii="Arial" w:cs="Arial" w:eastAsia="Arial" w:hAnsi="Arial"/>
          <w:sz w:val="22"/>
          <w:szCs w:val="22"/>
        </w:rPr>
        <w:t xml:space="preserve">In continuous fryers, product moves through a channel of oil at controlled speed and temperature rather than being batch-submerged. This design is standard in snack food manufacturing (chips, crackers), frozen food processing, and high-volume QSR chains. The key advantage is oil turnover rate: high food throughput means oil is continuously replenished through top-offs, diluting degradation products and introducing fresh antioxidants constantly. Oil quality in well-managed continuous systems is often better than batch fryers despite higher total throughput. However, operators must still monitor TPM—turnover rate is not a substitute for testing (Li et al., 2019/2021).</w:t>
      </w:r>
    </w:p>
    <w:p>
      <w:pPr>
        <w:pStyle w:val="Heading2"/>
        <w:spacing w:before="360" w:after="180"/>
      </w:pPr>
      <w:r>
        <w:rPr>
          <w:rFonts w:ascii="Arial" w:cs="Arial" w:eastAsia="Arial" w:hAnsi="Arial"/>
          <w:b/>
          <w:bCs/>
          <w:sz w:val="28"/>
          <w:szCs w:val="28"/>
        </w:rPr>
        <w:t xml:space="preserve">3.4 Air Fryers — Commercial Scale</w:t>
      </w:r>
    </w:p>
    <w:p>
      <w:pPr>
        <w:spacing w:after="180" w:line="276"/>
      </w:pPr>
      <w:r>
        <w:rPr>
          <w:rFonts w:ascii="Arial" w:cs="Arial" w:eastAsia="Arial" w:hAnsi="Arial"/>
          <w:sz w:val="22"/>
          <w:szCs w:val="22"/>
        </w:rPr>
        <w:t xml:space="preserve">Commercial air fryers use forced convection at high temperature (180–200°C) with minimal or sprayed oil—not immersion frying. The Maillard reaction still occurs (browning, crispness) but the degradation pathway is fundamentally different: there is no shared oil bath, so contamination and cross-contact work differently. Oil that contacts food is not recirculated through a common reservoir. The trade-offs: dramatically lower fat absorption (70–80% less than deep frying), but less thermal sterilization and different texture profiles. Growing presence in hospital and institutional foodservice, ghost kitchens, and health-forward QSR operations.</w:t>
      </w:r>
    </w:p>
    <w:p>
      <w:pPr>
        <w:pStyle w:val="Heading2"/>
        <w:spacing w:before="360" w:after="180"/>
      </w:pPr>
      <w:r>
        <w:rPr>
          <w:rFonts w:ascii="Arial" w:cs="Arial" w:eastAsia="Arial" w:hAnsi="Arial"/>
          <w:b/>
          <w:bCs/>
          <w:sz w:val="28"/>
          <w:szCs w:val="28"/>
        </w:rPr>
        <w:t xml:space="preserve">3.5 Countertop and Tabletop Fryers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COMMON MISTAKE</w:t>
            </w:r>
          </w:p>
          <w:p>
            <w:pPr>
              <w:spacing w:after="0"/>
            </w:pPr>
            <w:r>
              <w:rPr>
                <w:rFonts w:ascii="Arial" w:cs="Arial" w:eastAsia="Arial" w:hAnsi="Arial"/>
                <w:sz w:val="21"/>
                <w:szCs w:val="21"/>
              </w:rPr>
              <w:t xml:space="preserve">Countertop fryers are the worst-managed fryers in the industry. Their small volume creates false confidence: operators assume a small fryer means a small problem. In reality, the food-mass-to-oil-volume ratio is often higher in small fryers (the same food load in less oil), meaning proportionally faster degradation. Temperature recovery time is longer after each batch, causing temperature oscillation that stresses the oil. These fryers are common in hotel breakfasts, cafes, food trucks, and small independents—often the least monitored operations.</w:t>
            </w:r>
          </w:p>
        </w:tc>
      </w:tr>
    </w:tbl>
    <w:p>
      <w:pPr>
        <w:spacing w:after="120"/>
      </w:pPr>
    </w:p>
    <w:p>
      <w:pPr>
        <w:pStyle w:val="Heading2"/>
        <w:spacing w:before="360" w:after="180"/>
      </w:pPr>
      <w:r>
        <w:rPr>
          <w:rFonts w:ascii="Arial" w:cs="Arial" w:eastAsia="Arial" w:hAnsi="Arial"/>
          <w:b/>
          <w:bCs/>
          <w:sz w:val="28"/>
          <w:szCs w:val="28"/>
        </w:rPr>
        <w:t xml:space="preserve">3.6 Induction Fryers</w:t>
      </w:r>
    </w:p>
    <w:p>
      <w:pPr>
        <w:spacing w:after="180" w:line="276"/>
      </w:pPr>
      <w:r>
        <w:rPr>
          <w:rFonts w:ascii="Arial" w:cs="Arial" w:eastAsia="Arial" w:hAnsi="Arial"/>
          <w:sz w:val="22"/>
          <w:szCs w:val="22"/>
        </w:rPr>
        <w:t xml:space="preserve">Induction fryers use electromagnetic heating to produce superior thermal uniformity compared to gas or conventional electric. With no flame or heating element in direct contact with the oil, there are no hot spots and no localized overheating events. Precision temperature control (±1°C in some units) means the oil is never subjected to temperature excursions. Energy efficiency is typically 85–90% (vs. 40–50% for gas). Growing adoption in fine dining, ghost kitchens, and hospital kitchens where precision and safety are priorities.</w:t>
      </w:r>
    </w:p>
    <w:p>
      <w:pPr>
        <w:pStyle w:val="Heading2"/>
        <w:spacing w:before="360" w:after="180"/>
      </w:pPr>
      <w:r>
        <w:rPr>
          <w:rFonts w:ascii="Arial" w:cs="Arial" w:eastAsia="Arial" w:hAnsi="Arial"/>
          <w:b/>
          <w:bCs/>
          <w:sz w:val="28"/>
          <w:szCs w:val="28"/>
        </w:rPr>
        <w:t xml:space="preserve">3.7 Fryer Design Variables That Affect Oil Life — Synthesis</w:t>
      </w:r>
    </w:p>
    <w:p>
      <w:pPr>
        <w:spacing w:after="180" w:line="276"/>
      </w:pPr>
      <w:r>
        <w:rPr>
          <w:rFonts w:ascii="Arial" w:cs="Arial" w:eastAsia="Arial" w:hAnsi="Arial"/>
          <w:sz w:val="22"/>
          <w:szCs w:val="22"/>
        </w:rPr>
        <w:t xml:space="preserve">Seven design variables determine how quickly a fryer degrades oil: (1) surface-area-to-volume ratio (larger surface = more oxidation); (2) heat source uniformity (induction &gt; electric &gt; gas); (3) cold zone presence and depth (deeper = better particle management); (4) thermal mass (larger oil volume buffers temperature swings); (5) cover availability (covered between services = dramatically slower oxidation); (6) vessel material (stainless steel outperforms alternatives; copper and cast iron introduce trace metals that catalyze oxidation); and (7) filtration access (built-in pump &gt; portable unit &gt; manual gravity).</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3.1: Fryer Type Comparison</w:t>
      </w:r>
      <w:r>
        <w:rPr>
          <w:rFonts w:ascii="Arial" w:cs="Arial" w:eastAsia="Arial" w:hAnsi="Arial"/>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Fryer Type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Degradation Risk</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Oil Life Impact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Mgmt Priority</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Filter Freq.</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Open Vat (Gas)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Every service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Open Vat (Electric)</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Moderate-High</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Every 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Pressure Fryer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Low-Moderate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Positive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Daily min.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Continuous/Conveyor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Positive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Medium</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Continuous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Countertop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Negative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Every service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Induction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Positive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Daily 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Air Fryer (Commercial)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Minimal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 (no bath)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w:t>
            </w:r>
          </w:p>
        </w:tc>
      </w:tr>
    </w:tbl>
    <w:p>
      <w:pPr>
        <w:spacing w:after="120"/>
      </w:pPr>
    </w:p>
    <w:p>
      <w:r>
        <w:br w:type="page"/>
      </w:r>
    </w:p>
    <w:p>
      <w:pPr>
        <w:pStyle w:val="Heading1"/>
        <w:spacing w:before="480" w:after="240"/>
      </w:pPr>
      <w:r>
        <w:rPr>
          <w:rFonts w:ascii="Arial" w:cs="Arial" w:eastAsia="Arial" w:hAnsi="Arial"/>
          <w:b/>
          <w:bCs/>
          <w:sz w:val="32"/>
          <w:szCs w:val="32"/>
        </w:rPr>
        <w:t xml:space="preserve">PART 4: INGREDIENT VARIABLES AND WATER CONTENT</w:t>
      </w:r>
    </w:p>
    <w:p>
      <w:pPr>
        <w:spacing w:after="180" w:line="276"/>
      </w:pPr>
      <w:r>
        <w:rPr>
          <w:rFonts w:ascii="Arial" w:cs="Arial" w:eastAsia="Arial" w:hAnsi="Arial"/>
          <w:sz w:val="22"/>
          <w:szCs w:val="22"/>
        </w:rPr>
        <w:t xml:space="preserve">This is one of the most underappreciated topics in professional oil management. What you fry matters as much as what you fry in. This section explains how different foods interact with frying oil and which ingredients accelerate degradation most aggressively.</w:t>
      </w:r>
    </w:p>
    <w:p>
      <w:pPr>
        <w:pStyle w:val="Heading2"/>
        <w:spacing w:before="360" w:after="180"/>
      </w:pPr>
      <w:r>
        <w:rPr>
          <w:rFonts w:ascii="Arial" w:cs="Arial" w:eastAsia="Arial" w:hAnsi="Arial"/>
          <w:b/>
          <w:bCs/>
          <w:sz w:val="28"/>
          <w:szCs w:val="28"/>
        </w:rPr>
        <w:t xml:space="preserve">4.1 The Physics of What Happens When Food Enters Hot Oil</w:t>
      </w:r>
    </w:p>
    <w:p>
      <w:pPr>
        <w:spacing w:after="180" w:line="276"/>
      </w:pPr>
      <w:r>
        <w:rPr>
          <w:rFonts w:ascii="Arial" w:cs="Arial" w:eastAsia="Arial" w:hAnsi="Arial"/>
          <w:sz w:val="22"/>
          <w:szCs w:val="22"/>
        </w:rPr>
        <w:t xml:space="preserve">The moment food enters 175–90°C oil, surface moisture vaporizes instantly, producing the violent bubbling characteristic of frying. This surface steam temporarily displaces oxygen at the oil surface (briefly protective) but introduces massive water into the oil body (hydrolytically damaging). As cooking proceeds, internal moisture migrates outward, the Maillard crust forms and reduces further moisture loss, and eventually the food reaches thermal equilibrium. The first 60–90 seconds of frying—when water expulsion is most violent—are the most degrading to oil per unit time (Saguy &amp; Dana, 2003).</w:t>
      </w:r>
    </w:p>
    <w:p>
      <w:pPr>
        <w:pStyle w:val="Heading2"/>
        <w:spacing w:before="360" w:after="180"/>
      </w:pPr>
      <w:r>
        <w:rPr>
          <w:rFonts w:ascii="Arial" w:cs="Arial" w:eastAsia="Arial" w:hAnsi="Arial"/>
          <w:b/>
          <w:bCs/>
          <w:sz w:val="28"/>
          <w:szCs w:val="28"/>
        </w:rPr>
        <w:t xml:space="preserve">4.2 Moisture Content by Food Category</w:t>
      </w:r>
    </w:p>
    <w:p>
      <w:pPr>
        <w:pStyle w:val="Heading3"/>
        <w:spacing w:before="240" w:after="120"/>
      </w:pPr>
      <w:r>
        <w:rPr>
          <w:rFonts w:ascii="Arial" w:cs="Arial" w:eastAsia="Arial" w:hAnsi="Arial"/>
          <w:b/>
          <w:bCs/>
          <w:sz w:val="24"/>
          <w:szCs w:val="24"/>
        </w:rPr>
        <w:t xml:space="preserve">Proteins — Chicken</w:t>
      </w:r>
    </w:p>
    <w:p>
      <w:pPr>
        <w:spacing w:after="180" w:line="276"/>
      </w:pPr>
      <w:r>
        <w:rPr>
          <w:rFonts w:ascii="Arial" w:cs="Arial" w:eastAsia="Arial" w:hAnsi="Arial"/>
          <w:sz w:val="22"/>
          <w:szCs w:val="22"/>
        </w:rPr>
        <w:t xml:space="preserve">Whole bone-in chicken introduces bone marrow and bone minerals into oil; phospholipids from bone tissue are hydrolysis accelerants. Skin-on pieces render skin fat into the oil, changing its composition over time. Breaded chicken introduces 3× the particle load of unbreaded, as coating fragments detach and carbonize. Marinated chicken poses additional challenges: acid marinades (buttermilk, hot sauce, vinegar) directly promote hydrolysis; sugar-based marinades (honey, teriyaki) caramelize rapidly in oil, producing suspended carbon and Maillard byproducts.</w:t>
      </w:r>
    </w:p>
    <w:p>
      <w:pPr>
        <w:pStyle w:val="Heading3"/>
        <w:spacing w:before="240" w:after="120"/>
      </w:pPr>
      <w:r>
        <w:rPr>
          <w:rFonts w:ascii="Arial" w:cs="Arial" w:eastAsia="Arial" w:hAnsi="Arial"/>
          <w:b/>
          <w:bCs/>
          <w:sz w:val="24"/>
          <w:szCs w:val="24"/>
        </w:rPr>
        <w:t xml:space="preserve">Proteins — Fish and Seafood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Fish and seafood are the single most damaging protein category for frying oil. Fish flesh contains 20–30% omega-3 PUFA. When these highly unstable fatty acids migrate into frying oil, they introduce oxidation-prone molecules that accelerate the oxidative chain reaction for all subsequent food. Even one batch of fried fish can measurably degrade a shared oil load and transfer fishy off-flavors to everything fried afterward. A DEDICATED FRYER FOR FISH AND SEAFOOD IS AN OPERATIONAL REQUIREMENT, NOT A PREFERENCE (Choe &amp; Min, 2007).</w:t>
            </w:r>
          </w:p>
        </w:tc>
      </w:tr>
    </w:tbl>
    <w:p>
      <w:pPr>
        <w:spacing w:after="120"/>
      </w:pPr>
    </w:p>
    <w:p>
      <w:pPr>
        <w:spacing w:after="180" w:line="276"/>
      </w:pPr>
      <w:r>
        <w:rPr>
          <w:rFonts w:ascii="Arial" w:cs="Arial" w:eastAsia="Arial" w:hAnsi="Arial"/>
          <w:sz w:val="22"/>
          <w:szCs w:val="22"/>
        </w:rPr>
        <w:t xml:space="preserve">Shellfish add concerns: shell fragments (calcium carbonate) introduce minerals that can catalyze oxidation, and the high moisture content of shrimp, calamari, and other shellfish maximizes hydrolytic stress. The flavor transfer problem is acute—oxidation products from fish PUFA are volatile and will permeate the flavor of French fries, chicken, or any other food fried in the same oil afterward.</w:t>
      </w:r>
    </w:p>
    <w:p>
      <w:pPr>
        <w:pStyle w:val="Heading3"/>
        <w:spacing w:before="240" w:after="120"/>
      </w:pPr>
      <w:r>
        <w:rPr>
          <w:rFonts w:ascii="Arial" w:cs="Arial" w:eastAsia="Arial" w:hAnsi="Arial"/>
          <w:b/>
          <w:bCs/>
          <w:sz w:val="24"/>
          <w:szCs w:val="24"/>
        </w:rPr>
        <w:t xml:space="preserve">Starches — Potatoes and Fries</w:t>
      </w:r>
    </w:p>
    <w:p>
      <w:pPr>
        <w:spacing w:after="180" w:line="276"/>
      </w:pPr>
      <w:r>
        <w:rPr>
          <w:rFonts w:ascii="Arial" w:cs="Arial" w:eastAsia="Arial" w:hAnsi="Arial"/>
          <w:sz w:val="22"/>
          <w:szCs w:val="22"/>
        </w:rPr>
        <w:t xml:space="preserve">Fresh-cut fries carry approximately 80% water content, high reducing sugars (fructose, glucose), and starch that gelatinizes and releases steam continuously during frying. The dextrose paradox: commercially frozen fries are often coated with dextrose for uniform golden color, but this added sugar caramelizes rapidly in oil, producing darkening and suspended carbon. Par-cooked frozen fries introduce significantly less moisture and degradation than raw fresh-cut because the par-cooking step has already driven off much of the surface moisture. The sugar content of the potato variety matters: higher reducing sugars produce faster oil darkening and more Maillard byproducts (Saguy &amp; Dana, 2003).</w:t>
      </w:r>
    </w:p>
    <w:p>
      <w:pPr>
        <w:pStyle w:val="Heading3"/>
        <w:spacing w:before="240" w:after="120"/>
      </w:pPr>
      <w:r>
        <w:rPr>
          <w:rFonts w:ascii="Arial" w:cs="Arial" w:eastAsia="Arial" w:hAnsi="Arial"/>
          <w:b/>
          <w:bCs/>
          <w:sz w:val="24"/>
          <w:szCs w:val="24"/>
        </w:rPr>
        <w:t xml:space="preserve">Batters and Breading Systems</w:t>
      </w:r>
    </w:p>
    <w:p>
      <w:pPr>
        <w:spacing w:after="180" w:line="276"/>
      </w:pPr>
      <w:r>
        <w:rPr>
          <w:rFonts w:ascii="Arial" w:cs="Arial" w:eastAsia="Arial" w:hAnsi="Arial"/>
          <w:sz w:val="22"/>
          <w:szCs w:val="22"/>
        </w:rPr>
        <w:t xml:space="preserve">Tempura (thin, water-based) introduces large water volumes at entry with rapid steam release but minimal post-fry particle load. Beer batter creates internal steam pockets from CO₂ that accelerate cooking. Thick Southern-style coatings retain maximum moisture and shed maximum particles—the highest degradation impact per cycle. Panko breadcrumbs shed large, visible particles (easy to skim); fine breadcrumbs create fine carbon suspensions that are harder to filter and act as distributed oxidation catalysts. Seasoned flour coatings introduce salt directly into oil—a critical concern addressed below.</w:t>
      </w:r>
    </w:p>
    <w:p>
      <w:pPr>
        <w:pStyle w:val="Heading3"/>
        <w:spacing w:before="240" w:after="120"/>
      </w:pPr>
      <w:r>
        <w:rPr>
          <w:rFonts w:ascii="Arial" w:cs="Arial" w:eastAsia="Arial" w:hAnsi="Arial"/>
          <w:b/>
          <w:bCs/>
          <w:sz w:val="24"/>
          <w:szCs w:val="24"/>
        </w:rPr>
        <w:t xml:space="preserve">Frozen Products</w:t>
      </w:r>
    </w:p>
    <w:p>
      <w:pPr>
        <w:spacing w:after="180" w:line="276"/>
      </w:pPr>
      <w:r>
        <w:rPr>
          <w:rFonts w:ascii="Arial" w:cs="Arial" w:eastAsia="Arial" w:hAnsi="Arial"/>
          <w:sz w:val="22"/>
          <w:szCs w:val="22"/>
        </w:rPr>
        <w:t xml:space="preserve">Frozen items are among the most damaging to oil for three compounding reasons: (a) surface ice crystals introduce massive water volume instantly—more violent boiling than any fresh equivalent; (b) thermal shock drops oil temperature sharply, extending frying time and increasing oil absorption; (c) the violent boiling aerates the oil, introducing oxygen into the body of the oil rather than just at the surface. The basket overload + frozen product combination is the single most damaging operational scenario: a full basket of frozen product can drop oil temperature by 30–50°C, with recovery taking 5–10 minutes, during which every degradation pathway is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Never overload baskets with frozen product. Maximum fill: 60% of basket capacity for frozen items. Allow oil to return to set temperature between batches. Where possible, temper frozen items (move from freezer to refrigerator 30–60 minutes before frying) to reduce surface ice and thermal shock.</w:t>
            </w:r>
          </w:p>
        </w:tc>
      </w:tr>
    </w:tbl>
    <w:p>
      <w:pPr>
        <w:spacing w:after="120"/>
      </w:pPr>
    </w:p>
    <w:p>
      <w:pPr>
        <w:pStyle w:val="Heading3"/>
        <w:spacing w:before="240" w:after="120"/>
      </w:pPr>
      <w:r>
        <w:rPr>
          <w:rFonts w:ascii="Arial" w:cs="Arial" w:eastAsia="Arial" w:hAnsi="Arial"/>
          <w:b/>
          <w:bCs/>
          <w:sz w:val="24"/>
          <w:szCs w:val="24"/>
        </w:rPr>
        <w:t xml:space="preserve">Salt — The Most Universally Mismanaged Contamination</w:t>
      </w:r>
    </w:p>
    <w:p>
      <w:pPr>
        <w:spacing w:after="180" w:line="276"/>
      </w:pPr>
      <w:r>
        <w:rPr>
          <w:rFonts w:ascii="Arial" w:cs="Arial" w:eastAsia="Arial" w:hAnsi="Arial"/>
          <w:sz w:val="22"/>
          <w:szCs w:val="22"/>
        </w:rPr>
        <w:t xml:space="preserve">Salt (NaCl) dissociates in trace moisture at the oil surface, forming ionic species that catalyze hydrolysis and promote oxidation via metal-ion-like effects. The direct path: salting food above or near the fryer allows salt crystals to fall directly into oil. The indirect path: salt on hands, utensils, and surfaces reaches oil via splash and contact. Studies confirm that salted fryer oil degrades measurably faster than unsalted at identical temperatures and food loads (Choe &amp; Min,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Salt always at the pass, never above the fryer. This rule is non-negotiable for certification. Salt stations must be physically separated from fryer stations. Post signs. Enforce daily. The cost of compliance is zero; the cost of non-compliance compounds with every service period.</w:t>
            </w:r>
          </w:p>
        </w:tc>
      </w:tr>
    </w:tbl>
    <w:p>
      <w:pPr>
        <w:spacing w:after="120"/>
      </w:pPr>
    </w:p>
    <w:p>
      <w:pPr>
        <w:pStyle w:val="Heading2"/>
        <w:spacing w:before="360" w:after="180"/>
      </w:pPr>
      <w:r>
        <w:rPr>
          <w:rFonts w:ascii="Arial" w:cs="Arial" w:eastAsia="Arial" w:hAnsi="Arial"/>
          <w:b/>
          <w:bCs/>
          <w:sz w:val="28"/>
          <w:szCs w:val="28"/>
        </w:rPr>
        <w:t xml:space="preserve">4.3 Water Activity vs. Total Moisture Content</w:t>
      </w:r>
    </w:p>
    <w:p>
      <w:pPr>
        <w:spacing w:after="180" w:line="276"/>
      </w:pPr>
      <w:r>
        <w:rPr>
          <w:rFonts w:ascii="Arial" w:cs="Arial" w:eastAsia="Arial" w:hAnsi="Arial"/>
          <w:sz w:val="22"/>
          <w:szCs w:val="22"/>
        </w:rPr>
        <w:t xml:space="preserve">Total moisture is the percentage of water in a food by weight. Water activity (Aw) is the availability of that water to participate in chemical reactions—a more meaningful predictor of hydrolytic degradation. High-Aw foods (fresh proteins, raw vegetables, Aw &gt; 0.95) cause more hydrolysis than low-Aw foods of similar total moisture (dried coatings, pre-dehydrated items, Aw &lt; 0.7). Practical implication: lower-Aw pre-treatment (surface drying, salting/drawing moisture, resting after marination) measurably reduces oil degradation per fry cycle.</w:t>
      </w:r>
    </w:p>
    <w:p>
      <w:pPr>
        <w:pStyle w:val="Heading2"/>
        <w:spacing w:before="360" w:after="180"/>
      </w:pPr>
      <w:r>
        <w:rPr>
          <w:rFonts w:ascii="Arial" w:cs="Arial" w:eastAsia="Arial" w:hAnsi="Arial"/>
          <w:b/>
          <w:bCs/>
          <w:sz w:val="28"/>
          <w:szCs w:val="28"/>
        </w:rPr>
        <w:t xml:space="preserve">4.4 The Ingredient Interaction Matrix</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4.1: Food Category Impact on Frying Oil</w:t>
      </w:r>
      <w:r>
        <w:rPr>
          <w:rFonts w:ascii="Arial" w:cs="Arial" w:eastAsia="Arial" w:hAnsi="Arial"/>
          <w:sz w:val="22"/>
          <w:szCs w:val="22"/>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300"/>
        <w:gridCol w:w="180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Food Category</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Water Activity</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Dominant Pathway</w:t>
            </w:r>
          </w:p>
        </w:tc>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Oil Life Impact</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Isolation Level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Fish / Seafood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High (&gt;0.97)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Oxidation + Hydrolysis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Severe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DEDICATED fryer</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Bone-in Chicken</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 (0.95–0.97)</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Hydrolysis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Separate if possible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Frozen Products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High (ice)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Hydrolysis + Aeration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Manage load size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Battered Items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 (0.93–0.97)</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Hydrolysis + Particles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Filter after service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Fresh-Cut Potatoes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 (0.97–0.99)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Hydrolysis + Sugar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Moderate-High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Shared OK w/ mgmt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Par-Cooked Frozen Fries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 (0.85–0.93)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 Hydrolysis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Shared OK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Donuts / Sweet Batters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Polymerization (sugar)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DEDICATED fryer</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Vegetables (Tempura)</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 (0.95+)</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Hydrolysis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Moderate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Shared OK w/ mgmt</w:t>
            </w:r>
          </w:p>
        </w:tc>
      </w:tr>
    </w:tbl>
    <w:p>
      <w:pPr>
        <w:spacing w:after="120"/>
      </w:pPr>
    </w:p>
    <w:p>
      <w:r>
        <w:br w:type="page"/>
      </w:r>
    </w:p>
    <w:p>
      <w:pPr>
        <w:pStyle w:val="Heading1"/>
        <w:spacing w:before="480" w:after="240"/>
      </w:pPr>
      <w:r>
        <w:rPr>
          <w:rFonts w:ascii="Arial" w:cs="Arial" w:eastAsia="Arial" w:hAnsi="Arial"/>
          <w:b/>
          <w:bCs/>
          <w:sz w:val="32"/>
          <w:szCs w:val="32"/>
        </w:rPr>
        <w:t xml:space="preserve">PART 5: ALL CAUSES OF OIL DEGRADATION</w:t>
      </w:r>
    </w:p>
    <w:p>
      <w:pPr>
        <w:spacing w:after="180" w:line="276"/>
      </w:pPr>
      <w:r>
        <w:rPr>
          <w:rFonts w:ascii="Arial" w:cs="Arial" w:eastAsia="Arial" w:hAnsi="Arial"/>
          <w:sz w:val="22"/>
          <w:szCs w:val="22"/>
        </w:rPr>
        <w:t xml:space="preserve">This is the master diagnostic section. Every degradation cause is explained with its mechanism, quantified impact, reversibility, and specific prevention protocol.</w:t>
      </w:r>
    </w:p>
    <w:p>
      <w:pPr>
        <w:pStyle w:val="Heading2"/>
        <w:spacing w:before="360" w:after="180"/>
      </w:pPr>
      <w:r>
        <w:rPr>
          <w:rFonts w:ascii="Arial" w:cs="Arial" w:eastAsia="Arial" w:hAnsi="Arial"/>
          <w:b/>
          <w:bCs/>
          <w:sz w:val="28"/>
          <w:szCs w:val="28"/>
        </w:rPr>
        <w:t xml:space="preserve">5.1 Heat — Primary Driver</w:t>
      </w:r>
    </w:p>
    <w:p>
      <w:pPr>
        <w:spacing w:after="180" w:line="276"/>
      </w:pPr>
      <w:r>
        <w:rPr>
          <w:rFonts w:ascii="Arial" w:cs="Arial" w:eastAsia="Arial" w:hAnsi="Arial"/>
          <w:sz w:val="22"/>
          <w:szCs w:val="22"/>
        </w:rPr>
        <w:t xml:space="preserve">The Arrhenius equation, simplified for kitchen professionals: every 10°C rise in temperature approximately doubles the rate of oil degradation. Operating at 190°C instead of 175°C does not just add 15 degrees—it roughly triples the degradation rate. Leaving fryers at full operating temperature between rushes degrades more oil, in low-volume operations, than the frying itself. A single overheating excursion above 230°C can reduce remaining oil life by 30–50% through flash destruction of antioxidant reserves and initiation of polymerization (Saguy &amp; Dana, 2003; Choe &amp; Min,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Thermostat accuracy must be verified within ±5°C using an independent probe thermometer at least weekly. Calibration records must be maintained in the Oil Log. Fryer temperature must be reduced to 120–130°C or turned off during idle periods exceeding 30 minutes.</w:t>
            </w:r>
          </w:p>
        </w:tc>
      </w:tr>
    </w:tbl>
    <w:p>
      <w:pPr>
        <w:spacing w:after="120"/>
      </w:pPr>
    </w:p>
    <w:p>
      <w:pPr>
        <w:pStyle w:val="Heading2"/>
        <w:spacing w:before="360" w:after="180"/>
      </w:pPr>
      <w:r>
        <w:rPr>
          <w:rFonts w:ascii="Arial" w:cs="Arial" w:eastAsia="Arial" w:hAnsi="Arial"/>
          <w:b/>
          <w:bCs/>
          <w:sz w:val="28"/>
          <w:szCs w:val="28"/>
        </w:rPr>
        <w:t xml:space="preserve">5.2 Water and Moisture</w:t>
      </w:r>
    </w:p>
    <w:p>
      <w:pPr>
        <w:spacing w:after="180" w:line="276"/>
      </w:pPr>
      <w:r>
        <w:rPr>
          <w:rFonts w:ascii="Arial" w:cs="Arial" w:eastAsia="Arial" w:hAnsi="Arial"/>
          <w:sz w:val="22"/>
          <w:szCs w:val="22"/>
        </w:rPr>
        <w:t xml:space="preserve">Covered comprehensively in Part 4. Operationally: the most overlooked water source is residual moisture after fryer cleaning. Boil-outs leave trace water in the vessel if not fully dried—this water immediately hydrolyzes fresh oil when added. Condensation from kitchen steam landing in uncovered fryers is another unrecognized source. Protocol: always preheat the empty fryer and allow any residual moisture to fully evaporate before adding oil.</w:t>
      </w:r>
    </w:p>
    <w:p>
      <w:pPr>
        <w:pStyle w:val="Heading2"/>
        <w:spacing w:before="360" w:after="180"/>
      </w:pPr>
      <w:r>
        <w:rPr>
          <w:rFonts w:ascii="Arial" w:cs="Arial" w:eastAsia="Arial" w:hAnsi="Arial"/>
          <w:b/>
          <w:bCs/>
          <w:sz w:val="28"/>
          <w:szCs w:val="28"/>
        </w:rPr>
        <w:t xml:space="preserve">5.3 Oxygen and Surface Exposure</w:t>
      </w:r>
    </w:p>
    <w:p>
      <w:pPr>
        <w:spacing w:after="180" w:line="276"/>
      </w:pPr>
      <w:r>
        <w:rPr>
          <w:rFonts w:ascii="Arial" w:cs="Arial" w:eastAsia="Arial" w:hAnsi="Arial"/>
          <w:sz w:val="22"/>
          <w:szCs w:val="22"/>
        </w:rPr>
        <w:t xml:space="preserve">Auto-oxidation is a surface-initiated process. The surface-area-to-volume ratio of the fryer directly determines the oxidation rate. Foam compounds this: foam traps air into the oil body, massively increasing oxygen contact area beyond the surface. Covering fryers between services is one of the highest-ROI practices in oil management—it costs nothing and measurably extends oil life by reducing oxygen exposure (Choe &amp; Min, 2007). Nitrogen blanketing, used in some high-volume operations, displaces oxygen at the oil surface with inert nitrogen gas for maximum oxidation suppression.</w:t>
      </w:r>
    </w:p>
    <w:p>
      <w:pPr>
        <w:pStyle w:val="Heading2"/>
        <w:spacing w:before="360" w:after="180"/>
      </w:pPr>
      <w:r>
        <w:rPr>
          <w:rFonts w:ascii="Arial" w:cs="Arial" w:eastAsia="Arial" w:hAnsi="Arial"/>
          <w:b/>
          <w:bCs/>
          <w:sz w:val="28"/>
          <w:szCs w:val="28"/>
        </w:rPr>
        <w:t xml:space="preserve">5.4 Food Particles and Carbon Buildup</w:t>
      </w:r>
    </w:p>
    <w:p>
      <w:pPr>
        <w:spacing w:after="180" w:line="276"/>
      </w:pPr>
      <w:r>
        <w:rPr>
          <w:rFonts w:ascii="Arial" w:cs="Arial" w:eastAsia="Arial" w:hAnsi="Arial"/>
          <w:sz w:val="22"/>
          <w:szCs w:val="22"/>
        </w:rPr>
        <w:t xml:space="preserve">Suspended particles are nucleation sites: they provide surface area where oxidative reactions concentrate and accelerate. Fine particles from seasoned flour are more damaging per unit weight than large breadcrumb pieces because total surface area is greater. Carbon buildup on heating elements acts as thermal insulator (creating hot spots) and chemical catalyst (accelerating degradation of every subsequent oil load). Skimming after each fry batch removes the largest particles; daily filtration captures smaller ones; and periodic boil-outs remove varnish deposits from equipment surfaces (Moreira et al.).</w:t>
      </w:r>
    </w:p>
    <w:p>
      <w:pPr>
        <w:pStyle w:val="Heading2"/>
        <w:spacing w:before="360" w:after="180"/>
      </w:pPr>
      <w:r>
        <w:rPr>
          <w:rFonts w:ascii="Arial" w:cs="Arial" w:eastAsia="Arial" w:hAnsi="Arial"/>
          <w:b/>
          <w:bCs/>
          <w:sz w:val="28"/>
          <w:szCs w:val="28"/>
        </w:rPr>
        <w:t xml:space="preserve">5.5 Metals and Trace Contaminants</w:t>
      </w:r>
    </w:p>
    <w:p>
      <w:pPr>
        <w:spacing w:after="180" w:line="276"/>
      </w:pPr>
      <w:r>
        <w:rPr>
          <w:rFonts w:ascii="Arial" w:cs="Arial" w:eastAsia="Arial" w:hAnsi="Arial"/>
          <w:sz w:val="22"/>
          <w:szCs w:val="22"/>
        </w:rPr>
        <w:t xml:space="preserve">Metal ions (copper, iron, zinc, nickel) dramatically accelerate oxidative chain reactions via electron-transfer mechanisms at parts-per-million concentrations. Sources: fryer vessel material (cast iron is worst, stainless steel is best), brass skimmer baskets, copper cookware near fryers, and cleaning solution residues. Even trace soap or detergent residue from a boil-out acts as an emulsifier—emulsification of water into oil massively accelerates hydrolysis. Post-boil-out protocol: rinse multiple times with hot water, then add a small amount of fry oil, heat to operating temperature, discard (sacrificial rinse), then fill with fresh oil (Choe &amp; Min, 2007).</w:t>
      </w:r>
    </w:p>
    <w:p>
      <w:pPr>
        <w:pStyle w:val="Heading2"/>
        <w:spacing w:before="360" w:after="180"/>
      </w:pPr>
      <w:r>
        <w:rPr>
          <w:rFonts w:ascii="Arial" w:cs="Arial" w:eastAsia="Arial" w:hAnsi="Arial"/>
          <w:b/>
          <w:bCs/>
          <w:sz w:val="28"/>
          <w:szCs w:val="28"/>
        </w:rPr>
        <w:t xml:space="preserve">5.6 Light and UV Exposure</w:t>
      </w:r>
    </w:p>
    <w:p>
      <w:pPr>
        <w:spacing w:after="180" w:line="276"/>
      </w:pPr>
      <w:r>
        <w:rPr>
          <w:rFonts w:ascii="Arial" w:cs="Arial" w:eastAsia="Arial" w:hAnsi="Arial"/>
          <w:sz w:val="22"/>
          <w:szCs w:val="22"/>
        </w:rPr>
        <w:t xml:space="preserve">Photo-oxidation initiates free radical formation at temperatures far below operating fry temperature. Oil stored in clear containers near kitchen windows can be significantly degraded before entering the fryer. Bulk oil storage must be dark, sealed, and cool. Never store in clear containers unless opaque-wrapped. This is one of the most underappreciated degradation sources because most analysis focuses on the fryer itself.</w:t>
      </w:r>
    </w:p>
    <w:p>
      <w:pPr>
        <w:pStyle w:val="Heading2"/>
        <w:spacing w:before="360" w:after="180"/>
      </w:pPr>
      <w:r>
        <w:rPr>
          <w:rFonts w:ascii="Arial" w:cs="Arial" w:eastAsia="Arial" w:hAnsi="Arial"/>
          <w:b/>
          <w:bCs/>
          <w:sz w:val="28"/>
          <w:szCs w:val="28"/>
        </w:rPr>
        <w:t xml:space="preserve">5.7 Operational Behaviors — The Human Factor</w:t>
      </w:r>
    </w:p>
    <w:p>
      <w:pPr>
        <w:spacing w:after="180" w:line="276"/>
      </w:pPr>
      <w:r>
        <w:rPr>
          <w:rFonts w:ascii="Arial" w:cs="Arial" w:eastAsia="Arial" w:hAnsi="Arial"/>
          <w:sz w:val="22"/>
          <w:szCs w:val="22"/>
        </w:rPr>
        <w:t xml:space="preserve">The ten most common operator behaviors that damage oil, each with mechanism and corrected protocol: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1. Overloading the basket:</w:t>
      </w:r>
      <w:r>
        <w:rPr>
          <w:rFonts w:ascii="Arial" w:cs="Arial" w:eastAsia="Arial" w:hAnsi="Arial"/>
          <w:sz w:val="22"/>
          <w:szCs w:val="22"/>
        </w:rPr>
        <w:t xml:space="preserve"> Temperature crash (30–50°C drop), moisture surge, extended contact time, oxygen introduction from violent boiling. Correct: fill to 50–60% capacity maximum; allow full temperature recovery between batches.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2. Under-loading:</w:t>
      </w:r>
      <w:r>
        <w:rPr>
          <w:rFonts w:ascii="Arial" w:cs="Arial" w:eastAsia="Arial" w:hAnsi="Arial"/>
          <w:sz w:val="22"/>
          <w:szCs w:val="22"/>
        </w:rPr>
        <w:t xml:space="preserve"> Oil at temperature without food = pure idle oxidation with no productive output. Correct: batch frying efficiently; turn down temperature between batches if gaps exceed 5 minutes.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3. Incorrect temperature:</w:t>
      </w:r>
      <w:r>
        <w:rPr>
          <w:rFonts w:ascii="Arial" w:cs="Arial" w:eastAsia="Arial" w:hAnsi="Arial"/>
          <w:sz w:val="22"/>
          <w:szCs w:val="22"/>
        </w:rPr>
        <w:t xml:space="preserve"> Too high accelerates all degradation; too low extends fry time, increasing moisture absorption and oil uptake. Correct: verify thermostat calibration weekly; fry at the lowest effective temperature for each product.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4. Adding cold oil to hot oil:</w:t>
      </w:r>
      <w:r>
        <w:rPr>
          <w:rFonts w:ascii="Arial" w:cs="Arial" w:eastAsia="Arial" w:hAnsi="Arial"/>
          <w:sz w:val="22"/>
          <w:szCs w:val="22"/>
        </w:rPr>
        <w:t xml:space="preserve"> Thermal shock creates micro-bubbles (aeration) and temperature instability. Correct: bring top-off oil to room temperature before adding; add slowly at the side of the fryer.</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5. Salting above the fryer:</w:t>
      </w:r>
      <w:r>
        <w:rPr>
          <w:rFonts w:ascii="Arial" w:cs="Arial" w:eastAsia="Arial" w:hAnsi="Arial"/>
          <w:sz w:val="22"/>
          <w:szCs w:val="22"/>
        </w:rPr>
        <w:t xml:space="preserve"> Covered in Parts 4 and 5.5. Correct: salt at the pass, always.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6. Not filtering:</w:t>
      </w:r>
      <w:r>
        <w:rPr>
          <w:rFonts w:ascii="Arial" w:cs="Arial" w:eastAsia="Arial" w:hAnsi="Arial"/>
          <w:sz w:val="22"/>
          <w:szCs w:val="22"/>
        </w:rPr>
        <w:t xml:space="preserve"> Every day without filtration compounds particle load, which compounds every other degradation factor. Correct: filter at minimum daily; twice daily in high-volume operations.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7. Not covering between services:</w:t>
      </w:r>
      <w:r>
        <w:rPr>
          <w:rFonts w:ascii="Arial" w:cs="Arial" w:eastAsia="Arial" w:hAnsi="Arial"/>
          <w:sz w:val="22"/>
          <w:szCs w:val="22"/>
        </w:rPr>
        <w:t xml:space="preserve"> Covered in 5.3. Correct: lids on whenever not actively frying.</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8. Skipping the boil-out:</w:t>
      </w:r>
      <w:r>
        <w:rPr>
          <w:rFonts w:ascii="Arial" w:cs="Arial" w:eastAsia="Arial" w:hAnsi="Arial"/>
          <w:sz w:val="22"/>
          <w:szCs w:val="22"/>
        </w:rPr>
        <w:t xml:space="preserve"> Polymerized residue from previous oil loads creates a degradation-accelerating environment for every subsequent load. Correct: full boil-out at every oil change. See boil-out protocol.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9. Adding oil before fryer is dry after cleaning:</w:t>
      </w:r>
      <w:r>
        <w:rPr>
          <w:rFonts w:ascii="Arial" w:cs="Arial" w:eastAsia="Arial" w:hAnsi="Arial"/>
          <w:sz w:val="22"/>
          <w:szCs w:val="22"/>
        </w:rPr>
        <w:t xml:space="preserve"> Residual water immediately hydrolyzes fresh oil. Correct: preheat empty fryer, evaporate all moisture, then add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10. Wrong utensils:</w:t>
      </w:r>
      <w:r>
        <w:rPr>
          <w:rFonts w:ascii="Arial" w:cs="Arial" w:eastAsia="Arial" w:hAnsi="Arial"/>
          <w:sz w:val="22"/>
          <w:szCs w:val="22"/>
        </w:rPr>
        <w:t xml:space="preserve"> Copper or brass skimmers introduce metal ion catalysts. Correct: stainless steel only for all oil-contact utensils.</w:t>
      </w:r>
    </w:p>
    <w:p>
      <w:pPr>
        <w:pStyle w:val="Heading2"/>
        <w:spacing w:before="360" w:after="180"/>
      </w:pPr>
      <w:r>
        <w:rPr>
          <w:rFonts w:ascii="Arial" w:cs="Arial" w:eastAsia="Arial" w:hAnsi="Arial"/>
          <w:b/>
          <w:bCs/>
          <w:sz w:val="28"/>
          <w:szCs w:val="28"/>
        </w:rPr>
        <w:t xml:space="preserve">5.8 Compounding Effects — Degradation Is Multiplicative</w:t>
      </w:r>
    </w:p>
    <w:p>
      <w:pPr>
        <w:spacing w:after="180" w:line="276"/>
      </w:pPr>
      <w:r>
        <w:rPr>
          <w:rFonts w:ascii="Arial" w:cs="Arial" w:eastAsia="Arial" w:hAnsi="Arial"/>
          <w:sz w:val="22"/>
          <w:szCs w:val="22"/>
        </w:rPr>
        <w:t xml:space="preserve">Degradation factors do not add—they multiply. Each degradation product catalyzes further degradation. Think of it as compound interest on oil abuse: a small daily failure (no filtration + salt over fryer + idle at full temp + frozen product overload) compounds into catastrophic oil life reduction.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Worst-case scenario:</w:t>
      </w:r>
      <w:r>
        <w:rPr>
          <w:rFonts w:ascii="Arial" w:cs="Arial" w:eastAsia="Arial" w:hAnsi="Arial"/>
          <w:sz w:val="22"/>
          <w:szCs w:val="22"/>
        </w:rPr>
        <w:t xml:space="preserve"> A countertop fryer (small volume, high surface area), frying battered frozen fish (maximum moisture, PUFA contamination, particle load), at too-high temperature (idle between services), not filtered in 3 days, in a cast iron vessel (metal catalysis), salted above the fryer. Each factor amplifies the others. Estimated oil life: 20–30 cycles.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Best-case scenario:</w:t>
      </w:r>
      <w:r>
        <w:rPr>
          <w:rFonts w:ascii="Arial" w:cs="Arial" w:eastAsia="Arial" w:hAnsi="Arial"/>
          <w:sz w:val="22"/>
          <w:szCs w:val="22"/>
        </w:rPr>
        <w:t xml:space="preserve"> The same ingredients in a floor-standing stainless steel fryer (adequate volume, cold zone), at correct temperature (reduced when idle), filtered twice daily with a Zeco system, covered between services, salt at the pass only, dedicated fish fryer. Estimated oil life: 150–200+ cycles—a 5–10× improvement from management alone.</w:t>
      </w:r>
    </w:p>
    <w:p>
      <w:r>
        <w:br w:type="page"/>
      </w:r>
    </w:p>
    <w:p>
      <w:pPr>
        <w:pStyle w:val="Heading1"/>
        <w:spacing w:before="480" w:after="240"/>
      </w:pPr>
      <w:r>
        <w:rPr>
          <w:rFonts w:ascii="Arial" w:cs="Arial" w:eastAsia="Arial" w:hAnsi="Arial"/>
          <w:b/>
          <w:bCs/>
          <w:sz w:val="32"/>
          <w:szCs w:val="32"/>
        </w:rPr>
        <w:t xml:space="preserve">PART 6: FILTRATION SYSTEMS — THE COMPLETE GUIDE</w:t>
      </w:r>
    </w:p>
    <w:p>
      <w:pPr>
        <w:pStyle w:val="Heading2"/>
        <w:spacing w:before="360" w:after="180"/>
      </w:pPr>
      <w:r>
        <w:rPr>
          <w:rFonts w:ascii="Arial" w:cs="Arial" w:eastAsia="Arial" w:hAnsi="Arial"/>
          <w:b/>
          <w:bCs/>
          <w:sz w:val="28"/>
          <w:szCs w:val="28"/>
        </w:rPr>
        <w:t xml:space="preserve">6.1 Why Filter — The Science Behind the Practice</w:t>
      </w:r>
    </w:p>
    <w:p>
      <w:pPr>
        <w:spacing w:after="180" w:line="276"/>
      </w:pPr>
      <w:r>
        <w:rPr>
          <w:rFonts w:ascii="Arial" w:cs="Arial" w:eastAsia="Arial" w:hAnsi="Arial"/>
          <w:sz w:val="22"/>
          <w:szCs w:val="22"/>
        </w:rPr>
        <w:t xml:space="preserve">Filtration removes suspended food particles, carbon fines, Maillard byproducts, and coagulated proteins from frying oil. What it does NOT remove: dissolved polar compounds (TPM), free fatty acids, oxidized triglycerides, and polymers—these are in solution and cannot be mechanically filtered. The paradox: filtration does not reverse degradation, but it dramatically slows the rate of further degradation by removing the nucleation sites and catalysts that accelerate all three degradation pathways. ROI studies consistently show that daily filtration extends oil life by 40–80% compared to unfiltered operations (Moreira et al.). Filtration is the single highest-return management practice available to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Daily filtration during every active frying service period is the minimum standard for NCOMA certification. Filtration must be documented in the Oil Log. Filter media must be changed according to manufacturer specifications.</w:t>
            </w:r>
          </w:p>
        </w:tc>
      </w:tr>
    </w:tbl>
    <w:p>
      <w:pPr>
        <w:spacing w:after="120"/>
      </w:pPr>
    </w:p>
    <w:p>
      <w:pPr>
        <w:pStyle w:val="Heading2"/>
        <w:spacing w:before="360" w:after="180"/>
      </w:pPr>
      <w:r>
        <w:rPr>
          <w:rFonts w:ascii="Arial" w:cs="Arial" w:eastAsia="Arial" w:hAnsi="Arial"/>
          <w:b/>
          <w:bCs/>
          <w:sz w:val="28"/>
          <w:szCs w:val="28"/>
        </w:rPr>
        <w:t xml:space="preserve">6.2 Filtration Media Types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Paper/envelope filters</w:t>
      </w:r>
      <w:r>
        <w:rPr>
          <w:rFonts w:ascii="Arial" w:cs="Arial" w:eastAsia="Arial" w:hAnsi="Arial"/>
          <w:sz w:val="22"/>
          <w:szCs w:val="22"/>
        </w:rPr>
        <w:t xml:space="preserve"> capture particles above their micron rating (typically 20–40 microns). They are the most basic filtration media. They cannot capture fine carbon particles below their rating, and they cannot remove dissolved compounds. </w:t>
      </w:r>
      <w:r>
        <w:rPr>
          <w:rFonts w:ascii="Arial" w:cs="Arial" w:eastAsia="Arial" w:hAnsi="Arial"/>
          <w:b/>
          <w:bCs/>
          <w:sz w:val="22"/>
          <w:szCs w:val="22"/>
        </w:rPr>
        <w:t xml:space="preserve">Powder filtration (diatomaceous earth / DE)</w:t>
      </w:r>
      <w:r>
        <w:rPr>
          <w:rFonts w:ascii="Arial" w:cs="Arial" w:eastAsia="Arial" w:hAnsi="Arial"/>
          <w:sz w:val="22"/>
          <w:szCs w:val="22"/>
        </w:rPr>
        <w:t xml:space="preserve"> creates a depth filtration bed that captures much finer particles than paper alone—effectively down to 5–10 microns. DE is a food-safe mineral (fossilized diatom shells). </w:t>
      </w:r>
      <w:r>
        <w:rPr>
          <w:rFonts w:ascii="Arial" w:cs="Arial" w:eastAsia="Arial" w:hAnsi="Arial"/>
          <w:b/>
          <w:bCs/>
          <w:sz w:val="22"/>
          <w:szCs w:val="22"/>
        </w:rPr>
        <w:t xml:space="preserve">Activated carbon/charcoal filters</w:t>
      </w:r>
      <w:r>
        <w:rPr>
          <w:rFonts w:ascii="Arial" w:cs="Arial" w:eastAsia="Arial" w:hAnsi="Arial"/>
          <w:sz w:val="22"/>
          <w:szCs w:val="22"/>
        </w:rPr>
        <w:t xml:space="preserve"> adsorb color compounds and some oxidation byproducts from the oil, improving appearance. They do not remove polar compounds and have limited impact on TPM. </w:t>
      </w:r>
      <w:r>
        <w:rPr>
          <w:rFonts w:ascii="Arial" w:cs="Arial" w:eastAsia="Arial" w:hAnsi="Arial"/>
          <w:b/>
          <w:bCs/>
          <w:sz w:val="22"/>
          <w:szCs w:val="22"/>
        </w:rPr>
        <w:t xml:space="preserve">Combination systems</w:t>
      </w:r>
      <w:r>
        <w:rPr>
          <w:rFonts w:ascii="Arial" w:cs="Arial" w:eastAsia="Arial" w:hAnsi="Arial"/>
          <w:sz w:val="22"/>
          <w:szCs w:val="22"/>
        </w:rPr>
        <w:t xml:space="preserve"> (paper + powder, paper + carbon) provide layered filtration with progressively finer effective capture.</w:t>
      </w:r>
    </w:p>
    <w:p>
      <w:pPr>
        <w:pStyle w:val="Heading2"/>
        <w:spacing w:before="360" w:after="180"/>
      </w:pPr>
      <w:r>
        <w:rPr>
          <w:rFonts w:ascii="Arial" w:cs="Arial" w:eastAsia="Arial" w:hAnsi="Arial"/>
          <w:b/>
          <w:bCs/>
          <w:sz w:val="28"/>
          <w:szCs w:val="28"/>
        </w:rPr>
        <w:t xml:space="preserve">6.3 Filtration Equipment Types</w:t>
      </w:r>
    </w:p>
    <w:p>
      <w:pPr>
        <w:pStyle w:val="Heading3"/>
        <w:spacing w:before="240" w:after="120"/>
      </w:pPr>
      <w:r>
        <w:rPr>
          <w:rFonts w:ascii="Arial" w:cs="Arial" w:eastAsia="Arial" w:hAnsi="Arial"/>
          <w:b/>
          <w:bCs/>
          <w:sz w:val="24"/>
          <w:szCs w:val="24"/>
        </w:rPr>
        <w:t xml:space="preserve">Gravity Filtration (Passive)</w:t>
      </w:r>
    </w:p>
    <w:p>
      <w:pPr>
        <w:spacing w:after="180" w:line="276"/>
      </w:pPr>
      <w:r>
        <w:rPr>
          <w:rFonts w:ascii="Arial" w:cs="Arial" w:eastAsia="Arial" w:hAnsi="Arial"/>
          <w:sz w:val="22"/>
          <w:szCs w:val="22"/>
        </w:rPr>
        <w:t xml:space="preserve">Oil drains by gravity through filter media into a reservoir. This is the simplest and cheapest approach but also the slowest, most incomplete, and least suitable for commercial operations. It leaves significant oil in the fryer during filtration and requires extended downtime. Suitable only for very low-volume operations with no alternatives.</w:t>
      </w:r>
    </w:p>
    <w:p>
      <w:pPr>
        <w:pStyle w:val="Heading3"/>
        <w:spacing w:before="240" w:after="120"/>
      </w:pPr>
      <w:r>
        <w:rPr>
          <w:rFonts w:ascii="Arial" w:cs="Arial" w:eastAsia="Arial" w:hAnsi="Arial"/>
          <w:b/>
          <w:bCs/>
          <w:sz w:val="24"/>
          <w:szCs w:val="24"/>
        </w:rPr>
        <w:t xml:space="preserve">Portable Filter Machines (Pump-Based)</w:t>
      </w:r>
    </w:p>
    <w:p>
      <w:pPr>
        <w:spacing w:after="180" w:line="276"/>
      </w:pPr>
      <w:r>
        <w:rPr>
          <w:rFonts w:ascii="Arial" w:cs="Arial" w:eastAsia="Arial" w:hAnsi="Arial"/>
          <w:sz w:val="22"/>
          <w:szCs w:val="22"/>
        </w:rPr>
        <w:t xml:space="preserve">The standard in most independent restaurants. A pump draws oil from the fryer, pushes it through filter media in a built-in reservoir, and returns filtered oil. Common manufacturers include Pitco, Frymaster, Vulcan, and Dean. Limitations: they require manual operation, training, and consistency. Filter media must be changed regularly. The primary failure mode is inconsistency—staff skip filtration when busy, forget to change media, or spill oil during transfer. Conventional portable systems typically capture particles down to 20–30 microns, leaving finer carbon and Maillard particles in the oil.</w:t>
      </w:r>
    </w:p>
    <w:p>
      <w:pPr>
        <w:pStyle w:val="Heading3"/>
        <w:spacing w:before="240" w:after="120"/>
      </w:pPr>
      <w:r>
        <w:rPr>
          <w:rFonts w:ascii="Arial" w:cs="Arial" w:eastAsia="Arial" w:hAnsi="Arial"/>
          <w:b/>
          <w:bCs/>
          <w:sz w:val="24"/>
          <w:szCs w:val="24"/>
        </w:rPr>
        <w:t xml:space="preserve">Built-In Filtration Systems</w:t>
      </w:r>
    </w:p>
    <w:p>
      <w:pPr>
        <w:spacing w:after="180" w:line="276"/>
      </w:pPr>
      <w:r>
        <w:rPr>
          <w:rFonts w:ascii="Arial" w:cs="Arial" w:eastAsia="Arial" w:hAnsi="Arial"/>
          <w:sz w:val="22"/>
          <w:szCs w:val="22"/>
        </w:rPr>
        <w:t xml:space="preserve">Integrated into the fryer itself with pump and plumbing. Oil drains to a built-in filter pan and is pumped back filtered. The lower barrier to use (no separate machine to set up) generally produces more consistent filtration. Disadvantages: more complex maintenance, failure of the built-in system affects fryer operation, and filtration performance is limited by the manufacturer’s design priorities (which may prioritize convenience over filtration precision). Common in high-volume QSR chains and ghost kitchens.</w:t>
      </w:r>
    </w:p>
    <w:p>
      <w:pPr>
        <w:pStyle w:val="Heading3"/>
        <w:spacing w:before="240" w:after="120"/>
      </w:pPr>
      <w:r>
        <w:rPr>
          <w:rFonts w:ascii="Arial" w:cs="Arial" w:eastAsia="Arial" w:hAnsi="Arial"/>
          <w:b/>
          <w:bCs/>
          <w:sz w:val="24"/>
          <w:szCs w:val="24"/>
        </w:rPr>
        <w:t xml:space="preserve">The Zeco Oil Filtration System — Detailed Section</w:t>
      </w:r>
    </w:p>
    <w:p>
      <w:pPr>
        <w:spacing w:after="180" w:line="276"/>
      </w:pPr>
      <w:r>
        <w:rPr>
          <w:rFonts w:ascii="Arial" w:cs="Arial" w:eastAsia="Arial" w:hAnsi="Arial"/>
          <w:sz w:val="22"/>
          <w:szCs w:val="22"/>
        </w:rPr>
        <w:t xml:space="preserve">The Zeco system represents a fundamentally different approach to commercial oil filtration. Developed by Conrad Canter—an inventor with a background in ultra-high-speed filtration for commercial printing who became a partner in S&amp;K Oil Sales, Arizona’s leading independent cooking oil distributor—the Zeco system was engineered specifically to address the limitations of conventional filtration equipment.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System Architecture:</w:t>
      </w:r>
      <w:r>
        <w:rPr>
          <w:rFonts w:ascii="Arial" w:cs="Arial" w:eastAsia="Arial" w:hAnsi="Arial"/>
          <w:sz w:val="22"/>
          <w:szCs w:val="22"/>
        </w:rPr>
        <w:t xml:space="preserve"> The Zeco is a modular, mobile oil filtration and management unit. The system uses a patented “triple positive seal” closed-loop filtration design. Unlike conventional portable filters where oil flows through an open filter bed (allowing some oil to bypass the filter at the edges), the Zeco system uses high-powered suction to pull oil through a sealed micro-filter. Because the system is fully sealed, oil has no alternative but to pass through the filter media, eliminating the bypass problem that limits conventional systems.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Filtration Precision:</w:t>
      </w:r>
      <w:r>
        <w:rPr>
          <w:rFonts w:ascii="Arial" w:cs="Arial" w:eastAsia="Arial" w:hAnsi="Arial"/>
          <w:sz w:val="22"/>
          <w:szCs w:val="22"/>
        </w:rPr>
        <w:t xml:space="preserve"> Zeco achieves micro-filtration down to 0.5 microns—40 times finer than conventional systems (which typically capture 20–30 microns) and 50 times smaller than the human eye can detect. This is achieved through a multi-layer approach: a washable 300-micron stainless steel pre-filter basket captures large debris, while a proprietary pad-pan micro-filter system captures progressively finer particles. The microfilters use a proprietary process to create a rigid, multi-layered structure with controlled microscopic porosity. Zeco offers over 100 filter combinations customizable to specific menu profiles, as different food types produce different particle characteristics.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How Zeco Differs from Conventional Portable Systems:</w:t>
      </w:r>
      <w:r>
        <w:rPr>
          <w:rFonts w:ascii="Arial" w:cs="Arial" w:eastAsia="Arial" w:hAnsi="Arial"/>
          <w:sz w:val="22"/>
          <w:szCs w:val="22"/>
        </w:rPr>
        <w:t xml:space="preserve"/>
      </w:r>
    </w:p>
    <w:p>
      <w:pPr>
        <w:spacing w:after="180" w:line="276"/>
      </w:pPr>
      <w:r>
        <w:rPr>
          <w:rFonts w:ascii="Arial" w:cs="Arial" w:eastAsia="Arial" w:hAnsi="Arial"/>
          <w:sz w:val="22"/>
          <w:szCs w:val="22"/>
        </w:rPr>
        <w:t xml:space="preserve">Filtration precision: 0.5 microns (Zeco) vs. 20–30 microns (conventional)—a 40–60× improvement in fine particle capture. The closed-loop positive seal eliminates bypass that degrades conventional performance as filters clog. Speed: the Zeco filtration cycle averages 4.5 minutes per fryer, approximately 30–50% faster than conventional portable systems. The system also washes out fryer vats during the filtration cycle, eliminating the need for manual removal of settled food particles from the fryer bottom—saving labor and improving safety by reducing hand contact with hot oil. The patented quick-change pad filter pan allows rapid media changes even during heavy service conditions.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How Zeco Differs from Built-In Manufacturer Filtration:</w:t>
      </w:r>
      <w:r>
        <w:rPr>
          <w:rFonts w:ascii="Arial" w:cs="Arial" w:eastAsia="Arial" w:hAnsi="Arial"/>
          <w:sz w:val="22"/>
          <w:szCs w:val="22"/>
        </w:rPr>
        <w:t xml:space="preserve"/>
      </w:r>
    </w:p>
    <w:p>
      <w:pPr>
        <w:spacing w:after="180" w:line="276"/>
      </w:pPr>
      <w:r>
        <w:rPr>
          <w:rFonts w:ascii="Arial" w:cs="Arial" w:eastAsia="Arial" w:hAnsi="Arial"/>
          <w:sz w:val="22"/>
          <w:szCs w:val="22"/>
        </w:rPr>
        <w:t xml:space="preserve">Zeco is a purpose-built filtration product, not a secondary feature of a fryer manufacturer. It works across fryer brands (not brand-locked), offers modular configurability for different kitchen layouts and menu types, and achieves finer effective filtration than most built-in systems. The modular design means operators can upgrade or modify the system as their kitchen evolves. Three base models (Zeco Eco, Zeco Pro 3, and others) allow customization from AC-only economical operation to AC/DC and cordless battery operation for maximum mobility.</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Safety Features:</w:t>
      </w:r>
      <w:r>
        <w:rPr>
          <w:rFonts w:ascii="Arial" w:cs="Arial" w:eastAsia="Arial" w:hAnsi="Arial"/>
          <w:sz w:val="22"/>
          <w:szCs w:val="22"/>
        </w:rPr>
        <w:t xml:space="preserve"> Locking tank cover with high-temperature seal eliminates hot oil spills during transport. Dual locking brakes prevent accidental movement. Self-contained on-board filtering means the Zeco can filter away from the fryer if space is a concern. Auto shutoff (4.5-minute timer on Pro 3 models) prevents over-filtration. Micro safety switches ensure hoses are secure before operation. All dishwasher-safe components.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ROI for Operators:</w:t>
      </w:r>
      <w:r>
        <w:rPr>
          <w:rFonts w:ascii="Arial" w:cs="Arial" w:eastAsia="Arial" w:hAnsi="Arial"/>
          <w:sz w:val="22"/>
          <w:szCs w:val="22"/>
        </w:rPr>
        <w:t xml:space="preserve"> Customer testimonials and manufacturer data indicate oil consumption reductions of 30–50% across diverse operation types. At a typical oil cost of $1,000–$1,500/ton and consumption of 50–200+ gallons per week in an active fryer operation, this translates to monthly savings that typically exceed twice the cost of Zeco filtration services. Zeco systems are priced at $7,000–$10,000 for purchase, with a pay-per-use model available for operations that cannot invest upfront. The 3-in-1 modular design (clean fryers, filter oil, transport expired oil) consolidates equipment that would otherwise require multiple separate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PRO TIP</w:t>
            </w:r>
          </w:p>
          <w:p>
            <w:pPr>
              <w:spacing w:after="0"/>
            </w:pPr>
            <w:r>
              <w:rPr>
                <w:rFonts w:ascii="Arial" w:cs="Arial" w:eastAsia="Arial" w:hAnsi="Arial"/>
                <w:sz w:val="21"/>
                <w:szCs w:val="21"/>
              </w:rPr>
              <w:t xml:space="preserve">Zeco’s modular design and 0.5-micron filtration make it suitable across operation types: independent restaurants, hotel kitchens, multi-unit chains, and ghost kitchens. The pay-per-use model makes it accessible to operations without capital budgets for equipment. Most restaurants with active deep fryers save more than twice the cost of Zeco services, making it a net-positive investment from the first month of use.</w:t>
            </w:r>
          </w:p>
        </w:tc>
      </w:tr>
    </w:tbl>
    <w:p>
      <w:pPr>
        <w:spacing w:after="120"/>
      </w:pPr>
    </w:p>
    <w:p>
      <w:pPr>
        <w:pStyle w:val="Heading2"/>
        <w:spacing w:before="360" w:after="180"/>
      </w:pPr>
      <w:r>
        <w:rPr>
          <w:rFonts w:ascii="Arial" w:cs="Arial" w:eastAsia="Arial" w:hAnsi="Arial"/>
          <w:b/>
          <w:bCs/>
          <w:sz w:val="28"/>
          <w:szCs w:val="28"/>
        </w:rPr>
        <w:t xml:space="preserve">6.4 Filtration Frequency Recommendations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6.1: Filtration Frequency Decision Matrix</w:t>
      </w: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Operation Profile</w:t>
            </w:r>
          </w:p>
        </w:tc>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Food Type</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Recommended Frequency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High-volume QSR (200+ covers)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Mixed / Fries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Twice per service period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Full-service restaurant (100–200)</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Mixed proteins + starch</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Every service period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Hotel / Institutional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Mixed / Heavy batters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Every service period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Low-volume cafe (&lt;100)</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Light frying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Daily minimum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Fish-dedicated fryer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Fish / Seafood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After every fish service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Dessert fryer (donuts)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Sugar-heavy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After every service</w:t>
            </w:r>
          </w:p>
        </w:tc>
      </w:tr>
    </w:tbl>
    <w:p>
      <w:pPr>
        <w:spacing w:after="120"/>
      </w:pPr>
    </w:p>
    <w:p>
      <w:pPr>
        <w:pStyle w:val="Heading2"/>
        <w:spacing w:before="360" w:after="180"/>
      </w:pPr>
      <w:r>
        <w:rPr>
          <w:rFonts w:ascii="Arial" w:cs="Arial" w:eastAsia="Arial" w:hAnsi="Arial"/>
          <w:b/>
          <w:bCs/>
          <w:sz w:val="28"/>
          <w:szCs w:val="28"/>
        </w:rPr>
        <w:t xml:space="preserve">6.5 How to Filter Correctly — Step-by-Step Protocol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1:</w:t>
      </w:r>
      <w:r>
        <w:rPr>
          <w:rFonts w:ascii="Arial" w:cs="Arial" w:eastAsia="Arial" w:hAnsi="Arial"/>
          <w:sz w:val="22"/>
          <w:szCs w:val="22"/>
        </w:rPr>
        <w:t xml:space="preserve"> Reduce oil temperature to 120–150°C (250–300°F). Never filter at full operating temperature—burn risk is extreme above 150°C. Never filter cold oil—it is too viscous to flow through media efficiently.</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2:</w:t>
      </w:r>
      <w:r>
        <w:rPr>
          <w:rFonts w:ascii="Arial" w:cs="Arial" w:eastAsia="Arial" w:hAnsi="Arial"/>
          <w:sz w:val="22"/>
          <w:szCs w:val="22"/>
        </w:rPr>
        <w:t xml:space="preserve"> Wear appropriate PPE: heat-resistant gloves, closed-toe non-slip shoes, apron. No exposed skin above the hands.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3:</w:t>
      </w:r>
      <w:r>
        <w:rPr>
          <w:rFonts w:ascii="Arial" w:cs="Arial" w:eastAsia="Arial" w:hAnsi="Arial"/>
          <w:sz w:val="22"/>
          <w:szCs w:val="22"/>
        </w:rPr>
        <w:t xml:space="preserve"> Prepare filter media (paper, DE pad, or Zeco microfilter pad) per manufacturer instructions.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4:</w:t>
      </w:r>
      <w:r>
        <w:rPr>
          <w:rFonts w:ascii="Arial" w:cs="Arial" w:eastAsia="Arial" w:hAnsi="Arial"/>
          <w:sz w:val="22"/>
          <w:szCs w:val="22"/>
        </w:rPr>
        <w:t xml:space="preserve"> Drain oil fully from fryer through filtration system. Skim any remaining large particles from the fryer bottom.</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5:</w:t>
      </w:r>
      <w:r>
        <w:rPr>
          <w:rFonts w:ascii="Arial" w:cs="Arial" w:eastAsia="Arial" w:hAnsi="Arial"/>
          <w:sz w:val="22"/>
          <w:szCs w:val="22"/>
        </w:rPr>
        <w:t xml:space="preserve"> Return filtered oil to fryer. Verify oil level and top off with fresh oil if needed.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6:</w:t>
      </w:r>
      <w:r>
        <w:rPr>
          <w:rFonts w:ascii="Arial" w:cs="Arial" w:eastAsia="Arial" w:hAnsi="Arial"/>
          <w:sz w:val="22"/>
          <w:szCs w:val="22"/>
        </w:rPr>
        <w:t xml:space="preserve"> Record in NCOMA Oil Log: date, time, fryer ID, filter media status (changed Y/N), top-off volume added, staff initials.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Step 7:</w:t>
      </w:r>
      <w:r>
        <w:rPr>
          <w:rFonts w:ascii="Arial" w:cs="Arial" w:eastAsia="Arial" w:hAnsi="Arial"/>
          <w:sz w:val="22"/>
          <w:szCs w:val="22"/>
        </w:rPr>
        <w:t xml:space="preserve"> Dispose of filter residue as waste cooking oil (see Part 9 UCO disposal).</w:t>
      </w:r>
    </w:p>
    <w:p>
      <w:r>
        <w:br w:type="page"/>
      </w:r>
    </w:p>
    <w:p>
      <w:pPr>
        <w:pStyle w:val="Heading1"/>
        <w:spacing w:before="480" w:after="240"/>
      </w:pPr>
      <w:r>
        <w:rPr>
          <w:rFonts w:ascii="Arial" w:cs="Arial" w:eastAsia="Arial" w:hAnsi="Arial"/>
          <w:b/>
          <w:bCs/>
          <w:sz w:val="32"/>
          <w:szCs w:val="32"/>
        </w:rPr>
        <w:t xml:space="preserve">PART 7: OIL QUALITY TESTING AND DISCARD DECISIONS</w:t>
      </w:r>
    </w:p>
    <w:p>
      <w:pPr>
        <w:pStyle w:val="Heading2"/>
        <w:spacing w:before="360" w:after="180"/>
      </w:pPr>
      <w:r>
        <w:rPr>
          <w:rFonts w:ascii="Arial" w:cs="Arial" w:eastAsia="Arial" w:hAnsi="Arial"/>
          <w:b/>
          <w:bCs/>
          <w:sz w:val="28"/>
          <w:szCs w:val="28"/>
        </w:rPr>
        <w:t xml:space="preserve">7.1 TPM Meters — How They Work and How to Use Them</w:t>
      </w:r>
    </w:p>
    <w:p>
      <w:pPr>
        <w:spacing w:after="180" w:line="276"/>
      </w:pPr>
      <w:r>
        <w:rPr>
          <w:rFonts w:ascii="Arial" w:cs="Arial" w:eastAsia="Arial" w:hAnsi="Arial"/>
          <w:sz w:val="22"/>
          <w:szCs w:val="22"/>
        </w:rPr>
        <w:t xml:space="preserve">Electronic TPM meters measure the dielectric constant (electrical capacitance) of the oil. As polar compounds accumulate through degradation, the oil’s dielectric properties change measurably. The meter converts this electrical signal into a TPM percentage reading. Common brands include testo 270, Ebro FOM 330, and 3M Shortening Monitor.</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Important calibration note:</w:t>
      </w:r>
      <w:r>
        <w:rPr>
          <w:rFonts w:ascii="Arial" w:cs="Arial" w:eastAsia="Arial" w:hAnsi="Arial"/>
          <w:sz w:val="22"/>
          <w:szCs w:val="22"/>
        </w:rPr>
        <w:t xml:space="preserve"> Different fresh oils have different baseline dielectric properties. Fresh palm oil reads differently from fresh soybean oil at the same actual TPM level. Most meters have oil-type presets or allow baseline calibration. Always calibrate to the specific oil type in use. Temperature dependency is also significant: readings should always be taken at a consistent, controlled temperature (most meters auto-compensate, but verify). Take readings with the probe fully submerged in the active frying zone, not in the cold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TPM testing minimum frequency: every service period during heavy frying operations (4+ continuous hours); daily minimum in all operations with active fryers. Record all readings in the Oil Log. Meter calibration must be current per manufacturer schedule.</w:t>
            </w:r>
          </w:p>
        </w:tc>
      </w:tr>
    </w:tbl>
    <w:p>
      <w:pPr>
        <w:spacing w:after="120"/>
      </w:pPr>
    </w:p>
    <w:p>
      <w:pPr>
        <w:pStyle w:val="Heading2"/>
        <w:spacing w:before="360" w:after="180"/>
      </w:pPr>
      <w:r>
        <w:rPr>
          <w:rFonts w:ascii="Arial" w:cs="Arial" w:eastAsia="Arial" w:hAnsi="Arial"/>
          <w:b/>
          <w:bCs/>
          <w:sz w:val="28"/>
          <w:szCs w:val="28"/>
        </w:rPr>
        <w:t xml:space="preserve">7.2 Test Strips — Colorimetric Assessment</w:t>
      </w:r>
    </w:p>
    <w:p>
      <w:pPr>
        <w:spacing w:after="180" w:line="276"/>
      </w:pPr>
      <w:r>
        <w:rPr>
          <w:rFonts w:ascii="Arial" w:cs="Arial" w:eastAsia="Arial" w:hAnsi="Arial"/>
          <w:sz w:val="22"/>
          <w:szCs w:val="22"/>
        </w:rPr>
        <w:t xml:space="preserve">Colorimetric test strips detect FFA and specific oxidation markers through chemical reactions that produce a color change. The operator dips the strip in oil at operating temperature and compares the resulting color to a reference chart. Accuracy is lower than electronic meters but adequate for quick high-volume checks, staff without meter access, or backup verification.</w:t>
      </w:r>
    </w:p>
    <w:p>
      <w:pPr>
        <w:pStyle w:val="Heading2"/>
        <w:spacing w:before="360" w:after="180"/>
      </w:pPr>
      <w:r>
        <w:rPr>
          <w:rFonts w:ascii="Arial" w:cs="Arial" w:eastAsia="Arial" w:hAnsi="Arial"/>
          <w:b/>
          <w:bCs/>
          <w:sz w:val="28"/>
          <w:szCs w:val="28"/>
        </w:rPr>
        <w:t xml:space="preserve">7.3 International Discard Thresholds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7.1: International TPM Discard Standards</w:t>
      </w: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0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Country / Region</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TPM Threshold</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Germany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Mandatory (law)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Bundesministerium für Verbraucherschutz</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Belgium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Mandatory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Federal Food Safety Agency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Netherlands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Mandatory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NVWA</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Spain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Mandatory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AESAN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France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Mandatory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DGAL</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NCOMA (US, voluntary)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Certification standard</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This document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United States (federal)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federal threshold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Regulatory gap</w:t>
            </w:r>
          </w:p>
        </w:tc>
      </w:tr>
    </w:tbl>
    <w:p>
      <w:pPr>
        <w:spacing w:after="120"/>
      </w:pPr>
    </w:p>
    <w:p>
      <w:pPr>
        <w:spacing w:after="180" w:line="276"/>
      </w:pPr>
      <w:r>
        <w:rPr>
          <w:rFonts w:ascii="Arial" w:cs="Arial" w:eastAsia="Arial" w:hAnsi="Arial"/>
          <w:sz w:val="22"/>
          <w:szCs w:val="22"/>
        </w:rPr>
        <w:t xml:space="preserve">The absence of a US federal TPM threshold means most American restaurants have no regulatory requirement to test their oil and no standard against which to measure quality. USDA guidance exists but is not enforceable. The NCOMA certification program adopts 25% TPM as its standard—aligned with the more protective international thresholds.</w:t>
      </w:r>
    </w:p>
    <w:p>
      <w:pPr>
        <w:pStyle w:val="Heading2"/>
        <w:spacing w:before="360" w:after="180"/>
      </w:pPr>
      <w:r>
        <w:rPr>
          <w:rFonts w:ascii="Arial" w:cs="Arial" w:eastAsia="Arial" w:hAnsi="Arial"/>
          <w:b/>
          <w:bCs/>
          <w:sz w:val="28"/>
          <w:szCs w:val="28"/>
        </w:rPr>
        <w:t xml:space="preserve">7.4 The Discard Decision Tree</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TPM below 20%:</w:t>
      </w:r>
      <w:r>
        <w:rPr>
          <w:rFonts w:ascii="Arial" w:cs="Arial" w:eastAsia="Arial" w:hAnsi="Arial"/>
          <w:sz w:val="22"/>
          <w:szCs w:val="22"/>
        </w:rPr>
        <w:t xml:space="preserve"> Filter, record, continue normal operations.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TPM 20–24%:</w:t>
      </w:r>
      <w:r>
        <w:rPr>
          <w:rFonts w:ascii="Arial" w:cs="Arial" w:eastAsia="Arial" w:hAnsi="Arial"/>
          <w:sz w:val="22"/>
          <w:szCs w:val="22"/>
        </w:rPr>
        <w:t xml:space="preserve"> Increase filtration frequency. Consider partial replacement (top-off with 20–30% fresh oil). Reassess after next service period. Food quality monitoring heightened.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TPM 25–27%:</w:t>
      </w:r>
      <w:r>
        <w:rPr>
          <w:rFonts w:ascii="Arial" w:cs="Arial" w:eastAsia="Arial" w:hAnsi="Arial"/>
          <w:sz w:val="22"/>
          <w:szCs w:val="22"/>
        </w:rPr>
        <w:t xml:space="preserve"> If frying light loads (dry starches, low moisture), one more service with filtration may be defensible. If frying fish, battered items, or frozen products, discard now.</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TPM above 27%:</w:t>
      </w:r>
      <w:r>
        <w:rPr>
          <w:rFonts w:ascii="Arial" w:cs="Arial" w:eastAsia="Arial" w:hAnsi="Arial"/>
          <w:sz w:val="22"/>
          <w:szCs w:val="22"/>
        </w:rPr>
        <w:t xml:space="preserve"> Discard immediately. No exceptions. This oil exceeds even the most permissive international standard.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Sensory override:</w:t>
      </w:r>
      <w:r>
        <w:rPr>
          <w:rFonts w:ascii="Arial" w:cs="Arial" w:eastAsia="Arial" w:hAnsi="Arial"/>
          <w:sz w:val="22"/>
          <w:szCs w:val="22"/>
        </w:rPr>
        <w:t xml:space="preserve"> If oil visually qualifies for discard (excessive dark color, continuous foam at operating temperature, visible haze, unacceptable smoke below normal operating temperature), discard regardless of TPM reading. Sensory indicators can detect problems that TPM meters may miss, including contamination events and localized polymerization.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NCOMA STANDARD</w:t>
            </w:r>
          </w:p>
          <w:p>
            <w:pPr>
              <w:spacing w:after="0"/>
            </w:pPr>
            <w:r>
              <w:rPr>
                <w:rFonts w:ascii="Arial" w:cs="Arial" w:eastAsia="Arial" w:hAnsi="Arial"/>
                <w:sz w:val="21"/>
                <w:szCs w:val="21"/>
              </w:rPr>
              <w:t xml:space="preserve">Discard at 25% TPM or sensory discard triggers, whichever comes first. All discard events must be recorded in the Oil Log with volume, date, disposal method, and staff initials.</w:t>
            </w:r>
          </w:p>
        </w:tc>
      </w:tr>
    </w:tbl>
    <w:p>
      <w:pPr>
        <w:spacing w:after="120"/>
      </w:pPr>
    </w:p>
    <w:p>
      <w:pPr>
        <w:pStyle w:val="Heading2"/>
        <w:spacing w:before="360" w:after="180"/>
      </w:pPr>
      <w:r>
        <w:rPr>
          <w:rFonts w:ascii="Arial" w:cs="Arial" w:eastAsia="Arial" w:hAnsi="Arial"/>
          <w:b/>
          <w:bCs/>
          <w:sz w:val="28"/>
          <w:szCs w:val="28"/>
        </w:rPr>
        <w:t xml:space="preserve">7.5 Sensory Evaluation — The Underrated Tool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Color progression:</w:t>
      </w:r>
      <w:r>
        <w:rPr>
          <w:rFonts w:ascii="Arial" w:cs="Arial" w:eastAsia="Arial" w:hAnsi="Arial"/>
          <w:sz w:val="22"/>
          <w:szCs w:val="22"/>
        </w:rPr>
        <w:t xml:space="preserve"> Fresh oil ranges from pale yellow (soybean, sunflower) to amber (palm, peanut) to dark (crude palm, sesame). As degradation proceeds: yellow → gold → amber → brown → very dark brown → discard. Important: palm-based oils start darker than sunflower or soy, so baseline awareness by oil type is essential.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Viscosity:</w:t>
      </w:r>
      <w:r>
        <w:rPr>
          <w:rFonts w:ascii="Arial" w:cs="Arial" w:eastAsia="Arial" w:hAnsi="Arial"/>
          <w:sz w:val="22"/>
          <w:szCs w:val="22"/>
        </w:rPr>
        <w:t xml:space="preserve"> The drip test—lift a spoonful of oil and watch it flow. Fresh oil drips in a thin, fast stream. Degraded oil drips in a thick, slow, rope-like stream. Increasing viscosity means polymerization is underway.</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Foam:</w:t>
      </w:r>
      <w:r>
        <w:rPr>
          <w:rFonts w:ascii="Arial" w:cs="Arial" w:eastAsia="Arial" w:hAnsi="Arial"/>
          <w:sz w:val="22"/>
          <w:szCs w:val="22"/>
        </w:rPr>
        <w:t xml:space="preserve"> Light, transient foam at fry entry is normal (water vaporization). Persistent foam that does not subside within 30 seconds after food is removed is a degradation marker (FFA and mono/diglycerides acting as surfactants). Foam that rises toward or above the fryer rim is a critical discard signal and potential overflow/fire hazard.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Smoke:</w:t>
      </w:r>
      <w:r>
        <w:rPr>
          <w:rFonts w:ascii="Arial" w:cs="Arial" w:eastAsia="Arial" w:hAnsi="Arial"/>
          <w:sz w:val="22"/>
          <w:szCs w:val="22"/>
        </w:rPr>
        <w:t xml:space="preserve"> Visible smoke at normal operating temperature (below the oil’s rated smoke point) always indicates either contamination or severe degradation. If the fryer smokes at 175°C with oil rated for 230°C, the oil is compromised.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Smell:</w:t>
      </w:r>
      <w:r>
        <w:rPr>
          <w:rFonts w:ascii="Arial" w:cs="Arial" w:eastAsia="Arial" w:hAnsi="Arial"/>
          <w:sz w:val="22"/>
          <w:szCs w:val="22"/>
        </w:rPr>
        <w:t xml:space="preserve"> Fresh oil has a clean, slightly fatty, oil-specific aroma. Early oxidation: slightly rancid, nutty-sour. Advanced oxidation: sharp, acrid, fishy (especially in PUFA-rich oils). Polymerization stage: heavy, thick, greasy, chemical. If staff near the fryer describe the smell as “different” or “offensive,” test and consider discard.</w:t>
      </w:r>
    </w:p>
    <w:p>
      <w:pPr>
        <w:pStyle w:val="Heading2"/>
        <w:spacing w:before="360" w:after="180"/>
      </w:pPr>
      <w:r>
        <w:rPr>
          <w:rFonts w:ascii="Arial" w:cs="Arial" w:eastAsia="Arial" w:hAnsi="Arial"/>
          <w:b/>
          <w:bCs/>
          <w:sz w:val="28"/>
          <w:szCs w:val="28"/>
        </w:rPr>
        <w:t xml:space="preserve">7.6 Laboratory Analysis — When and Why</w:t>
      </w:r>
    </w:p>
    <w:p>
      <w:pPr>
        <w:spacing w:after="180" w:line="276"/>
      </w:pPr>
      <w:r>
        <w:rPr>
          <w:rFonts w:ascii="Arial" w:cs="Arial" w:eastAsia="Arial" w:hAnsi="Arial"/>
          <w:sz w:val="22"/>
          <w:szCs w:val="22"/>
        </w:rPr>
        <w:t xml:space="preserve">Full laboratory analysis provides definitive oil quality data beyond what field instruments measure. Methods include: </w:t>
      </w:r>
      <w:r>
        <w:rPr>
          <w:rFonts w:ascii="Arial" w:cs="Arial" w:eastAsia="Arial" w:hAnsi="Arial"/>
          <w:b/>
          <w:bCs/>
          <w:sz w:val="22"/>
          <w:szCs w:val="22"/>
        </w:rPr>
        <w:t xml:space="preserve">Free fatty acid percentage</w:t>
      </w:r>
      <w:r>
        <w:rPr>
          <w:rFonts w:ascii="Arial" w:cs="Arial" w:eastAsia="Arial" w:hAnsi="Arial"/>
          <w:sz w:val="22"/>
          <w:szCs w:val="22"/>
        </w:rPr>
        <w:t xml:space="preserve"> (AOCS Ca 5a-40); </w:t>
      </w:r>
      <w:r>
        <w:rPr>
          <w:rFonts w:ascii="Arial" w:cs="Arial" w:eastAsia="Arial" w:hAnsi="Arial"/>
          <w:b/>
          <w:bCs/>
          <w:sz w:val="22"/>
          <w:szCs w:val="22"/>
        </w:rPr>
        <w:t xml:space="preserve">Peroxide Value (PV)</w:t>
      </w:r>
      <w:r>
        <w:rPr>
          <w:rFonts w:ascii="Arial" w:cs="Arial" w:eastAsia="Arial" w:hAnsi="Arial"/>
          <w:sz w:val="22"/>
          <w:szCs w:val="22"/>
        </w:rPr>
        <w:t xml:space="preserve"> measuring current active oxidation (AOCS Cd 8-53); </w:t>
      </w:r>
      <w:r>
        <w:rPr>
          <w:rFonts w:ascii="Arial" w:cs="Arial" w:eastAsia="Arial" w:hAnsi="Arial"/>
          <w:b/>
          <w:bCs/>
          <w:sz w:val="22"/>
          <w:szCs w:val="22"/>
        </w:rPr>
        <w:t xml:space="preserve">Anisidine Value (AV)</w:t>
      </w:r>
      <w:r>
        <w:rPr>
          <w:rFonts w:ascii="Arial" w:cs="Arial" w:eastAsia="Arial" w:hAnsi="Arial"/>
          <w:sz w:val="22"/>
          <w:szCs w:val="22"/>
        </w:rPr>
        <w:t xml:space="preserve"> measuring oxidation history (AOCS Cd 18-90); </w:t>
      </w:r>
      <w:r>
        <w:rPr>
          <w:rFonts w:ascii="Arial" w:cs="Arial" w:eastAsia="Arial" w:hAnsi="Arial"/>
          <w:b/>
          <w:bCs/>
          <w:sz w:val="22"/>
          <w:szCs w:val="22"/>
        </w:rPr>
        <w:t xml:space="preserve">TOTOX = 2×PV + AV</w:t>
      </w:r>
      <w:r>
        <w:rPr>
          <w:rFonts w:ascii="Arial" w:cs="Arial" w:eastAsia="Arial" w:hAnsi="Arial"/>
          <w:sz w:val="22"/>
          <w:szCs w:val="22"/>
        </w:rPr>
        <w:t xml:space="preserve"> as the comprehensive oxidation status indicator; </w:t>
      </w:r>
      <w:r>
        <w:rPr>
          <w:rFonts w:ascii="Arial" w:cs="Arial" w:eastAsia="Arial" w:hAnsi="Arial"/>
          <w:b/>
          <w:bCs/>
          <w:sz w:val="22"/>
          <w:szCs w:val="22"/>
        </w:rPr>
        <w:t xml:space="preserve">Polymer content</w:t>
      </w:r>
      <w:r>
        <w:rPr>
          <w:rFonts w:ascii="Arial" w:cs="Arial" w:eastAsia="Arial" w:hAnsi="Arial"/>
          <w:sz w:val="22"/>
          <w:szCs w:val="22"/>
        </w:rPr>
        <w:t xml:space="preserve"> (AOCS Cd 22-91); and </w:t>
      </w:r>
      <w:r>
        <w:rPr>
          <w:rFonts w:ascii="Arial" w:cs="Arial" w:eastAsia="Arial" w:hAnsi="Arial"/>
          <w:b/>
          <w:bCs/>
          <w:sz w:val="22"/>
          <w:szCs w:val="22"/>
        </w:rPr>
        <w:t xml:space="preserve">Full polar compound profile</w:t>
      </w:r>
      <w:r>
        <w:rPr>
          <w:rFonts w:ascii="Arial" w:cs="Arial" w:eastAsia="Arial" w:hAnsi="Arial"/>
          <w:sz w:val="22"/>
          <w:szCs w:val="22"/>
        </w:rPr>
        <w:t xml:space="preserve"> (AOCS/AOAC column chromatography). When to use: new oil brand assessment, litigation/complaint investigation, quality program verification, and research purposes.</w:t>
      </w:r>
    </w:p>
    <w:p>
      <w:r>
        <w:br w:type="page"/>
      </w:r>
    </w:p>
    <w:p>
      <w:pPr>
        <w:pStyle w:val="Heading1"/>
        <w:spacing w:before="480" w:after="240"/>
      </w:pPr>
      <w:r>
        <w:rPr>
          <w:rFonts w:ascii="Arial" w:cs="Arial" w:eastAsia="Arial" w:hAnsi="Arial"/>
          <w:b/>
          <w:bCs/>
          <w:sz w:val="32"/>
          <w:szCs w:val="32"/>
        </w:rPr>
        <w:t xml:space="preserve">PART 8: OIL SELECTION FOR PROFESSIONAL KITCHENS</w:t>
      </w:r>
    </w:p>
    <w:p>
      <w:pPr>
        <w:pStyle w:val="Heading2"/>
        <w:spacing w:before="360" w:after="180"/>
      </w:pPr>
      <w:r>
        <w:rPr>
          <w:rFonts w:ascii="Arial" w:cs="Arial" w:eastAsia="Arial" w:hAnsi="Arial"/>
          <w:b/>
          <w:bCs/>
          <w:sz w:val="28"/>
          <w:szCs w:val="28"/>
        </w:rPr>
        <w:t xml:space="preserve">8.1 Matching Oil to Application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Table 8.1: Oil Selection by Cooking Application</w:t>
      </w: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2300"/>
        <w:gridCol w:w="120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Application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Temp Range</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Requirement</w:t>
            </w:r>
          </w:p>
        </w:tc>
        <w:tc>
          <w:tcPr>
            <w:tcW w:type="dxa" w:w="2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Top Recommended Oils</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Minimum OSI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Deep frying (175–190°C)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OSI + fry life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HO Palm, HO Sunflower, Tallow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&gt;20 hrs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Pressure frying</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175°C sealed</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Hydrolysis resistance</w:t>
            </w:r>
          </w:p>
        </w:tc>
        <w:tc>
          <w:tcPr>
            <w:tcW w:type="dxa" w:w="2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HO Palm, Conv. Palm, Tallow</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&gt;20 hrs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Continuous/Industrial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170–185°C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Longevity + neutral</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HO Palm, HO Sunflower, HO Soy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&gt;40 hrs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Pan frying / Sauté</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150–200°C</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Flavor + stability</w:t>
            </w:r>
          </w:p>
        </w:tc>
        <w:tc>
          <w:tcPr>
            <w:tcW w:type="dxa" w:w="2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EVOO, Refined Olive, Avocado</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&gt;15 hrs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Finishing / Drizzle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heat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Flavor + polyphenols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EVOO, Sesame (toasted)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Stir frying</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200–230°C</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High smoke pt + quick</w:t>
            </w:r>
          </w:p>
        </w:tc>
        <w:tc>
          <w:tcPr>
            <w:tcW w:type="dxa" w:w="2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Avocado, HO Sunflower, Peanut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&gt;20 hrs</w:t>
            </w:r>
          </w:p>
        </w:tc>
      </w:tr>
    </w:tbl>
    <w:p>
      <w:pPr>
        <w:spacing w:after="120"/>
      </w:pPr>
    </w:p>
    <w:p>
      <w:pPr>
        <w:pStyle w:val="Heading2"/>
        <w:spacing w:before="360" w:after="180"/>
      </w:pPr>
      <w:r>
        <w:rPr>
          <w:rFonts w:ascii="Arial" w:cs="Arial" w:eastAsia="Arial" w:hAnsi="Arial"/>
          <w:b/>
          <w:bCs/>
          <w:sz w:val="28"/>
          <w:szCs w:val="28"/>
        </w:rPr>
        <w:t xml:space="preserve">8.2 The True Cost Calculation — Cost Per Fry Cycle</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Cost per liter or gallon is the wrong metric.</w:t>
      </w:r>
      <w:r>
        <w:rPr>
          <w:rFonts w:ascii="Arial" w:cs="Arial" w:eastAsia="Arial" w:hAnsi="Arial"/>
          <w:sz w:val="22"/>
          <w:szCs w:val="22"/>
        </w:rPr>
        <w:t xml:space="preserve"> A cheap oil that lasts 70 cycles costs more per productive fry cycle than an expensive oil that lasts 350 cycles. The correct formula: Cost per fry cycle = (Oil price per unit × oil volume) ÷ number of fry cycles before discard.</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Example A: HO Palm Oil (OxG Colombian)</w:t>
      </w:r>
      <w:r>
        <w:rPr>
          <w:rFonts w:ascii="Arial" w:cs="Arial" w:eastAsia="Arial" w:hAnsi="Arial"/>
          <w:sz w:val="22"/>
          <w:szCs w:val="22"/>
        </w:rPr>
        <w:t xml:space="preserve"> at $1,050/ton, 355 cycles. For a 50-lb fryer: approximately $24 per fill ÷ 355 cycles = $0.068 per fry cycle. </w:t>
      </w:r>
      <w:r>
        <w:rPr>
          <w:rFonts w:ascii="Arial" w:cs="Arial" w:eastAsia="Arial" w:hAnsi="Arial"/>
          <w:b/>
          <w:bCs/>
          <w:sz w:val="22"/>
          <w:szCs w:val="22"/>
        </w:rPr>
        <w:t xml:space="preserve">Conventional Sunflower</w:t>
      </w:r>
      <w:r>
        <w:rPr>
          <w:rFonts w:ascii="Arial" w:cs="Arial" w:eastAsia="Arial" w:hAnsi="Arial"/>
          <w:sz w:val="22"/>
          <w:szCs w:val="22"/>
        </w:rPr>
        <w:t xml:space="preserve"> at $1,262/ton, 107 cycles: approximately $28 per fill ÷ 107 cycles = $0.264 per fry cycle. The “cheaper” sunflower costs 3.9× more per fry cycle than HO palm oil.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Example B: Beef Tallow</w:t>
      </w:r>
      <w:r>
        <w:rPr>
          <w:rFonts w:ascii="Arial" w:cs="Arial" w:eastAsia="Arial" w:hAnsi="Arial"/>
          <w:sz w:val="22"/>
          <w:szCs w:val="22"/>
        </w:rPr>
        <w:t xml:space="preserve"> at $800/ton, 280 cycles: ~$18 per fill ÷ 280 = $0.064/cycle (the cheapest per cycle). </w:t>
      </w:r>
      <w:r>
        <w:rPr>
          <w:rFonts w:ascii="Arial" w:cs="Arial" w:eastAsia="Arial" w:hAnsi="Arial"/>
          <w:b/>
          <w:bCs/>
          <w:sz w:val="22"/>
          <w:szCs w:val="22"/>
        </w:rPr>
        <w:t xml:space="preserve">Grapeseed Oil</w:t>
      </w:r>
      <w:r>
        <w:rPr>
          <w:rFonts w:ascii="Arial" w:cs="Arial" w:eastAsia="Arial" w:hAnsi="Arial"/>
          <w:sz w:val="22"/>
          <w:szCs w:val="22"/>
        </w:rPr>
        <w:t xml:space="preserve"> at $2,000/ton, 70 cycles: ~$45 per fill ÷ 70 = $0.643/cycle (the most expensive per cycle—ten times the cost of tallow).</w:t>
      </w:r>
    </w:p>
    <w:p>
      <w:pPr>
        <w:spacing w:after="180" w:line="276"/>
      </w:pPr>
      <w:r>
        <w:rPr>
          <w:rFonts w:ascii="Arial" w:cs="Arial" w:eastAsia="Arial" w:hAnsi="Arial"/>
          <w:sz w:val="22"/>
          <w:szCs w:val="22"/>
        </w:rPr>
        <w:t xml:space="preserve">The quality-of-management multiplier: good filtration and oil management can extend any oil’s effective cycle count by 30–60%. This means the difference between a well-managed kitchen and a poorly managed one can be the equivalent of switching oil types entirely.</w:t>
      </w:r>
    </w:p>
    <w:p>
      <w:pPr>
        <w:pStyle w:val="Heading2"/>
        <w:spacing w:before="360" w:after="180"/>
      </w:pPr>
      <w:r>
        <w:rPr>
          <w:rFonts w:ascii="Arial" w:cs="Arial" w:eastAsia="Arial" w:hAnsi="Arial"/>
          <w:b/>
          <w:bCs/>
          <w:sz w:val="28"/>
          <w:szCs w:val="28"/>
        </w:rPr>
        <w:t xml:space="preserve">8.3 Flavor Considerations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Neutral oils</w:t>
      </w:r>
      <w:r>
        <w:rPr>
          <w:rFonts w:ascii="Arial" w:cs="Arial" w:eastAsia="Arial" w:hAnsi="Arial"/>
          <w:sz w:val="22"/>
          <w:szCs w:val="22"/>
        </w:rPr>
        <w:t xml:space="preserve"> (HO sunflower, refined canola, refined soy, refined palm olein) impart minimal to no detectable flavor. This is a virtue when the food’s own flavor should dominate. </w:t>
      </w:r>
      <w:r>
        <w:rPr>
          <w:rFonts w:ascii="Arial" w:cs="Arial" w:eastAsia="Arial" w:hAnsi="Arial"/>
          <w:b/>
          <w:bCs/>
          <w:sz w:val="22"/>
          <w:szCs w:val="22"/>
        </w:rPr>
        <w:t xml:space="preserve">Characterful oils</w:t>
      </w:r>
      <w:r>
        <w:rPr>
          <w:rFonts w:ascii="Arial" w:cs="Arial" w:eastAsia="Arial" w:hAnsi="Arial"/>
          <w:sz w:val="22"/>
          <w:szCs w:val="22"/>
        </w:rPr>
        <w:t xml:space="preserve"> (EVOO, sesame, peanut, coconut, tallow, lard, ghee) contribute distinctive flavors that are features in specific cuisines. Tallow fries have a rich, beefy savory note. Ghee adds buttery depth. Sesame oil adds a toasted, nutty signature. Flavor transfer from oil to food accumulates over fry cycles as degradation products build.</w:t>
      </w:r>
    </w:p>
    <w:p>
      <w:pPr>
        <w:pStyle w:val="Heading2"/>
        <w:spacing w:before="360" w:after="180"/>
      </w:pPr>
      <w:r>
        <w:rPr>
          <w:rFonts w:ascii="Arial" w:cs="Arial" w:eastAsia="Arial" w:hAnsi="Arial"/>
          <w:b/>
          <w:bCs/>
          <w:sz w:val="28"/>
          <w:szCs w:val="28"/>
        </w:rPr>
        <w:t xml:space="preserve">8.4 Allergen Management in Shared Fryers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spacing w:after="80"/>
            </w:pPr>
            <w:r>
              <w:rPr>
                <w:rFonts w:ascii="Arial" w:cs="Arial" w:eastAsia="Arial" w:hAnsi="Arial"/>
                <w:b/>
                <w:bCs/>
                <w:color w:val="333333"/>
                <w:sz w:val="20"/>
                <w:szCs w:val="20"/>
              </w:rPr>
              <w:t xml:space="preserve">▶ CRITICAL WARNING</w:t>
            </w:r>
          </w:p>
          <w:p>
            <w:pPr>
              <w:spacing w:after="0"/>
            </w:pPr>
            <w:r>
              <w:rPr>
                <w:rFonts w:ascii="Arial" w:cs="Arial" w:eastAsia="Arial" w:hAnsi="Arial"/>
                <w:sz w:val="21"/>
                <w:szCs w:val="21"/>
              </w:rPr>
              <w:t xml:space="preserve">Filtration does NOT remove allergen proteins from oil. The Big 9 allergens relevant to frying: peanut, tree nuts, sesame, fish, shellfish, wheat (via breading), soy, egg (in batters), milk (in batters and marinades). Allergen cross-contact in a shared fryer is a genuine safety risk. Dedicated fryers or documented full oil changes between allergen categories are required. FSMA allergen cross-contact provisions apply (FDA, current edition).</w:t>
            </w:r>
          </w:p>
        </w:tc>
      </w:tr>
    </w:tbl>
    <w:p>
      <w:pPr>
        <w:spacing w:after="120"/>
      </w:pPr>
    </w:p>
    <w:p>
      <w:pPr>
        <w:pStyle w:val="Heading2"/>
        <w:spacing w:before="360" w:after="180"/>
      </w:pPr>
      <w:r>
        <w:rPr>
          <w:rFonts w:ascii="Arial" w:cs="Arial" w:eastAsia="Arial" w:hAnsi="Arial"/>
          <w:b/>
          <w:bCs/>
          <w:sz w:val="28"/>
          <w:szCs w:val="28"/>
        </w:rPr>
        <w:t xml:space="preserve">8.5 Specialty Diet Considerations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Vegan / Plant-Based:</w:t>
      </w:r>
      <w:r>
        <w:rPr>
          <w:rFonts w:ascii="Arial" w:cs="Arial" w:eastAsia="Arial" w:hAnsi="Arial"/>
          <w:sz w:val="22"/>
          <w:szCs w:val="22"/>
        </w:rPr>
        <w:t xml:space="preserve"> No animal fat cross-contact. Dedicated fryer or documented oil change required. Oil selection must exclude tallow, lard, ghee. </w:t>
      </w:r>
      <w:r>
        <w:rPr>
          <w:rFonts w:ascii="Arial" w:cs="Arial" w:eastAsia="Arial" w:hAnsi="Arial"/>
          <w:b/>
          <w:bCs/>
          <w:sz w:val="22"/>
          <w:szCs w:val="22"/>
        </w:rPr>
        <w:t xml:space="preserve">Halal:</w:t>
      </w:r>
      <w:r>
        <w:rPr>
          <w:rFonts w:ascii="Arial" w:cs="Arial" w:eastAsia="Arial" w:hAnsi="Arial"/>
          <w:sz w:val="22"/>
          <w:szCs w:val="22"/>
        </w:rPr>
        <w:t xml:space="preserve"> Pork-derived fats (lard) prohibited. Shared fryers used for pork products cannot be used for halal items without full oil change and equipment purge. Halal-certified oils available. </w:t>
      </w:r>
      <w:r>
        <w:rPr>
          <w:rFonts w:ascii="Arial" w:cs="Arial" w:eastAsia="Arial" w:hAnsi="Arial"/>
          <w:b/>
          <w:bCs/>
          <w:sz w:val="22"/>
          <w:szCs w:val="22"/>
        </w:rPr>
        <w:t xml:space="preserve">Kosher:</w:t>
      </w:r>
      <w:r>
        <w:rPr>
          <w:rFonts w:ascii="Arial" w:cs="Arial" w:eastAsia="Arial" w:hAnsi="Arial"/>
          <w:sz w:val="22"/>
          <w:szCs w:val="22"/>
        </w:rPr>
        <w:t xml:space="preserve"> Meat-dairy separation applies to frying. A fryer used for meat products cannot be used for dairy items. Certified kosher oils available. Koshering protocols for fryer equipment exist. </w:t>
      </w:r>
      <w:r>
        <w:rPr>
          <w:rFonts w:ascii="Arial" w:cs="Arial" w:eastAsia="Arial" w:hAnsi="Arial"/>
          <w:b/>
          <w:bCs/>
          <w:sz w:val="22"/>
          <w:szCs w:val="22"/>
        </w:rPr>
        <w:t xml:space="preserve">Gluten-Free:</w:t>
      </w:r>
      <w:r>
        <w:rPr>
          <w:rFonts w:ascii="Arial" w:cs="Arial" w:eastAsia="Arial" w:hAnsi="Arial"/>
          <w:sz w:val="22"/>
          <w:szCs w:val="22"/>
        </w:rPr>
        <w:t xml:space="preserve"> Dedicated fryer required—wheat-based breading particles remain in oil after filtration. Full oil change required after gluten-containing items.</w:t>
      </w:r>
    </w:p>
    <w:p>
      <w:r>
        <w:br w:type="page"/>
      </w:r>
    </w:p>
    <w:p>
      <w:pPr>
        <w:pStyle w:val="Heading1"/>
        <w:spacing w:before="480" w:after="240"/>
      </w:pPr>
      <w:r>
        <w:rPr>
          <w:rFonts w:ascii="Arial" w:cs="Arial" w:eastAsia="Arial" w:hAnsi="Arial"/>
          <w:b/>
          <w:bCs/>
          <w:sz w:val="32"/>
          <w:szCs w:val="32"/>
        </w:rPr>
        <w:t xml:space="preserve">PART 9: HEALTH, SAFETY, AND REGULATORY CONTEXT</w:t>
      </w:r>
    </w:p>
    <w:p>
      <w:pPr>
        <w:pStyle w:val="Heading2"/>
        <w:spacing w:before="360" w:after="180"/>
      </w:pPr>
      <w:r>
        <w:rPr>
          <w:rFonts w:ascii="Arial" w:cs="Arial" w:eastAsia="Arial" w:hAnsi="Arial"/>
          <w:b/>
          <w:bCs/>
          <w:sz w:val="28"/>
          <w:szCs w:val="28"/>
        </w:rPr>
        <w:t xml:space="preserve">9.1 FDA Position and Regulatory Framework</w:t>
      </w:r>
    </w:p>
    <w:p>
      <w:pPr>
        <w:spacing w:after="180" w:line="276"/>
      </w:pPr>
      <w:r>
        <w:rPr>
          <w:rFonts w:ascii="Arial" w:cs="Arial" w:eastAsia="Arial" w:hAnsi="Arial"/>
          <w:sz w:val="22"/>
          <w:szCs w:val="22"/>
        </w:rPr>
        <w:t xml:space="preserve">Major frying oils carry FDA GRAS (Generally Recognized as Safe) status. The landmark 2015 FDA determination that partially hydrogenated oils (PHOs) are not GRAS effectively banned industrial trans fats from the US food supply by the 2018 compliance deadline. This means PHO-based shortenings—once the most common frying medium in American foodservice—are no longer permitted. The FDA Food Code (current edition) contains provisions relevant to oil management including temperature control requirements and equipment sanitation, but does not establish a TPM discard threshold.</w:t>
      </w:r>
    </w:p>
    <w:p>
      <w:pPr>
        <w:pStyle w:val="Heading2"/>
        <w:spacing w:before="360" w:after="180"/>
      </w:pPr>
      <w:r>
        <w:rPr>
          <w:rFonts w:ascii="Arial" w:cs="Arial" w:eastAsia="Arial" w:hAnsi="Arial"/>
          <w:b/>
          <w:bCs/>
          <w:sz w:val="28"/>
          <w:szCs w:val="28"/>
        </w:rPr>
        <w:t xml:space="preserve">9.2 NFPA 96 — Fire Safety in Commercial Frying</w:t>
      </w:r>
    </w:p>
    <w:p>
      <w:pPr>
        <w:spacing w:after="180" w:line="276"/>
      </w:pPr>
      <w:r>
        <w:rPr>
          <w:rFonts w:ascii="Arial" w:cs="Arial" w:eastAsia="Arial" w:hAnsi="Arial"/>
          <w:sz w:val="22"/>
          <w:szCs w:val="22"/>
        </w:rPr>
        <w:t xml:space="preserve">NFPA 96 (Standard for Ventilation Control and Fire Protection of Commercial Cooking Operations) governs the design, installation, and maintenance of commercial kitchen ventilation and fire suppression systems. Key concepts for oil management professionals: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Flash point</w:t>
      </w:r>
      <w:r>
        <w:rPr>
          <w:rFonts w:ascii="Arial" w:cs="Arial" w:eastAsia="Arial" w:hAnsi="Arial"/>
          <w:sz w:val="22"/>
          <w:szCs w:val="22"/>
        </w:rPr>
        <w:t xml:space="preserve"> is the temperature at which oil vapor can ignite in the presence of a spark or flame. Most cooking oils have flash points around 315°C (600°F). </w:t>
      </w:r>
      <w:r>
        <w:rPr>
          <w:rFonts w:ascii="Arial" w:cs="Arial" w:eastAsia="Arial" w:hAnsi="Arial"/>
          <w:b/>
          <w:bCs/>
          <w:sz w:val="22"/>
          <w:szCs w:val="22"/>
        </w:rPr>
        <w:t xml:space="preserve">Fire point</w:t>
      </w:r>
      <w:r>
        <w:rPr>
          <w:rFonts w:ascii="Arial" w:cs="Arial" w:eastAsia="Arial" w:hAnsi="Arial"/>
          <w:sz w:val="22"/>
          <w:szCs w:val="22"/>
        </w:rPr>
        <w:t xml:space="preserve"> is the temperature at which oil sustains continuous combustion—typically 30–50°C above flash point. </w:t>
      </w:r>
      <w:r>
        <w:rPr>
          <w:rFonts w:ascii="Arial" w:cs="Arial" w:eastAsia="Arial" w:hAnsi="Arial"/>
          <w:b/>
          <w:bCs/>
          <w:sz w:val="22"/>
          <w:szCs w:val="22"/>
        </w:rPr>
        <w:t xml:space="preserve">Autoignition temperature</w:t>
      </w:r>
      <w:r>
        <w:rPr>
          <w:rFonts w:ascii="Arial" w:cs="Arial" w:eastAsia="Arial" w:hAnsi="Arial"/>
          <w:sz w:val="22"/>
          <w:szCs w:val="22"/>
        </w:rPr>
        <w:t xml:space="preserve"> is the temperature at which oil ignites spontaneously without an external ignition source—typically 350–400°C for fresh oil. Critically, degraded and polymerized oil can autoignite at lower temperatures than fresh oil because polymeric residues on heating elements provide concentrated fuel sources.</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Grease fire suppression:</w:t>
      </w:r>
      <w:r>
        <w:rPr>
          <w:rFonts w:ascii="Arial" w:cs="Arial" w:eastAsia="Arial" w:hAnsi="Arial"/>
          <w:sz w:val="22"/>
          <w:szCs w:val="22"/>
        </w:rPr>
        <w:t xml:space="preserve"> Class K fire extinguishers and wet chemical suppression systems (per NFPA 17A) are required in all commercial kitchens with deep fryers. Wet chemical agents saponify (convert to soap) the burning oil, smothering and cooling the fire simultaneously. Good oil management directly reduces fire risk by keeping oil below the degradation levels at which flash point and autoignition temperature decrease.</w:t>
      </w:r>
    </w:p>
    <w:p>
      <w:pPr>
        <w:pStyle w:val="Heading2"/>
        <w:spacing w:before="360" w:after="180"/>
      </w:pPr>
      <w:r>
        <w:rPr>
          <w:rFonts w:ascii="Arial" w:cs="Arial" w:eastAsia="Arial" w:hAnsi="Arial"/>
          <w:b/>
          <w:bCs/>
          <w:sz w:val="28"/>
          <w:szCs w:val="28"/>
        </w:rPr>
        <w:t xml:space="preserve">9.3 Acrylamide — Formation, Risk, and Mitigation</w:t>
      </w:r>
    </w:p>
    <w:p>
      <w:pPr>
        <w:spacing w:after="180" w:line="276"/>
      </w:pPr>
      <w:r>
        <w:rPr>
          <w:rFonts w:ascii="Arial" w:cs="Arial" w:eastAsia="Arial" w:hAnsi="Arial"/>
          <w:sz w:val="22"/>
          <w:szCs w:val="22"/>
        </w:rPr>
        <w:t xml:space="preserve">Acrylamide is a chemical formed from asparagine (an amino acid) and reducing sugars under high heat via the Maillard reaction pathway at temperatures above 120°C. It forms primarily in starchy foods—potatoes generate the highest levels. EU Regulation 2017/2158 established benchmark levels and mandatory mitigation measures. FDA has issued guidance. Practical mitigation: fry potatoes at or below 175°C where possible, do not overcook to dark brown, refrigerate raw potatoes before frying (cold storage converts sugars, reducing acrylamide precursors), and choose lower-sugar potato varieties.</w:t>
      </w:r>
    </w:p>
    <w:p>
      <w:pPr>
        <w:pStyle w:val="Heading2"/>
        <w:spacing w:before="360" w:after="180"/>
      </w:pPr>
      <w:r>
        <w:rPr>
          <w:rFonts w:ascii="Arial" w:cs="Arial" w:eastAsia="Arial" w:hAnsi="Arial"/>
          <w:b/>
          <w:bCs/>
          <w:sz w:val="28"/>
          <w:szCs w:val="28"/>
        </w:rPr>
        <w:t xml:space="preserve">9.4 Aldehydes and VOCs — The Emerging Concern</w:t>
      </w:r>
    </w:p>
    <w:p>
      <w:pPr>
        <w:spacing w:after="180" w:line="276"/>
      </w:pPr>
      <w:r>
        <w:rPr>
          <w:rFonts w:ascii="Arial" w:cs="Arial" w:eastAsia="Arial" w:hAnsi="Arial"/>
          <w:sz w:val="22"/>
          <w:szCs w:val="22"/>
        </w:rPr>
        <w:t xml:space="preserve">When PUFA-rich oils are heated, they produce volatile aldehydes including malondialdehyde (MDA), 4-hydroxynonenal (HNE), hexanal, and acrolein. Martin et al. (2017) and Grootveld et al. (2017) demonstrated that PUFA-rich oils (sunflower, corn, soybean, grapeseed) produce dramatically more aldehydes than MUFA-rich oils at the same temperature. HNE is a known protein cross-linker implicated in Alzheimer’s, Parkinson’s, and liver disease research (Csala et al., 2015)—this is an area of active research, not settled science, but the direction of evidence is consistent.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Occupational exposure:</w:t>
      </w:r>
      <w:r>
        <w:rPr>
          <w:rFonts w:ascii="Arial" w:cs="Arial" w:eastAsia="Arial" w:hAnsi="Arial"/>
          <w:sz w:val="22"/>
          <w:szCs w:val="22"/>
        </w:rPr>
        <w:t xml:space="preserve"> Kitchen workers are exposed to oil fume aerosols during frying. Adequate ventilation per NFPA 96 is essential. From an aldehyde production standpoint, high-MUFA oils (HO palm, HO sunflower, olive) produce significantly lower VOC loads than conventional PUFA-rich oils—a legitimate occupational health argument for oil selection.</w:t>
      </w:r>
    </w:p>
    <w:p>
      <w:pPr>
        <w:pStyle w:val="Heading2"/>
        <w:spacing w:before="360" w:after="180"/>
      </w:pPr>
      <w:r>
        <w:rPr>
          <w:rFonts w:ascii="Arial" w:cs="Arial" w:eastAsia="Arial" w:hAnsi="Arial"/>
          <w:b/>
          <w:bCs/>
          <w:sz w:val="28"/>
          <w:szCs w:val="28"/>
        </w:rPr>
        <w:t xml:space="preserve">9.5 Occupational Safety in the Frying Kitchen</w:t>
      </w:r>
    </w:p>
    <w:p>
      <w:pPr>
        <w:spacing w:after="180" w:line="276"/>
      </w:pPr>
      <w:r>
        <w:rPr>
          <w:rFonts w:ascii="Arial" w:cs="Arial" w:eastAsia="Arial" w:hAnsi="Arial"/>
          <w:sz w:val="22"/>
          <w:szCs w:val="22"/>
        </w:rPr>
        <w:t xml:space="preserve">Oil at 175–190°C causes immediate serious burns. Required PPE: heat-resistant gloves, closed-toe non-slip shoes, apron, no loose clothing or dangling jewelry. Oil spillage is the most common cause of kitchen slip-and-fall injuries. Anti-fatigue mats around fryer stations must be non-slip and cleaned regularly. Used oil handling requires approved containers with locking lids for transport.</w:t>
      </w:r>
    </w:p>
    <w:p>
      <w:pPr>
        <w:pStyle w:val="Heading2"/>
        <w:spacing w:before="360" w:after="180"/>
      </w:pPr>
      <w:r>
        <w:rPr>
          <w:rFonts w:ascii="Arial" w:cs="Arial" w:eastAsia="Arial" w:hAnsi="Arial"/>
          <w:b/>
          <w:bCs/>
          <w:sz w:val="28"/>
          <w:szCs w:val="28"/>
        </w:rPr>
        <w:t xml:space="preserve">9.6 Used Cooking Oil (UCO) Disposal</w:t>
      </w:r>
    </w:p>
    <w:p>
      <w:pPr>
        <w:spacing w:after="180" w:line="276"/>
      </w:pPr>
      <w:r>
        <w:rPr>
          <w:rFonts w:ascii="Arial" w:cs="Arial" w:eastAsia="Arial" w:hAnsi="Arial"/>
          <w:sz w:val="22"/>
          <w:szCs w:val="22"/>
        </w:rPr>
        <w:t xml:space="preserve">UCO disposal is regulated because improperly discarded oil contaminates waterways and clogs municipal sewer systems. Approved disposal methods: licensed UCO haulers, rendering facilities, and biodiesel production (UCO is a valuable feedstock). Many operators now sell rather than pay for UCO disposal—market value fluctuates but typically ranges from $0.10–$0.30/lb. Records must include weight, date, and vendor information.</w:t>
      </w:r>
    </w:p>
    <w:p>
      <w:pPr>
        <w:pStyle w:val="Heading2"/>
        <w:spacing w:before="360" w:after="180"/>
      </w:pPr>
      <w:r>
        <w:rPr>
          <w:rFonts w:ascii="Arial" w:cs="Arial" w:eastAsia="Arial" w:hAnsi="Arial"/>
          <w:b/>
          <w:bCs/>
          <w:sz w:val="28"/>
          <w:szCs w:val="28"/>
        </w:rPr>
        <w:t xml:space="preserve">9.7 The Anti-Seed-Oil Movement — What Foodservice Professionals Need to Know</w:t>
      </w:r>
    </w:p>
    <w:p>
      <w:pPr>
        <w:spacing w:after="180" w:line="276"/>
      </w:pPr>
      <w:r>
        <w:rPr>
          <w:rFonts w:ascii="Arial" w:cs="Arial" w:eastAsia="Arial" w:hAnsi="Arial"/>
          <w:sz w:val="22"/>
          <w:szCs w:val="22"/>
        </w:rPr>
        <w:t xml:space="preserve">This topic is covered in detail in Part 2, Group D. In summary: the omega-6:3 ratio concern and the aldehyde production concern are scientifically supported. The claim that seed oils are the sole or primary cause of modern chronic disease is an overstatement not supported by the totality of evidence. The practical implication for operators: the shift toward higher-MUFA oils (HO palm, HO sunflower, olive) and the return of animal fats (tallow, lard) reflect both genuine science and cultural momentum. Evidence-based oil selection—using the data in this guide—serves operators better than either extreme of the debate.</w:t>
      </w:r>
    </w:p>
    <w:p>
      <w:r>
        <w:br w:type="page"/>
      </w:r>
    </w:p>
    <w:p>
      <w:pPr>
        <w:pStyle w:val="Heading1"/>
        <w:spacing w:before="480" w:after="240"/>
      </w:pPr>
      <w:r>
        <w:rPr>
          <w:rFonts w:ascii="Arial" w:cs="Arial" w:eastAsia="Arial" w:hAnsi="Arial"/>
          <w:b/>
          <w:bCs/>
          <w:sz w:val="32"/>
          <w:szCs w:val="32"/>
        </w:rPr>
        <w:t xml:space="preserve">PART 10: NCOMA CERTIFICATION — FRAMEWORK AND REQUIREMENTS</w:t>
      </w:r>
    </w:p>
    <w:p>
      <w:pPr>
        <w:pStyle w:val="Heading2"/>
        <w:spacing w:before="360" w:after="180"/>
      </w:pPr>
      <w:r>
        <w:rPr>
          <w:rFonts w:ascii="Arial" w:cs="Arial" w:eastAsia="Arial" w:hAnsi="Arial"/>
          <w:b/>
          <w:bCs/>
          <w:sz w:val="28"/>
          <w:szCs w:val="28"/>
        </w:rPr>
        <w:t xml:space="preserve">10.1 Certification Philosophy</w:t>
      </w:r>
    </w:p>
    <w:p>
      <w:pPr>
        <w:spacing w:after="180" w:line="276"/>
      </w:pPr>
      <w:r>
        <w:rPr>
          <w:rFonts w:ascii="Arial" w:cs="Arial" w:eastAsia="Arial" w:hAnsi="Arial"/>
          <w:sz w:val="22"/>
          <w:szCs w:val="22"/>
        </w:rPr>
        <w:t xml:space="preserve">The current state of oil management in American foodservice is poor. Most restaurants filter rarely or never, measure TPM never, and discard oil based on visual appearance alone or on arbitrary schedules rather than data. NCOMA certification means a kitchen has demonstrated knowledge-level understanding of oil chemistry and degradation, implemented operational protocols aligned with international best practice, and committed to data-driven oil management through regular testing, filtration, and record-keeping.</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Certification levels:</w:t>
      </w:r>
      <w:r>
        <w:rPr>
          <w:rFonts w:ascii="Arial" w:cs="Arial" w:eastAsia="Arial" w:hAnsi="Arial"/>
          <w:sz w:val="22"/>
          <w:szCs w:val="22"/>
        </w:rPr>
        <w:t xml:space="preserve"> Individual staff may earn </w:t>
      </w:r>
      <w:r>
        <w:rPr>
          <w:rFonts w:ascii="Arial" w:cs="Arial" w:eastAsia="Arial" w:hAnsi="Arial"/>
          <w:b/>
          <w:bCs/>
          <w:sz w:val="22"/>
          <w:szCs w:val="22"/>
        </w:rPr>
        <w:t xml:space="preserve">Certified Oil Technician (COT)</w:t>
      </w:r>
      <w:r>
        <w:rPr>
          <w:rFonts w:ascii="Arial" w:cs="Arial" w:eastAsia="Arial" w:hAnsi="Arial"/>
          <w:sz w:val="22"/>
          <w:szCs w:val="22"/>
        </w:rPr>
        <w:t xml:space="preserve"> status. Kitchen operations may earn </w:t>
      </w:r>
      <w:r>
        <w:rPr>
          <w:rFonts w:ascii="Arial" w:cs="Arial" w:eastAsia="Arial" w:hAnsi="Arial"/>
          <w:b/>
          <w:bCs/>
          <w:sz w:val="22"/>
          <w:szCs w:val="22"/>
        </w:rPr>
        <w:t xml:space="preserve">Certified Oil-Managed Kitchen (COMK)</w:t>
      </w:r>
      <w:r>
        <w:rPr>
          <w:rFonts w:ascii="Arial" w:cs="Arial" w:eastAsia="Arial" w:hAnsi="Arial"/>
          <w:sz w:val="22"/>
          <w:szCs w:val="22"/>
        </w:rPr>
        <w:t xml:space="preserve"> status. Multi-unit operators may earn </w:t>
      </w:r>
      <w:r>
        <w:rPr>
          <w:rFonts w:ascii="Arial" w:cs="Arial" w:eastAsia="Arial" w:hAnsi="Arial"/>
          <w:b/>
          <w:bCs/>
          <w:sz w:val="22"/>
          <w:szCs w:val="22"/>
        </w:rPr>
        <w:t xml:space="preserve">Certified Oil Management Program (COMP)</w:t>
      </w:r>
      <w:r>
        <w:rPr>
          <w:rFonts w:ascii="Arial" w:cs="Arial" w:eastAsia="Arial" w:hAnsi="Arial"/>
          <w:sz w:val="22"/>
          <w:szCs w:val="22"/>
        </w:rPr>
        <w:t xml:space="preserve"> status.</w:t>
      </w:r>
    </w:p>
    <w:p>
      <w:pPr>
        <w:pStyle w:val="Heading2"/>
        <w:spacing w:before="360" w:after="180"/>
      </w:pPr>
      <w:r>
        <w:rPr>
          <w:rFonts w:ascii="Arial" w:cs="Arial" w:eastAsia="Arial" w:hAnsi="Arial"/>
          <w:b/>
          <w:bCs/>
          <w:sz w:val="28"/>
          <w:szCs w:val="28"/>
        </w:rPr>
        <w:t xml:space="preserve">10.2 Knowledge Competencies — What Certified Staff Must Know</w:t>
      </w:r>
    </w:p>
    <w:p>
      <w:pPr>
        <w:pStyle w:val="Heading3"/>
        <w:spacing w:before="240" w:after="120"/>
      </w:pPr>
      <w:r>
        <w:rPr>
          <w:rFonts w:ascii="Arial" w:cs="Arial" w:eastAsia="Arial" w:hAnsi="Arial"/>
          <w:b/>
          <w:bCs/>
          <w:sz w:val="24"/>
          <w:szCs w:val="24"/>
        </w:rPr>
        <w:t xml:space="preserve">Knowledge Domain 1: Oil Chemistry Fundamentals</w:t>
      </w:r>
    </w:p>
    <w:p>
      <w:pPr>
        <w:spacing w:after="180" w:line="276"/>
      </w:pPr>
      <w:r>
        <w:rPr>
          <w:rFonts w:ascii="Arial" w:cs="Arial" w:eastAsia="Arial" w:hAnsi="Arial"/>
          <w:sz w:val="22"/>
          <w:szCs w:val="22"/>
        </w:rPr>
        <w:t xml:space="preserve">Staff must be able to: explain the difference between SAFA, MUFA, and PUFA and their implications for frying stability and health; describe all three degradation pathways (hydrolysis, oxidation, polymerization) and their triggers; define TPM and explain how it is formed; and articulate why smoke point alone is an insufficient measure of frying suitability while OSI is the more meaningful predictor.</w:t>
      </w:r>
    </w:p>
    <w:p>
      <w:pPr>
        <w:pStyle w:val="Heading3"/>
        <w:spacing w:before="240" w:after="120"/>
      </w:pPr>
      <w:r>
        <w:rPr>
          <w:rFonts w:ascii="Arial" w:cs="Arial" w:eastAsia="Arial" w:hAnsi="Arial"/>
          <w:b/>
          <w:bCs/>
          <w:sz w:val="24"/>
          <w:szCs w:val="24"/>
        </w:rPr>
        <w:t xml:space="preserve">Knowledge Domain 2: Fryer Equipment</w:t>
      </w:r>
    </w:p>
    <w:p>
      <w:pPr>
        <w:spacing w:after="180" w:line="276"/>
      </w:pPr>
      <w:r>
        <w:rPr>
          <w:rFonts w:ascii="Arial" w:cs="Arial" w:eastAsia="Arial" w:hAnsi="Arial"/>
          <w:sz w:val="22"/>
          <w:szCs w:val="22"/>
        </w:rPr>
        <w:t xml:space="preserve">Staff must know: fryer types and their degradation risk profiles; cold zone function and importance; surface-area-to-volume ratio and its impact on oxidation; and temperature calibration verification procedures.</w:t>
      </w:r>
    </w:p>
    <w:p>
      <w:pPr>
        <w:pStyle w:val="Heading3"/>
        <w:spacing w:before="240" w:after="120"/>
      </w:pPr>
      <w:r>
        <w:rPr>
          <w:rFonts w:ascii="Arial" w:cs="Arial" w:eastAsia="Arial" w:hAnsi="Arial"/>
          <w:b/>
          <w:bCs/>
          <w:sz w:val="24"/>
          <w:szCs w:val="24"/>
        </w:rPr>
        <w:t xml:space="preserve">Knowledge Domain 3: Ingredient Science</w:t>
      </w:r>
    </w:p>
    <w:p>
      <w:pPr>
        <w:spacing w:after="180" w:line="276"/>
      </w:pPr>
      <w:r>
        <w:rPr>
          <w:rFonts w:ascii="Arial" w:cs="Arial" w:eastAsia="Arial" w:hAnsi="Arial"/>
          <w:sz w:val="22"/>
          <w:szCs w:val="22"/>
        </w:rPr>
        <w:t xml:space="preserve">Staff must understand: moisture content and water activity by food category; why fish and seafood require dedicated fryers; the role of breading, batters, sugar, acid, and salt in oil degradation; and frozen product management best practices.</w:t>
      </w:r>
    </w:p>
    <w:p>
      <w:pPr>
        <w:pStyle w:val="Heading3"/>
        <w:spacing w:before="240" w:after="120"/>
      </w:pPr>
      <w:r>
        <w:rPr>
          <w:rFonts w:ascii="Arial" w:cs="Arial" w:eastAsia="Arial" w:hAnsi="Arial"/>
          <w:b/>
          <w:bCs/>
          <w:sz w:val="24"/>
          <w:szCs w:val="24"/>
        </w:rPr>
        <w:t xml:space="preserve">Knowledge Domain 4: Filtration</w:t>
      </w:r>
    </w:p>
    <w:p>
      <w:pPr>
        <w:spacing w:after="180" w:line="276"/>
      </w:pPr>
      <w:r>
        <w:rPr>
          <w:rFonts w:ascii="Arial" w:cs="Arial" w:eastAsia="Arial" w:hAnsi="Arial"/>
          <w:sz w:val="22"/>
          <w:szCs w:val="22"/>
        </w:rPr>
        <w:t xml:space="preserve">Staff must know: what filtration removes and does not remove; filtration media types and their capabilities; how to operate their specific filtration equipment correctly; and why the Zeco system’s 0.5-micron closed-loop technology represents best practice in commercial oil filtration.</w:t>
      </w:r>
    </w:p>
    <w:p>
      <w:pPr>
        <w:pStyle w:val="Heading3"/>
        <w:spacing w:before="240" w:after="120"/>
      </w:pPr>
      <w:r>
        <w:rPr>
          <w:rFonts w:ascii="Arial" w:cs="Arial" w:eastAsia="Arial" w:hAnsi="Arial"/>
          <w:b/>
          <w:bCs/>
          <w:sz w:val="24"/>
          <w:szCs w:val="24"/>
        </w:rPr>
        <w:t xml:space="preserve">Knowledge Domain 5: Testing and Monitoring</w:t>
      </w:r>
    </w:p>
    <w:p>
      <w:pPr>
        <w:spacing w:after="180" w:line="276"/>
      </w:pPr>
      <w:r>
        <w:rPr>
          <w:rFonts w:ascii="Arial" w:cs="Arial" w:eastAsia="Arial" w:hAnsi="Arial"/>
          <w:sz w:val="22"/>
          <w:szCs w:val="22"/>
        </w:rPr>
        <w:t xml:space="preserve">Staff must demonstrate: correct TPM meter operation; ability to interpret results and make discard decisions using the NCOMA decision tree; sensory evaluation techniques (color, viscosity, foam, smoke, smell); and proper Oil Log record-keeping.</w:t>
      </w:r>
    </w:p>
    <w:p>
      <w:pPr>
        <w:pStyle w:val="Heading3"/>
        <w:spacing w:before="240" w:after="120"/>
      </w:pPr>
      <w:r>
        <w:rPr>
          <w:rFonts w:ascii="Arial" w:cs="Arial" w:eastAsia="Arial" w:hAnsi="Arial"/>
          <w:b/>
          <w:bCs/>
          <w:sz w:val="24"/>
          <w:szCs w:val="24"/>
        </w:rPr>
        <w:t xml:space="preserve">Knowledge Domain 6: Regulatory and Safety</w:t>
      </w:r>
    </w:p>
    <w:p>
      <w:pPr>
        <w:spacing w:after="180" w:line="276"/>
      </w:pPr>
      <w:r>
        <w:rPr>
          <w:rFonts w:ascii="Arial" w:cs="Arial" w:eastAsia="Arial" w:hAnsi="Arial"/>
          <w:sz w:val="22"/>
          <w:szCs w:val="22"/>
        </w:rPr>
        <w:t xml:space="preserve">Staff must understand: international TPM discard thresholds; NFPA 96 fire safety basics relevant to frying; acrylamide formation and mitigation; and allergen cross-contact management in shared fryers.</w:t>
      </w:r>
    </w:p>
    <w:p>
      <w:pPr>
        <w:pStyle w:val="Heading2"/>
        <w:spacing w:before="360" w:after="180"/>
      </w:pPr>
      <w:r>
        <w:rPr>
          <w:rFonts w:ascii="Arial" w:cs="Arial" w:eastAsia="Arial" w:hAnsi="Arial"/>
          <w:b/>
          <w:bCs/>
          <w:sz w:val="28"/>
          <w:szCs w:val="28"/>
        </w:rPr>
        <w:t xml:space="preserve">10.3 Operational Competencies — What Certified Kitchens Must Do</w:t>
      </w:r>
    </w:p>
    <w:p>
      <w:pPr>
        <w:spacing w:after="180" w:line="276"/>
      </w:pPr>
      <w:r>
        <w:rPr>
          <w:rFonts w:ascii="Arial" w:cs="Arial" w:eastAsia="Arial" w:hAnsi="Arial"/>
          <w:sz w:val="22"/>
          <w:szCs w:val="22"/>
        </w:rPr>
        <w:t xml:space="preserve">Each standard is specific, measurable, and enforceable:</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Filtration:</w:t>
      </w:r>
      <w:r>
        <w:rPr>
          <w:rFonts w:ascii="Arial" w:cs="Arial" w:eastAsia="Arial" w:hAnsi="Arial"/>
          <w:sz w:val="22"/>
          <w:szCs w:val="22"/>
        </w:rPr>
        <w:t xml:space="preserve"> Minimum daily filtration during every active service period; documented in Oil Log.</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TPM testing:</w:t>
      </w:r>
      <w:r>
        <w:rPr>
          <w:rFonts w:ascii="Arial" w:cs="Arial" w:eastAsia="Arial" w:hAnsi="Arial"/>
          <w:sz w:val="22"/>
          <w:szCs w:val="22"/>
        </w:rPr>
        <w:t xml:space="preserve"> Minimum daily in operations running 4+ hours of continuous frying; recommended every service period during heavy frying.</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Discard threshold:</w:t>
      </w:r>
      <w:r>
        <w:rPr>
          <w:rFonts w:ascii="Arial" w:cs="Arial" w:eastAsia="Arial" w:hAnsi="Arial"/>
          <w:sz w:val="22"/>
          <w:szCs w:val="22"/>
        </w:rPr>
        <w:t xml:space="preserve"> 25% TPM or sensory triggers, whichever first.</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Temperature management:</w:t>
      </w:r>
      <w:r>
        <w:rPr>
          <w:rFonts w:ascii="Arial" w:cs="Arial" w:eastAsia="Arial" w:hAnsi="Arial"/>
          <w:sz w:val="22"/>
          <w:szCs w:val="22"/>
        </w:rPr>
        <w:t xml:space="preserve"> Thermostat verification within ±5°C weekly; idle setback to 120–130°C; temperature log maintained.</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Oil storage:</w:t>
      </w:r>
      <w:r>
        <w:rPr>
          <w:rFonts w:ascii="Arial" w:cs="Arial" w:eastAsia="Arial" w:hAnsi="Arial"/>
          <w:sz w:val="22"/>
          <w:szCs w:val="22"/>
        </w:rPr>
        <w:t xml:space="preserve"> Sealed, dark, cool; FIFO rotation; no clear containers near light.</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Post-boil-out protocol:</w:t>
      </w:r>
      <w:r>
        <w:rPr>
          <w:rFonts w:ascii="Arial" w:cs="Arial" w:eastAsia="Arial" w:hAnsi="Arial"/>
          <w:sz w:val="22"/>
          <w:szCs w:val="22"/>
        </w:rPr>
        <w:t xml:space="preserve"> Sacrificial oil rinse before new oil load.</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Utensil standards:</w:t>
      </w:r>
      <w:r>
        <w:rPr>
          <w:rFonts w:ascii="Arial" w:cs="Arial" w:eastAsia="Arial" w:hAnsi="Arial"/>
          <w:sz w:val="22"/>
          <w:szCs w:val="22"/>
        </w:rPr>
        <w:t xml:space="preserve"> Stainless steel only for oil contact.</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Salt protocol:</w:t>
      </w:r>
      <w:r>
        <w:rPr>
          <w:rFonts w:ascii="Arial" w:cs="Arial" w:eastAsia="Arial" w:hAnsi="Arial"/>
          <w:sz w:val="22"/>
          <w:szCs w:val="22"/>
        </w:rPr>
        <w:t xml:space="preserve"> Pass-only salting; never above fryer.</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Cover protocol:</w:t>
      </w:r>
      <w:r>
        <w:rPr>
          <w:rFonts w:ascii="Arial" w:cs="Arial" w:eastAsia="Arial" w:hAnsi="Arial"/>
          <w:sz w:val="22"/>
          <w:szCs w:val="22"/>
        </w:rPr>
        <w:t xml:space="preserve"> Fryers covered when not in active use.</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Fish/allergen isolation:</w:t>
      </w:r>
      <w:r>
        <w:rPr>
          <w:rFonts w:ascii="Arial" w:cs="Arial" w:eastAsia="Arial" w:hAnsi="Arial"/>
          <w:sz w:val="22"/>
          <w:szCs w:val="22"/>
        </w:rPr>
        <w:t xml:space="preserve"> Dedicated fryer or documented full oil change protocol.</w:t>
      </w:r>
    </w:p>
    <w:p>
      <w:pPr>
        <w:spacing w:after="180" w:line="276"/>
      </w:pPr>
      <w:r>
        <w:rPr>
          <w:rFonts w:ascii="Arial" w:cs="Arial" w:eastAsia="Arial" w:hAnsi="Arial"/>
          <w:sz w:val="22"/>
          <w:szCs w:val="22"/>
        </w:rPr>
        <w:t xml:space="preserve">• </w:t>
      </w:r>
      <w:r>
        <w:rPr>
          <w:rFonts w:ascii="Arial" w:cs="Arial" w:eastAsia="Arial" w:hAnsi="Arial"/>
          <w:b/>
          <w:bCs/>
          <w:sz w:val="22"/>
          <w:szCs w:val="22"/>
        </w:rPr>
        <w:t xml:space="preserve">Record-keeping:</w:t>
      </w:r>
      <w:r>
        <w:rPr>
          <w:rFonts w:ascii="Arial" w:cs="Arial" w:eastAsia="Arial" w:hAnsi="Arial"/>
          <w:sz w:val="22"/>
          <w:szCs w:val="22"/>
        </w:rPr>
        <w:t xml:space="preserve"> Oil Log maintained, available for inspection.</w:t>
      </w:r>
    </w:p>
    <w:p>
      <w:pPr>
        <w:pStyle w:val="Heading2"/>
        <w:spacing w:before="360" w:after="180"/>
      </w:pPr>
      <w:r>
        <w:rPr>
          <w:rFonts w:ascii="Arial" w:cs="Arial" w:eastAsia="Arial" w:hAnsi="Arial"/>
          <w:b/>
          <w:bCs/>
          <w:sz w:val="28"/>
          <w:szCs w:val="28"/>
        </w:rPr>
        <w:t xml:space="preserve">10.4 The NCOMA Oil Log — Daily Tracking Instrument</w:t>
      </w:r>
    </w:p>
    <w:p>
      <w:pPr>
        <w:spacing w:after="180" w:line="276"/>
      </w:pPr>
      <w:r>
        <w:rPr>
          <w:rFonts w:ascii="Arial" w:cs="Arial" w:eastAsia="Arial" w:hAnsi="Arial"/>
          <w:sz w:val="22"/>
          <w:szCs w:val="22"/>
        </w:rPr>
        <w:t xml:space="preserve">The Oil Log is the backbone of data-driven oil management. Every field exists for a specific reason:</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Per-Session Fields:</w:t>
      </w:r>
      <w:r>
        <w:rPr>
          <w:rFonts w:ascii="Arial" w:cs="Arial" w:eastAsia="Arial" w:hAnsi="Arial"/>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Date, Service Period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Track temporal patterns; identify high-degradation shifts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Fryer ID, Oil Type</w:t>
            </w:r>
          </w:p>
        </w:tc>
        <w:tc>
          <w:tcPr>
            <w:tcW w:type="dxa" w:w="6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Link quality data to specific equipment and oil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Oil Temp at Start</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Verify thermostat accuracy; detect calibration drift</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TPM at Service Start</w:t>
            </w:r>
          </w:p>
        </w:tc>
        <w:tc>
          <w:tcPr>
            <w:tcW w:type="dxa" w:w="6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Baseline before frying; trend tracking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Primary Food Category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Correlate food type with degradation rate</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Filtration (Y/N), Media Changed</w:t>
            </w:r>
          </w:p>
        </w:tc>
        <w:tc>
          <w:tcPr>
            <w:tcW w:type="dxa" w:w="6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Compliance tracking; filter media inventory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Top-Off Volume Added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Track total oil consumption; calculate cost per cycle</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TPM at Service End</w:t>
            </w:r>
          </w:p>
        </w:tc>
        <w:tc>
          <w:tcPr>
            <w:tcW w:type="dxa" w:w="6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Measure degradation per service; detect anomalies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Visual/Sensory (1–5)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Backup quality metric; staff awareness tool</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Discard Decision (Y/N)</w:t>
            </w:r>
          </w:p>
        </w:tc>
        <w:tc>
          <w:tcPr>
            <w:tcW w:type="dxa" w:w="6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Document all discard events with volume/method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Staff Name/Initials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Accountability; training compliance</w:t>
            </w:r>
          </w:p>
        </w:tc>
      </w:tr>
    </w:tbl>
    <w:p>
      <w:pPr>
        <w:spacing w:after="120"/>
      </w:pP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Weekly Summary:</w:t>
      </w:r>
      <w:r>
        <w:rPr>
          <w:rFonts w:ascii="Arial" w:cs="Arial" w:eastAsia="Arial" w:hAnsi="Arial"/>
          <w:sz w:val="22"/>
          <w:szCs w:val="22"/>
        </w:rPr>
        <w:t xml:space="preserve"> Cumulative oil age (days since full change); total filtration sessions; average TPM trend; overheat/contamination incidents; weekly oil cost.</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Monthly Summary:</w:t>
      </w:r>
      <w:r>
        <w:rPr>
          <w:rFonts w:ascii="Arial" w:cs="Arial" w:eastAsia="Arial" w:hAnsi="Arial"/>
          <w:sz w:val="22"/>
          <w:szCs w:val="22"/>
        </w:rPr>
        <w:t xml:space="preserve"> Average oil life per load (days); total oil purchased/discarded/recovered; cost per fry cycle calculated; staff compliance rate; regulatory inspection notes.</w:t>
      </w:r>
    </w:p>
    <w:p>
      <w:pPr>
        <w:pStyle w:val="Heading2"/>
        <w:spacing w:before="360" w:after="180"/>
      </w:pPr>
      <w:r>
        <w:rPr>
          <w:rFonts w:ascii="Arial" w:cs="Arial" w:eastAsia="Arial" w:hAnsi="Arial"/>
          <w:b/>
          <w:bCs/>
          <w:sz w:val="28"/>
          <w:szCs w:val="28"/>
        </w:rPr>
        <w:t xml:space="preserve">10.5 Certification Checklist — Kitchen Inspection Format</w:t>
      </w:r>
    </w:p>
    <w:p>
      <w:pPr>
        <w:spacing w:after="180" w:line="276"/>
      </w:pPr>
      <w:r>
        <w:rPr>
          <w:rFonts w:ascii="Arial" w:cs="Arial" w:eastAsia="Arial" w:hAnsi="Arial"/>
          <w:sz w:val="22"/>
          <w:szCs w:val="22"/>
        </w:rPr>
        <w:t xml:space="preserve">The following checklist is used for NCOMA kitchen certification inspections. Each item is pass/fail. Overall pass requires 85% score with no zero scores in Section C (Oil Quality at Inspection).</w:t>
      </w:r>
    </w:p>
    <w:p>
      <w:pPr>
        <w:pStyle w:val="Heading3"/>
        <w:spacing w:before="240" w:after="120"/>
      </w:pPr>
      <w:r>
        <w:rPr>
          <w:rFonts w:ascii="Arial" w:cs="Arial" w:eastAsia="Arial" w:hAnsi="Arial"/>
          <w:b/>
          <w:bCs/>
          <w:sz w:val="24"/>
          <w:szCs w:val="24"/>
        </w:rPr>
        <w:t xml:space="preserve">Section A: Knowledge Assessment (Staff Interview)</w:t>
      </w:r>
    </w:p>
    <w:p>
      <w:pPr>
        <w:spacing w:after="180" w:line="276"/>
      </w:pPr>
      <w:r>
        <w:rPr>
          <w:rFonts w:ascii="Arial" w:cs="Arial" w:eastAsia="Arial" w:hAnsi="Arial"/>
          <w:sz w:val="22"/>
          <w:szCs w:val="22"/>
        </w:rPr>
        <w:t xml:space="preserve">[ ] Staff can name the three oil degradation pathways (hydrolysis, oxidation, polymerization)
[ ] Staff can explain what TPM is without reference material
[ ] Staff know the NCOMA discard threshold (25% TPM)
[ ] Staff can demonstrate correct TPM meter operation
[ ] Staff know why fish requires a dedicated fryer
[ ] Staff can explain why salt must never be applied above the fryer
[ ] Staff can describe correct filtration procedure for their specific equipment</w:t>
      </w:r>
    </w:p>
    <w:p>
      <w:pPr>
        <w:pStyle w:val="Heading3"/>
        <w:spacing w:before="240" w:after="120"/>
      </w:pPr>
      <w:r>
        <w:rPr>
          <w:rFonts w:ascii="Arial" w:cs="Arial" w:eastAsia="Arial" w:hAnsi="Arial"/>
          <w:b/>
          <w:bCs/>
          <w:sz w:val="24"/>
          <w:szCs w:val="24"/>
        </w:rPr>
        <w:t xml:space="preserve">Section B: Equipment Inspection</w:t>
      </w:r>
    </w:p>
    <w:p>
      <w:pPr>
        <w:spacing w:after="180" w:line="276"/>
      </w:pPr>
      <w:r>
        <w:rPr>
          <w:rFonts w:ascii="Arial" w:cs="Arial" w:eastAsia="Arial" w:hAnsi="Arial"/>
          <w:sz w:val="22"/>
          <w:szCs w:val="22"/>
        </w:rPr>
        <w:t xml:space="preserve">[ ] Fryer thermostat verified accurate within ±5°C (verification log present)
[ ] Fryer vessel is stainless steel or documented equivalent
[ ] No copper or brass utensils in oil contact
[ ] Filtration equipment present and in working order
[ ] Filter media inventory adequate (minimum one week supply)
[ ] TPM meter present, calibration current, batteries charged
[ ] Fryer covers present and accessible</w:t>
      </w:r>
    </w:p>
    <w:p>
      <w:pPr>
        <w:pStyle w:val="Heading3"/>
        <w:spacing w:before="240" w:after="120"/>
      </w:pPr>
      <w:r>
        <w:rPr>
          <w:rFonts w:ascii="Arial" w:cs="Arial" w:eastAsia="Arial" w:hAnsi="Arial"/>
          <w:b/>
          <w:bCs/>
          <w:sz w:val="24"/>
          <w:szCs w:val="24"/>
        </w:rPr>
        <w:t xml:space="preserve">Section C: Oil Quality at Inspection</w:t>
      </w:r>
    </w:p>
    <w:p>
      <w:pPr>
        <w:spacing w:after="180" w:line="276"/>
      </w:pPr>
      <w:r>
        <w:rPr>
          <w:rFonts w:ascii="Arial" w:cs="Arial" w:eastAsia="Arial" w:hAnsi="Arial"/>
          <w:sz w:val="22"/>
          <w:szCs w:val="22"/>
        </w:rPr>
        <w:t xml:space="preserve">[ ] TPM reading taken and recorded at time of inspection
[ ] TPM reading is below 25%
[ ] Oil color within acceptable range for oil type
[ ] No persistent foam at operating temperature
[ ] No smoke at operating temperature
[ ] Oil viscosity normal for oil type (drip test)</w:t>
      </w:r>
    </w:p>
    <w:p>
      <w:pPr>
        <w:pStyle w:val="Heading3"/>
        <w:spacing w:before="240" w:after="120"/>
      </w:pPr>
      <w:r>
        <w:rPr>
          <w:rFonts w:ascii="Arial" w:cs="Arial" w:eastAsia="Arial" w:hAnsi="Arial"/>
          <w:b/>
          <w:bCs/>
          <w:sz w:val="24"/>
          <w:szCs w:val="24"/>
        </w:rPr>
        <w:t xml:space="preserve">Section D: Operational Protocols</w:t>
      </w:r>
    </w:p>
    <w:p>
      <w:pPr>
        <w:spacing w:after="180" w:line="276"/>
      </w:pPr>
      <w:r>
        <w:rPr>
          <w:rFonts w:ascii="Arial" w:cs="Arial" w:eastAsia="Arial" w:hAnsi="Arial"/>
          <w:sz w:val="22"/>
          <w:szCs w:val="22"/>
        </w:rPr>
        <w:t xml:space="preserve">[ ] Salt station at the pass, not above or near the fryer
[ ] Oil storage sealed, dark, away from heat
[ ] FIFO rotation evident in storage area
[ ] No clear containers for bulk oil near light exposure
[ ] Post-boil-out sacrificial rinse protocol posted or demonstrable
[ ] Fish/allergen fryer dedicated or documented oil change protocol in place</w:t>
      </w:r>
    </w:p>
    <w:p>
      <w:pPr>
        <w:pStyle w:val="Heading3"/>
        <w:spacing w:before="240" w:after="120"/>
      </w:pPr>
      <w:r>
        <w:rPr>
          <w:rFonts w:ascii="Arial" w:cs="Arial" w:eastAsia="Arial" w:hAnsi="Arial"/>
          <w:b/>
          <w:bCs/>
          <w:sz w:val="24"/>
          <w:szCs w:val="24"/>
        </w:rPr>
        <w:t xml:space="preserve">Section E: Record-Keeping</w:t>
      </w:r>
    </w:p>
    <w:p>
      <w:pPr>
        <w:spacing w:after="180" w:line="276"/>
      </w:pPr>
      <w:r>
        <w:rPr>
          <w:rFonts w:ascii="Arial" w:cs="Arial" w:eastAsia="Arial" w:hAnsi="Arial"/>
          <w:sz w:val="22"/>
          <w:szCs w:val="22"/>
        </w:rPr>
        <w:t xml:space="preserve">[ ] NCOMA Oil Log is current (entries within last service period)
[ ] Oil Log includes TPM readings, filtration events, discard decisions
[ ] At least 30 days of Oil Log history available for review
[ ] UCO disposal records present (hauler receipts or disposal log)</w:t>
      </w:r>
    </w:p>
    <w:p>
      <w:pPr>
        <w:pStyle w:val="Heading3"/>
        <w:spacing w:before="240" w:after="120"/>
      </w:pPr>
      <w:r>
        <w:rPr>
          <w:rFonts w:ascii="Arial" w:cs="Arial" w:eastAsia="Arial" w:hAnsi="Arial"/>
          <w:b/>
          <w:bCs/>
          <w:sz w:val="24"/>
          <w:szCs w:val="24"/>
        </w:rPr>
        <w:t xml:space="preserve">Section F: Filtration Compliance</w:t>
      </w:r>
    </w:p>
    <w:p>
      <w:pPr>
        <w:spacing w:after="180" w:line="276"/>
      </w:pPr>
      <w:r>
        <w:rPr>
          <w:rFonts w:ascii="Arial" w:cs="Arial" w:eastAsia="Arial" w:hAnsi="Arial"/>
          <w:sz w:val="22"/>
          <w:szCs w:val="22"/>
        </w:rPr>
        <w:t xml:space="preserve">[ ] Filtration log shows daily filtration during service periods
[ ] Filter media change records present
[ ] No visible carbon buildup on fryer heating elements
[ ] Filtration equipment clean and functional</w:t>
      </w:r>
    </w:p>
    <w:p>
      <w:pPr>
        <w:spacing w:after="180" w:line="276"/>
      </w:pPr>
      <w:r>
        <w:rPr>
          <w:rFonts w:ascii="Arial" w:cs="Arial" w:eastAsia="Arial" w:hAnsi="Arial"/>
          <w:sz w:val="22"/>
          <w:szCs w:val="22"/>
        </w:rPr>
        <w:t xml:space="preserve"/>
      </w:r>
      <w:r>
        <w:rPr>
          <w:rFonts w:ascii="Arial" w:cs="Arial" w:eastAsia="Arial" w:hAnsi="Arial"/>
          <w:b/>
          <w:bCs/>
          <w:sz w:val="22"/>
          <w:szCs w:val="22"/>
        </w:rPr>
        <w:t xml:space="preserve">Scoring:</w:t>
      </w:r>
      <w:r>
        <w:rPr>
          <w:rFonts w:ascii="Arial" w:cs="Arial" w:eastAsia="Arial" w:hAnsi="Arial"/>
          <w:sz w:val="22"/>
          <w:szCs w:val="22"/>
        </w:rPr>
        <w:t xml:space="preserve"> 5 points per item. Pass = 85% overall, with no zero scores in Section C. Sections A–F weighted equally.</w:t>
      </w:r>
    </w:p>
    <w:p>
      <w:pPr>
        <w:pStyle w:val="Heading2"/>
        <w:spacing w:before="360" w:after="180"/>
      </w:pPr>
      <w:r>
        <w:rPr>
          <w:rFonts w:ascii="Arial" w:cs="Arial" w:eastAsia="Arial" w:hAnsi="Arial"/>
          <w:b/>
          <w:bCs/>
          <w:sz w:val="28"/>
          <w:szCs w:val="28"/>
        </w:rPr>
        <w:t xml:space="preserve">10.6 Certification Renewal and Continuing Education</w:t>
      </w:r>
    </w:p>
    <w:p>
      <w:pPr>
        <w:spacing w:after="180" w:line="276"/>
      </w:pPr>
      <w:r>
        <w:rPr>
          <w:rFonts w:ascii="Arial" w:cs="Arial" w:eastAsia="Arial" w:hAnsi="Arial"/>
          <w:sz w:val="22"/>
          <w:szCs w:val="22"/>
        </w:rPr>
        <w:t xml:space="preserve">Individual COT certification is valid for 2 years. Kitchen COMK certification requires annual inspection. Renewal requires: updated knowledge assessment, current Oil Log review, and passing inspection. Continuing education includes updates on new oil research, equipment changes, regulatory developments, and evolving best practices. NCOMA will communicate updates to certified operations through regular bulletins.</w:t>
      </w:r>
    </w:p>
    <w:p>
      <w:r>
        <w:br w:type="page"/>
      </w:r>
    </w:p>
    <w:p>
      <w:pPr>
        <w:pStyle w:val="Heading1"/>
        <w:spacing w:before="480" w:after="240"/>
      </w:pPr>
      <w:r>
        <w:rPr>
          <w:rFonts w:ascii="Arial" w:cs="Arial" w:eastAsia="Arial" w:hAnsi="Arial"/>
          <w:b/>
          <w:bCs/>
          <w:sz w:val="32"/>
          <w:szCs w:val="32"/>
        </w:rPr>
        <w:t xml:space="preserve">BIBLIOGRAPHY</w:t>
      </w:r>
    </w:p>
    <w:p>
      <w:pPr>
        <w:spacing w:after="180" w:line="276"/>
      </w:pPr>
      <w:r>
        <w:rPr>
          <w:rFonts w:ascii="Arial" w:cs="Arial" w:eastAsia="Arial" w:hAnsi="Arial"/>
          <w:sz w:val="22"/>
          <w:szCs w:val="22"/>
        </w:rPr>
        <w:t xml:space="preserve">Alcock, T. D., Salt, D. E., Wilson, P., &amp; Sheridan, R. (2022). GHG emissions from vegetable oil production. Science of the Total Environment, 838, 156308.</w:t>
      </w:r>
    </w:p>
    <w:p>
      <w:pPr>
        <w:spacing w:after="180" w:line="276"/>
      </w:pPr>
      <w:r>
        <w:rPr>
          <w:rFonts w:ascii="Arial" w:cs="Arial" w:eastAsia="Arial" w:hAnsi="Arial"/>
          <w:sz w:val="22"/>
          <w:szCs w:val="22"/>
        </w:rPr>
        <w:t xml:space="preserve">American Heart Association. (2021). Dietary fats and cardiovascular disease: A presidential advisory. Circulation, 136(3), e1–e23.</w:t>
      </w:r>
    </w:p>
    <w:p>
      <w:pPr>
        <w:spacing w:after="180" w:line="276"/>
      </w:pPr>
      <w:r>
        <w:rPr>
          <w:rFonts w:ascii="Arial" w:cs="Arial" w:eastAsia="Arial" w:hAnsi="Arial"/>
          <w:sz w:val="22"/>
          <w:szCs w:val="22"/>
        </w:rPr>
        <w:t xml:space="preserve">American Oil Chemists’ Society (AOCS). Official Methods and Recommended Practices of the AOCS. Various editions.</w:t>
      </w:r>
    </w:p>
    <w:p>
      <w:pPr>
        <w:spacing w:after="180" w:line="276"/>
      </w:pPr>
      <w:r>
        <w:rPr>
          <w:rFonts w:ascii="Arial" w:cs="Arial" w:eastAsia="Arial" w:hAnsi="Arial"/>
          <w:sz w:val="22"/>
          <w:szCs w:val="22"/>
        </w:rPr>
        <w:t xml:space="preserve">Choe, E., &amp; Min, D. B. (2007). Chemistry of deep-fat frying oils. Comprehensive Reviews in Food Science and Food Safety, 6(4), 155–175.</w:t>
      </w:r>
    </w:p>
    <w:p>
      <w:pPr>
        <w:spacing w:after="180" w:line="276"/>
      </w:pPr>
      <w:r>
        <w:rPr>
          <w:rFonts w:ascii="Arial" w:cs="Arial" w:eastAsia="Arial" w:hAnsi="Arial"/>
          <w:sz w:val="22"/>
          <w:szCs w:val="22"/>
        </w:rPr>
        <w:t xml:space="preserve">Csala, M., Bánhegyi, G., &amp; Benedetti, A. (2015). Lipid peroxidation-derived reactive aldehydes and their role in cellular dysfunction. BBA - Molecular Basis of Disease, 1852(8), 1680–1694.</w:t>
      </w:r>
    </w:p>
    <w:p>
      <w:pPr>
        <w:spacing w:after="180" w:line="276"/>
      </w:pPr>
      <w:r>
        <w:rPr>
          <w:rFonts w:ascii="Arial" w:cs="Arial" w:eastAsia="Arial" w:hAnsi="Arial"/>
          <w:sz w:val="22"/>
          <w:szCs w:val="22"/>
        </w:rPr>
        <w:t xml:space="preserve">Dobarganes, M. C., Márquez-Ruiz, G., &amp; Velasco, J. Analysis of lipid hydroperoxides and long-chain conjugated polyunsaturated fatty acids during oxidation. European Journal of Lipid Science and Technology (multiple publications).</w:t>
      </w:r>
    </w:p>
    <w:p>
      <w:pPr>
        <w:spacing w:after="180" w:line="276"/>
      </w:pPr>
      <w:r>
        <w:rPr>
          <w:rFonts w:ascii="Arial" w:cs="Arial" w:eastAsia="Arial" w:hAnsi="Arial"/>
          <w:sz w:val="22"/>
          <w:szCs w:val="22"/>
        </w:rPr>
        <w:t xml:space="preserve">Estruch, R., Ros, E., Salas-Salvadó, J., et al. (2013). Primary prevention of cardiovascular disease with a Mediterranean diet (PREDIMED). New England Journal of Medicine, 368(14), 1279–1290.</w:t>
      </w:r>
    </w:p>
    <w:p>
      <w:pPr>
        <w:spacing w:after="180" w:line="276"/>
      </w:pPr>
      <w:r>
        <w:rPr>
          <w:rFonts w:ascii="Arial" w:cs="Arial" w:eastAsia="Arial" w:hAnsi="Arial"/>
          <w:sz w:val="22"/>
          <w:szCs w:val="22"/>
        </w:rPr>
        <w:t xml:space="preserve">FAO Oilcrops Indices (January 2026). Food and Agriculture Organization of the United Nations.</w:t>
      </w:r>
    </w:p>
    <w:p>
      <w:pPr>
        <w:spacing w:after="180" w:line="276"/>
      </w:pPr>
      <w:r>
        <w:rPr>
          <w:rFonts w:ascii="Arial" w:cs="Arial" w:eastAsia="Arial" w:hAnsi="Arial"/>
          <w:sz w:val="22"/>
          <w:szCs w:val="22"/>
        </w:rPr>
        <w:t xml:space="preserve">Fedepalma/Universidad de Caldas. (2025). Frying performance of high oleic OxG palm oils: 21st International Oil Palm Conference. Imbacuán, Díaz, Castellanos, Albarracín, Gama-Ávila, Cuéllar. [Fedepalma-funded; NTC/AOAC/AOCS methodology.]</w:t>
      </w:r>
    </w:p>
    <w:p>
      <w:pPr>
        <w:spacing w:after="180" w:line="276"/>
      </w:pPr>
      <w:r>
        <w:rPr>
          <w:rFonts w:ascii="Arial" w:cs="Arial" w:eastAsia="Arial" w:hAnsi="Arial"/>
          <w:sz w:val="22"/>
          <w:szCs w:val="22"/>
        </w:rPr>
        <w:t xml:space="preserve">Grootveld, M., Silwood, C. J. L., Addis, P., et al. (2001). Health effects of oxidized heated oils. Foodservice Research International, 13(1), 41–55.</w:t>
      </w:r>
    </w:p>
    <w:p>
      <w:pPr>
        <w:spacing w:after="180" w:line="276"/>
      </w:pPr>
      <w:r>
        <w:rPr>
          <w:rFonts w:ascii="Arial" w:cs="Arial" w:eastAsia="Arial" w:hAnsi="Arial"/>
          <w:sz w:val="22"/>
          <w:szCs w:val="22"/>
        </w:rPr>
        <w:t xml:space="preserve">Grootveld, M., Percival, B. C., Leenders, J., &amp; Wilson, P. B. (2017). Potential adverse public health effects afforded by the ingestion of dietary lipid oxidation product toxins. Lipids in Health and Disease, 16(1), 214.</w:t>
      </w:r>
    </w:p>
    <w:p>
      <w:pPr>
        <w:spacing w:after="180" w:line="276"/>
      </w:pPr>
      <w:r>
        <w:rPr>
          <w:rFonts w:ascii="Arial" w:cs="Arial" w:eastAsia="Arial" w:hAnsi="Arial"/>
          <w:sz w:val="22"/>
          <w:szCs w:val="22"/>
        </w:rPr>
        <w:t xml:space="preserve">Guillaume, C., De Alzaa, F., &amp; Ravetti, L. (2018). Evaluation of chemical and physical changes in different commercial oils during heating. Acta Scientific Nutritional Health, 2(6), 76–81.</w:t>
      </w:r>
    </w:p>
    <w:p>
      <w:pPr>
        <w:spacing w:after="180" w:line="276"/>
      </w:pPr>
      <w:r>
        <w:rPr>
          <w:rFonts w:ascii="Arial" w:cs="Arial" w:eastAsia="Arial" w:hAnsi="Arial"/>
          <w:sz w:val="22"/>
          <w:szCs w:val="22"/>
        </w:rPr>
        <w:t xml:space="preserve">Gunstone, F. D. (2011). Vegetable Oils in Food Technology: Composition, Properties and Uses (2nd ed.). Wiley-Blackwell.</w:t>
      </w:r>
    </w:p>
    <w:p>
      <w:pPr>
        <w:spacing w:after="180" w:line="276"/>
      </w:pPr>
      <w:r>
        <w:rPr>
          <w:rFonts w:ascii="Arial" w:cs="Arial" w:eastAsia="Arial" w:hAnsi="Arial"/>
          <w:sz w:val="22"/>
          <w:szCs w:val="22"/>
        </w:rPr>
        <w:t xml:space="preserve">Li, X., Zhao, T., Gu, Y., et al. (2019/2021). Palm oil frying life and polar compound distribution in restaurant conditions. ScienceDirect (multiple publications).</w:t>
      </w:r>
    </w:p>
    <w:p>
      <w:pPr>
        <w:spacing w:after="180" w:line="276"/>
      </w:pPr>
      <w:r>
        <w:rPr>
          <w:rFonts w:ascii="Arial" w:cs="Arial" w:eastAsia="Arial" w:hAnsi="Arial"/>
          <w:sz w:val="22"/>
          <w:szCs w:val="22"/>
        </w:rPr>
        <w:t xml:space="preserve">Martin, R. J., Greathead, H., &amp; Sheridan, R. (2017). Comparative aldehyde production from heated cooking oils. Food Chemistry, 230, 445–452.</w:t>
      </w:r>
    </w:p>
    <w:p>
      <w:pPr>
        <w:spacing w:after="180" w:line="276"/>
      </w:pPr>
      <w:r>
        <w:rPr>
          <w:rFonts w:ascii="Arial" w:cs="Arial" w:eastAsia="Arial" w:hAnsi="Arial"/>
          <w:sz w:val="22"/>
          <w:szCs w:val="22"/>
        </w:rPr>
        <w:t xml:space="preserve">MDPI Foods. (2025). Comparative frying performance of palm, canola, sunflower, cottonseed, and soybean oils over 32 hours. Foods, 14(x).</w:t>
      </w:r>
    </w:p>
    <w:p>
      <w:pPr>
        <w:spacing w:after="180" w:line="276"/>
      </w:pPr>
      <w:r>
        <w:rPr>
          <w:rFonts w:ascii="Arial" w:cs="Arial" w:eastAsia="Arial" w:hAnsi="Arial"/>
          <w:sz w:val="22"/>
          <w:szCs w:val="22"/>
        </w:rPr>
        <w:t xml:space="preserve">Mekonnen, M. M., &amp; Hoekstra, A. Y. (2011). The green, blue and grey water footprint of crops and derived crop products. UNESCO-IHE Report No. 47.</w:t>
      </w:r>
    </w:p>
    <w:p>
      <w:pPr>
        <w:spacing w:after="180" w:line="276"/>
      </w:pPr>
      <w:r>
        <w:rPr>
          <w:rFonts w:ascii="Arial" w:cs="Arial" w:eastAsia="Arial" w:hAnsi="Arial"/>
          <w:sz w:val="22"/>
          <w:szCs w:val="22"/>
        </w:rPr>
        <w:t xml:space="preserve">Moreira, R. G., Castell-Perez, M. E., &amp; Barrufet, M. A. Deep-fat frying: Fundamentals and applications. Aspen Publishers. (Multiple editions.)</w:t>
      </w:r>
    </w:p>
    <w:p>
      <w:pPr>
        <w:spacing w:after="180" w:line="276"/>
      </w:pPr>
      <w:r>
        <w:rPr>
          <w:rFonts w:ascii="Arial" w:cs="Arial" w:eastAsia="Arial" w:hAnsi="Arial"/>
          <w:sz w:val="22"/>
          <w:szCs w:val="22"/>
        </w:rPr>
        <w:t xml:space="preserve">National Fire Protection Association. NFPA 96: Standard for Ventilation Control and Fire Protection of Commercial Cooking Operations. Current edition.</w:t>
      </w:r>
    </w:p>
    <w:p>
      <w:pPr>
        <w:spacing w:after="180" w:line="276"/>
      </w:pPr>
      <w:r>
        <w:rPr>
          <w:rFonts w:ascii="Arial" w:cs="Arial" w:eastAsia="Arial" w:hAnsi="Arial"/>
          <w:sz w:val="22"/>
          <w:szCs w:val="22"/>
        </w:rPr>
        <w:t xml:space="preserve">QAS&amp;F. (2024). Avocado oil versus olive oil in domestic frying: polar compound tracking and sensory analysis.</w:t>
      </w:r>
    </w:p>
    <w:p>
      <w:pPr>
        <w:spacing w:after="180" w:line="276"/>
      </w:pPr>
      <w:r>
        <w:rPr>
          <w:rFonts w:ascii="Arial" w:cs="Arial" w:eastAsia="Arial" w:hAnsi="Arial"/>
          <w:sz w:val="22"/>
          <w:szCs w:val="22"/>
        </w:rPr>
        <w:t xml:space="preserve">Saguy, I. S., &amp; Dana, D. (2003). Minimizing oil uptake during deep-fat frying. Journal of Food Engineering, 56(2–3), 143–152.</w:t>
      </w:r>
    </w:p>
    <w:p>
      <w:pPr>
        <w:spacing w:after="180" w:line="276"/>
      </w:pPr>
      <w:r>
        <w:rPr>
          <w:rFonts w:ascii="Arial" w:cs="Arial" w:eastAsia="Arial" w:hAnsi="Arial"/>
          <w:sz w:val="22"/>
          <w:szCs w:val="22"/>
        </w:rPr>
        <w:t xml:space="preserve">Simopoulos, A. P. (2002). The importance of the ratio of omega-6/omega-3 essential fatty acids. Biomedicine &amp; Pharmacotherapy, 56(8), 365–379.</w:t>
      </w:r>
    </w:p>
    <w:p>
      <w:pPr>
        <w:spacing w:after="180" w:line="276"/>
      </w:pPr>
      <w:r>
        <w:rPr>
          <w:rFonts w:ascii="Arial" w:cs="Arial" w:eastAsia="Arial" w:hAnsi="Arial"/>
          <w:sz w:val="22"/>
          <w:szCs w:val="22"/>
        </w:rPr>
        <w:t xml:space="preserve">U.S. Food and Drug Administration. (2015). Final determination regarding partially hydrogenated oils. Federal Register 80(116), 34650–34670.</w:t>
      </w:r>
    </w:p>
    <w:p>
      <w:pPr>
        <w:spacing w:after="180" w:line="276"/>
      </w:pPr>
      <w:r>
        <w:rPr>
          <w:rFonts w:ascii="Arial" w:cs="Arial" w:eastAsia="Arial" w:hAnsi="Arial"/>
          <w:sz w:val="22"/>
          <w:szCs w:val="22"/>
        </w:rPr>
        <w:t xml:space="preserve">U.S. Food and Drug Administration. FDA Food Code. Current edition.</w:t>
      </w:r>
    </w:p>
    <w:p>
      <w:pPr>
        <w:spacing w:after="180" w:line="276"/>
      </w:pPr>
      <w:r>
        <w:rPr>
          <w:rFonts w:ascii="Arial" w:cs="Arial" w:eastAsia="Arial" w:hAnsi="Arial"/>
          <w:sz w:val="22"/>
          <w:szCs w:val="22"/>
        </w:rPr>
        <w:t xml:space="preserve">USDA FoodData Central. Standard Reference databases for fatty acid composition. https://fdc.nal.usda.gov/</w:t>
      </w:r>
    </w:p>
    <w:p>
      <w:pPr>
        <w:spacing w:after="180" w:line="276"/>
      </w:pPr>
      <w:r>
        <w:rPr>
          <w:rFonts w:ascii="Arial" w:cs="Arial" w:eastAsia="Arial" w:hAnsi="Arial"/>
          <w:sz w:val="22"/>
          <w:szCs w:val="22"/>
        </w:rPr>
        <w:t xml:space="preserve">World Health Organization. (2023). Healthy diet fact sheet. WHO.</w:t>
      </w:r>
    </w:p>
    <w:p>
      <w:pPr>
        <w:spacing w:after="180" w:line="276"/>
      </w:pPr>
      <w:r>
        <w:rPr>
          <w:rFonts w:ascii="Arial" w:cs="Arial" w:eastAsia="Arial" w:hAnsi="Arial"/>
          <w:sz w:val="22"/>
          <w:szCs w:val="22"/>
        </w:rPr>
        <w:t xml:space="preserve">World Wildlife Fund. (2020). Palm oil scorecard and deforestation impact assessment.</w:t>
      </w:r>
    </w:p>
    <w:p>
      <w:pPr>
        <w:spacing w:after="180" w:line="276"/>
      </w:pPr>
      <w:r>
        <w:rPr>
          <w:rFonts w:ascii="Arial" w:cs="Arial" w:eastAsia="Arial" w:hAnsi="Arial"/>
          <w:sz w:val="22"/>
          <w:szCs w:val="22"/>
        </w:rPr>
        <w:t xml:space="preserve">Yin, H., Xu, L., &amp; Porter, N. A. (2022). Free radical lipid peroxidation: mechanisms and analysis. Chemical Reviews, 111(10), 5944–5972.</w:t>
      </w:r>
    </w:p>
    <w:p>
      <w:pPr>
        <w:spacing w:after="180" w:line="276"/>
      </w:pPr>
      <w:r>
        <w:rPr>
          <w:rFonts w:ascii="Arial" w:cs="Arial" w:eastAsia="Arial" w:hAnsi="Arial"/>
          <w:sz w:val="22"/>
          <w:szCs w:val="22"/>
        </w:rPr>
        <w:t xml:space="preserve">Yu, Z., Wang, Y., Chen, H., et al. (2018). Quality changes during 80 repeated frying cycles: coconut oil, soybean oil, olive oil, and shortening. Food Chemistry, 244, 234–241.</w:t>
      </w:r>
    </w:p>
    <w:p>
      <w:pPr>
        <w:spacing w:after="180" w:line="276"/>
      </w:pPr>
      <w:r>
        <w:rPr>
          <w:rFonts w:ascii="Arial" w:cs="Arial" w:eastAsia="Arial" w:hAnsi="Arial"/>
          <w:sz w:val="22"/>
          <w:szCs w:val="22"/>
        </w:rPr>
        <w:t xml:space="preserve">Zeco Oil Filtration Systems. Manufacturer technical documentation and website. https://zeco.co/ and https://www.zeco-oms.com/</w:t>
      </w:r>
    </w:p>
    <w:p>
      <w:pPr>
        <w:spacing w:after="120"/>
      </w:pPr>
    </w:p>
    <w:p>
      <w:pPr>
        <w:spacing w:before="600"/>
        <w:jc w:val="center"/>
      </w:pPr>
      <w:r>
        <w:rPr>
          <w:color w:val="CCCCCC"/>
          <w:sz w:val="24"/>
          <w:szCs w:val="24"/>
        </w:rPr>
        <w:t xml:space="preserve">──────────────────────────────</w:t>
      </w:r>
    </w:p>
    <w:p>
      <w:pPr>
        <w:spacing w:before="200" w:after="20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999999"/>
          <w:sz w:val="18"/>
          <w:szCs w:val="18"/>
        </w:rPr>
        <w:t xml:space="preserve">© 2025 National Cooking Oil Management Association.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NCOMA Certified Cooking Oil Management Guide</w:t>
    </w:r>
    <w:r>
      <w:rPr>
        <w:rFonts w:ascii="Arial" w:cs="Arial" w:eastAsia="Arial" w:hAnsi="Arial"/>
        <w:i/>
        <w:iCs/>
        <w:color w:val="999999"/>
        <w:sz w:val="16"/>
        <w:szCs w:val="16"/>
      </w:rPr>
      <w:t xml:space="preserve">	First Edition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C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2026-03-25T22:27:13.376Z</dcterms:created>
  <dcterms:modified xsi:type="dcterms:W3CDTF">2026-03-25T22:27:13.380Z</dcterms:modified>
</cp:coreProperties>
</file>

<file path=docProps/custom.xml><?xml version="1.0" encoding="utf-8"?>
<Properties xmlns="http://schemas.openxmlformats.org/officeDocument/2006/custom-properties" xmlns:vt="http://schemas.openxmlformats.org/officeDocument/2006/docPropsVTypes"/>
</file>