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02"/>
        <w:gridCol w:w="1996"/>
        <w:gridCol w:w="2164"/>
        <w:gridCol w:w="1371"/>
        <w:gridCol w:w="1383"/>
      </w:tblGrid>
      <w:tr w:rsidR="00155772" w:rsidRPr="00155772" w14:paraId="738CB93A" w14:textId="77777777" w:rsidTr="004F1E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32B0F" w14:textId="77777777" w:rsidR="00155772" w:rsidRPr="00155772" w:rsidRDefault="00155772" w:rsidP="00155772">
            <w:pPr>
              <w:rPr>
                <w:b w:val="0"/>
                <w:bCs w:val="0"/>
              </w:rPr>
            </w:pPr>
            <w:r w:rsidRPr="00155772">
              <w:t>Component/Source</w:t>
            </w:r>
          </w:p>
        </w:tc>
        <w:tc>
          <w:tcPr>
            <w:tcW w:w="0" w:type="auto"/>
            <w:hideMark/>
          </w:tcPr>
          <w:p w14:paraId="4237ABED" w14:textId="77777777" w:rsidR="00155772" w:rsidRPr="00155772" w:rsidRDefault="00155772" w:rsidP="001557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55772">
              <w:t>Description</w:t>
            </w:r>
          </w:p>
        </w:tc>
        <w:tc>
          <w:tcPr>
            <w:tcW w:w="0" w:type="auto"/>
            <w:hideMark/>
          </w:tcPr>
          <w:p w14:paraId="6CCB75E4" w14:textId="77777777" w:rsidR="00155772" w:rsidRPr="00155772" w:rsidRDefault="00155772" w:rsidP="001557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55772">
              <w:t>Threshold</w:t>
            </w:r>
          </w:p>
        </w:tc>
        <w:tc>
          <w:tcPr>
            <w:tcW w:w="0" w:type="auto"/>
            <w:hideMark/>
          </w:tcPr>
          <w:p w14:paraId="5476A104" w14:textId="77777777" w:rsidR="00155772" w:rsidRPr="00155772" w:rsidRDefault="00155772" w:rsidP="001557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55772">
              <w:t>Mandatory</w:t>
            </w:r>
          </w:p>
        </w:tc>
        <w:tc>
          <w:tcPr>
            <w:tcW w:w="0" w:type="auto"/>
            <w:hideMark/>
          </w:tcPr>
          <w:p w14:paraId="660BF396" w14:textId="77777777" w:rsidR="00155772" w:rsidRPr="00155772" w:rsidRDefault="00155772" w:rsidP="001557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55772">
              <w:t>Penalties for Non-Compliance</w:t>
            </w:r>
          </w:p>
        </w:tc>
      </w:tr>
      <w:tr w:rsidR="00155772" w:rsidRPr="00155772" w14:paraId="0130E8C0" w14:textId="77777777" w:rsidTr="004F1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AC9F2" w14:textId="77777777" w:rsidR="00155772" w:rsidRPr="00155772" w:rsidRDefault="00155772" w:rsidP="00155772">
            <w:r w:rsidRPr="00155772">
              <w:t xml:space="preserve">TDS/TCS </w:t>
            </w:r>
            <w:proofErr w:type="spellStart"/>
            <w:r w:rsidRPr="00155772">
              <w:t>Deductors</w:t>
            </w:r>
            <w:proofErr w:type="spellEnd"/>
            <w:r w:rsidRPr="00155772">
              <w:t xml:space="preserve"> (Employers and Contractors)</w:t>
            </w:r>
          </w:p>
        </w:tc>
        <w:tc>
          <w:tcPr>
            <w:tcW w:w="0" w:type="auto"/>
            <w:hideMark/>
          </w:tcPr>
          <w:p w14:paraId="4B124E10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Employers (Section 192, Form 24Q) report salary TDS, including breakups and perquisites. Contractors (Section 194C, Form 26Q) report business payment deductions. Integrated into AIS Part B.</w:t>
            </w:r>
          </w:p>
        </w:tc>
        <w:tc>
          <w:tcPr>
            <w:tcW w:w="0" w:type="auto"/>
            <w:hideMark/>
          </w:tcPr>
          <w:p w14:paraId="18498D1D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Varies: e.g., ₹30,000/year for professional fees (Section 194J); no threshold for salary TDS.</w:t>
            </w:r>
          </w:p>
        </w:tc>
        <w:tc>
          <w:tcPr>
            <w:tcW w:w="0" w:type="auto"/>
            <w:hideMark/>
          </w:tcPr>
          <w:p w14:paraId="58B74815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Yes, under Sections 192, 194C, 206C.</w:t>
            </w:r>
          </w:p>
        </w:tc>
        <w:tc>
          <w:tcPr>
            <w:tcW w:w="0" w:type="auto"/>
            <w:hideMark/>
          </w:tcPr>
          <w:p w14:paraId="0A553077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 xml:space="preserve">₹200/day for late filing (Section 234E); ₹10,000-₹1,00,000 for non-filing (Section 271H); prosecution for </w:t>
            </w:r>
            <w:proofErr w:type="spellStart"/>
            <w:r w:rsidRPr="00155772">
              <w:t>willful</w:t>
            </w:r>
            <w:proofErr w:type="spellEnd"/>
            <w:r w:rsidRPr="00155772">
              <w:t xml:space="preserve"> failure (Section 276CC).</w:t>
            </w:r>
          </w:p>
        </w:tc>
      </w:tr>
      <w:tr w:rsidR="00155772" w:rsidRPr="00155772" w14:paraId="160F700C" w14:textId="77777777" w:rsidTr="004F1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DC4F9" w14:textId="77777777" w:rsidR="00155772" w:rsidRPr="00155772" w:rsidRDefault="00155772" w:rsidP="00155772">
            <w:r w:rsidRPr="00155772">
              <w:t>Statement of Financial Transactions (SFT) Reporters</w:t>
            </w:r>
          </w:p>
        </w:tc>
        <w:tc>
          <w:tcPr>
            <w:tcW w:w="0" w:type="auto"/>
            <w:hideMark/>
          </w:tcPr>
          <w:p w14:paraId="445A5947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 xml:space="preserve">Banks, post offices, </w:t>
            </w:r>
            <w:proofErr w:type="gramStart"/>
            <w:r w:rsidRPr="00155772">
              <w:t>stock brokers</w:t>
            </w:r>
            <w:proofErr w:type="gramEnd"/>
            <w:r w:rsidRPr="00155772">
              <w:t>, mutual funds, and registrars report high-value transactions (e.g., cash deposits &gt; ₹10 lakh under SFT-001, securities via SFT-008/017). Includes stock exchange data via depositories/RTAs.</w:t>
            </w:r>
          </w:p>
        </w:tc>
        <w:tc>
          <w:tcPr>
            <w:tcW w:w="0" w:type="auto"/>
            <w:hideMark/>
          </w:tcPr>
          <w:p w14:paraId="591FCF69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Varies: e.g., ₹10 lakh for cash deposits/withdrawals (SFT-001/002); ₹1 lakh for credit card payments (SFT-009).</w:t>
            </w:r>
          </w:p>
        </w:tc>
        <w:tc>
          <w:tcPr>
            <w:tcW w:w="0" w:type="auto"/>
            <w:hideMark/>
          </w:tcPr>
          <w:p w14:paraId="3464C816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Yes, under Section 285BA.</w:t>
            </w:r>
          </w:p>
        </w:tc>
        <w:tc>
          <w:tcPr>
            <w:tcW w:w="0" w:type="auto"/>
            <w:hideMark/>
          </w:tcPr>
          <w:p w14:paraId="195CBEC6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₹100-₹500/day for late filing (Section 271FA); ₹50,000 for inaccurate data; prosecution for non-compliance (Section 277A).</w:t>
            </w:r>
          </w:p>
        </w:tc>
      </w:tr>
      <w:tr w:rsidR="00155772" w:rsidRPr="00155772" w14:paraId="2A430556" w14:textId="77777777" w:rsidTr="004F1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A4616" w14:textId="77777777" w:rsidR="00155772" w:rsidRPr="00155772" w:rsidRDefault="00155772" w:rsidP="00155772">
            <w:r w:rsidRPr="00155772">
              <w:t>GST Network</w:t>
            </w:r>
          </w:p>
        </w:tc>
        <w:tc>
          <w:tcPr>
            <w:tcW w:w="0" w:type="auto"/>
            <w:hideMark/>
          </w:tcPr>
          <w:p w14:paraId="616FB001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 xml:space="preserve">Reports turnover/purchases from GSTR-3B/GSTR-1 via MoU. Includes customs data for imports/exports. Visible in AIS under "Other Information" </w:t>
            </w:r>
            <w:r w:rsidRPr="00155772">
              <w:lastRenderedPageBreak/>
              <w:t>(e.g., EXC-GSTR3B).</w:t>
            </w:r>
          </w:p>
        </w:tc>
        <w:tc>
          <w:tcPr>
            <w:tcW w:w="0" w:type="auto"/>
            <w:hideMark/>
          </w:tcPr>
          <w:p w14:paraId="14BFF36D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lastRenderedPageBreak/>
              <w:t xml:space="preserve">No specific </w:t>
            </w:r>
            <w:proofErr w:type="gramStart"/>
            <w:r w:rsidRPr="00155772">
              <w:t>threshold;</w:t>
            </w:r>
            <w:proofErr w:type="gramEnd"/>
            <w:r w:rsidRPr="00155772">
              <w:t xml:space="preserve"> all registered taxpayers’ data shared.</w:t>
            </w:r>
          </w:p>
        </w:tc>
        <w:tc>
          <w:tcPr>
            <w:tcW w:w="0" w:type="auto"/>
            <w:hideMark/>
          </w:tcPr>
          <w:p w14:paraId="22EA6701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Yes, via MoU with Income Tax Department.</w:t>
            </w:r>
          </w:p>
        </w:tc>
        <w:tc>
          <w:tcPr>
            <w:tcW w:w="0" w:type="auto"/>
            <w:hideMark/>
          </w:tcPr>
          <w:p w14:paraId="157E5301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 xml:space="preserve">Penalties under CGST Act (₹10,000-₹25,000 for non-filing GSTR); no direct penalty </w:t>
            </w:r>
            <w:r w:rsidRPr="00155772">
              <w:lastRenderedPageBreak/>
              <w:t>under Income Tax Act for GST data sharing.</w:t>
            </w:r>
          </w:p>
        </w:tc>
      </w:tr>
      <w:tr w:rsidR="00155772" w:rsidRPr="00155772" w14:paraId="599CD682" w14:textId="77777777" w:rsidTr="004F1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08204" w14:textId="77777777" w:rsidR="00155772" w:rsidRPr="00155772" w:rsidRDefault="00155772" w:rsidP="00155772">
            <w:r w:rsidRPr="00155772">
              <w:lastRenderedPageBreak/>
              <w:t>Foreign Exchange Dealers</w:t>
            </w:r>
          </w:p>
        </w:tc>
        <w:tc>
          <w:tcPr>
            <w:tcW w:w="0" w:type="auto"/>
            <w:hideMark/>
          </w:tcPr>
          <w:p w14:paraId="27F8C220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Authorized dealers report outward remittances and forex purchases via Form 15CC or SFT-013, including tour packages (Section 206C(1G)).</w:t>
            </w:r>
          </w:p>
        </w:tc>
        <w:tc>
          <w:tcPr>
            <w:tcW w:w="0" w:type="auto"/>
            <w:hideMark/>
          </w:tcPr>
          <w:p w14:paraId="0D3C03F8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₹10 lakh for remittances under LRS (SFT-013); no threshold for TCS on forex.</w:t>
            </w:r>
          </w:p>
        </w:tc>
        <w:tc>
          <w:tcPr>
            <w:tcW w:w="0" w:type="auto"/>
            <w:hideMark/>
          </w:tcPr>
          <w:p w14:paraId="5270F95D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Yes, under Section 285BA and FEMA.</w:t>
            </w:r>
          </w:p>
        </w:tc>
        <w:tc>
          <w:tcPr>
            <w:tcW w:w="0" w:type="auto"/>
            <w:hideMark/>
          </w:tcPr>
          <w:p w14:paraId="531B4E6F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₹100-₹500/day for late SFT filing (Section 271FA); FEMA penalties up to thrice the transaction amount or ₹2 lakh (Section 13, FEMA).</w:t>
            </w:r>
          </w:p>
        </w:tc>
      </w:tr>
      <w:tr w:rsidR="00155772" w:rsidRPr="00155772" w14:paraId="64B78782" w14:textId="77777777" w:rsidTr="004F1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E1F6D" w14:textId="77777777" w:rsidR="00155772" w:rsidRPr="00155772" w:rsidRDefault="00155772" w:rsidP="00155772">
            <w:r w:rsidRPr="00155772">
              <w:t>Credit Card Issuers</w:t>
            </w:r>
          </w:p>
        </w:tc>
        <w:tc>
          <w:tcPr>
            <w:tcW w:w="0" w:type="auto"/>
            <w:hideMark/>
          </w:tcPr>
          <w:p w14:paraId="14688F83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Report payments &gt; ₹1 lakh (individual) or ₹10 lakh (non-individual) annually under SFT-009. Tracks high-value spending.</w:t>
            </w:r>
          </w:p>
        </w:tc>
        <w:tc>
          <w:tcPr>
            <w:tcW w:w="0" w:type="auto"/>
            <w:hideMark/>
          </w:tcPr>
          <w:p w14:paraId="0A565242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₹1 lakh (individuals); ₹10 lakh (others).</w:t>
            </w:r>
          </w:p>
        </w:tc>
        <w:tc>
          <w:tcPr>
            <w:tcW w:w="0" w:type="auto"/>
            <w:hideMark/>
          </w:tcPr>
          <w:p w14:paraId="2C9E7443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Yes, under Section 285BA.</w:t>
            </w:r>
          </w:p>
        </w:tc>
        <w:tc>
          <w:tcPr>
            <w:tcW w:w="0" w:type="auto"/>
            <w:hideMark/>
          </w:tcPr>
          <w:p w14:paraId="55DEF05A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₹100-₹500/day for late filing (Section 271FA); ₹50,000 for inaccurate data.</w:t>
            </w:r>
          </w:p>
        </w:tc>
      </w:tr>
      <w:tr w:rsidR="00155772" w:rsidRPr="00155772" w14:paraId="76E1DE1C" w14:textId="77777777" w:rsidTr="004F1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665C2" w14:textId="77777777" w:rsidR="00155772" w:rsidRPr="00155772" w:rsidRDefault="00155772" w:rsidP="00155772">
            <w:r w:rsidRPr="00155772">
              <w:t>Property Registrars and ITR Linkages</w:t>
            </w:r>
          </w:p>
        </w:tc>
        <w:tc>
          <w:tcPr>
            <w:tcW w:w="0" w:type="auto"/>
            <w:hideMark/>
          </w:tcPr>
          <w:p w14:paraId="0F0AB406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Registrars report property purchases (SFT-012); seller’s ITR (Schedule CG) links buyer details. Includes customs data for high-value imports via SFT/GST.</w:t>
            </w:r>
          </w:p>
        </w:tc>
        <w:tc>
          <w:tcPr>
            <w:tcW w:w="0" w:type="auto"/>
            <w:hideMark/>
          </w:tcPr>
          <w:p w14:paraId="28A8F710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₹30 lakh for immovable property (SFT-012).</w:t>
            </w:r>
          </w:p>
        </w:tc>
        <w:tc>
          <w:tcPr>
            <w:tcW w:w="0" w:type="auto"/>
            <w:hideMark/>
          </w:tcPr>
          <w:p w14:paraId="751AF315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Yes, under Section 285BA.</w:t>
            </w:r>
          </w:p>
        </w:tc>
        <w:tc>
          <w:tcPr>
            <w:tcW w:w="0" w:type="auto"/>
            <w:hideMark/>
          </w:tcPr>
          <w:p w14:paraId="25EC5767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₹100-₹500/day for late filing (Section 271FA); ₹50,000 for inaccurate data.</w:t>
            </w:r>
          </w:p>
        </w:tc>
      </w:tr>
      <w:tr w:rsidR="00155772" w:rsidRPr="00155772" w14:paraId="12FC6607" w14:textId="77777777" w:rsidTr="004F1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2D441" w14:textId="77777777" w:rsidR="00155772" w:rsidRPr="00155772" w:rsidRDefault="00155772" w:rsidP="00155772">
            <w:r w:rsidRPr="00155772">
              <w:t>Other Financial Institutions (e.g., Insurance, PF Trustees)</w:t>
            </w:r>
          </w:p>
        </w:tc>
        <w:tc>
          <w:tcPr>
            <w:tcW w:w="0" w:type="auto"/>
            <w:hideMark/>
          </w:tcPr>
          <w:p w14:paraId="376593A9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Report life insurance receipts (Section 194DA), PF withdrawals (Section 192A), interest/dividends.</w:t>
            </w:r>
          </w:p>
        </w:tc>
        <w:tc>
          <w:tcPr>
            <w:tcW w:w="0" w:type="auto"/>
            <w:hideMark/>
          </w:tcPr>
          <w:p w14:paraId="4EDE9043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Varies: e.g., ₹50,000 for PF withdrawals; ₹5,000 for insurance TDS.</w:t>
            </w:r>
          </w:p>
        </w:tc>
        <w:tc>
          <w:tcPr>
            <w:tcW w:w="0" w:type="auto"/>
            <w:hideMark/>
          </w:tcPr>
          <w:p w14:paraId="4B513A53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Yes, under respective TDS sections.</w:t>
            </w:r>
          </w:p>
        </w:tc>
        <w:tc>
          <w:tcPr>
            <w:tcW w:w="0" w:type="auto"/>
            <w:hideMark/>
          </w:tcPr>
          <w:p w14:paraId="06374FC8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₹200/day for late TDS filing (Section 234E); ₹10,000-₹1,00,000 for non-filing (Section 271H).</w:t>
            </w:r>
          </w:p>
        </w:tc>
      </w:tr>
      <w:tr w:rsidR="00155772" w:rsidRPr="00155772" w14:paraId="572F50FA" w14:textId="77777777" w:rsidTr="004F1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2E11F" w14:textId="77777777" w:rsidR="00155772" w:rsidRPr="00155772" w:rsidRDefault="00155772" w:rsidP="00155772">
            <w:r w:rsidRPr="00155772">
              <w:t>Central Processing System (Directorate of Income Tax Systems)</w:t>
            </w:r>
          </w:p>
        </w:tc>
        <w:tc>
          <w:tcPr>
            <w:tcW w:w="0" w:type="auto"/>
            <w:hideMark/>
          </w:tcPr>
          <w:p w14:paraId="55E36682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Validates, deduplicates, and aggregates data for AIS/TIS generation.</w:t>
            </w:r>
          </w:p>
        </w:tc>
        <w:tc>
          <w:tcPr>
            <w:tcW w:w="0" w:type="auto"/>
            <w:hideMark/>
          </w:tcPr>
          <w:p w14:paraId="0FE079FF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Not applicable.</w:t>
            </w:r>
          </w:p>
        </w:tc>
        <w:tc>
          <w:tcPr>
            <w:tcW w:w="0" w:type="auto"/>
            <w:hideMark/>
          </w:tcPr>
          <w:p w14:paraId="31B4ED46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Not applicable (internal system).</w:t>
            </w:r>
          </w:p>
        </w:tc>
        <w:tc>
          <w:tcPr>
            <w:tcW w:w="0" w:type="auto"/>
            <w:hideMark/>
          </w:tcPr>
          <w:p w14:paraId="04FF74C5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Not applicable; internal compliance enforced.</w:t>
            </w:r>
          </w:p>
        </w:tc>
      </w:tr>
      <w:tr w:rsidR="00155772" w:rsidRPr="00155772" w14:paraId="5DB63573" w14:textId="77777777" w:rsidTr="004F1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2757D" w14:textId="77777777" w:rsidR="00155772" w:rsidRPr="00155772" w:rsidRDefault="00155772" w:rsidP="00155772">
            <w:r w:rsidRPr="00155772">
              <w:t>E-Filing Portal and Offline Utility</w:t>
            </w:r>
          </w:p>
        </w:tc>
        <w:tc>
          <w:tcPr>
            <w:tcW w:w="0" w:type="auto"/>
            <w:hideMark/>
          </w:tcPr>
          <w:p w14:paraId="09A2211E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Provides secure, PAN-based access to AIS/TIS for taxpayers.</w:t>
            </w:r>
          </w:p>
        </w:tc>
        <w:tc>
          <w:tcPr>
            <w:tcW w:w="0" w:type="auto"/>
            <w:hideMark/>
          </w:tcPr>
          <w:p w14:paraId="2BDD342C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Not applicable.</w:t>
            </w:r>
          </w:p>
        </w:tc>
        <w:tc>
          <w:tcPr>
            <w:tcW w:w="0" w:type="auto"/>
            <w:hideMark/>
          </w:tcPr>
          <w:p w14:paraId="60273F45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Not applicable (user access platform).</w:t>
            </w:r>
          </w:p>
        </w:tc>
        <w:tc>
          <w:tcPr>
            <w:tcW w:w="0" w:type="auto"/>
            <w:hideMark/>
          </w:tcPr>
          <w:p w14:paraId="5CB31840" w14:textId="77777777" w:rsidR="00155772" w:rsidRPr="00155772" w:rsidRDefault="00155772" w:rsidP="001557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5772">
              <w:t>Not applicable.</w:t>
            </w:r>
          </w:p>
        </w:tc>
      </w:tr>
      <w:tr w:rsidR="00155772" w:rsidRPr="00155772" w14:paraId="555294FA" w14:textId="77777777" w:rsidTr="004F1E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2D73B1" w14:textId="77777777" w:rsidR="00155772" w:rsidRPr="00155772" w:rsidRDefault="00155772" w:rsidP="00155772">
            <w:r w:rsidRPr="00155772">
              <w:t>Feedback and Correction Mechanism</w:t>
            </w:r>
          </w:p>
        </w:tc>
        <w:tc>
          <w:tcPr>
            <w:tcW w:w="0" w:type="auto"/>
            <w:hideMark/>
          </w:tcPr>
          <w:p w14:paraId="14BC0AE5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Allows taxpayers to flag errors, triggering source verification for AIS/TIS updates.</w:t>
            </w:r>
          </w:p>
        </w:tc>
        <w:tc>
          <w:tcPr>
            <w:tcW w:w="0" w:type="auto"/>
            <w:hideMark/>
          </w:tcPr>
          <w:p w14:paraId="0CFAB282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Not applicable.</w:t>
            </w:r>
          </w:p>
        </w:tc>
        <w:tc>
          <w:tcPr>
            <w:tcW w:w="0" w:type="auto"/>
            <w:hideMark/>
          </w:tcPr>
          <w:p w14:paraId="089EEB5D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Optional for taxpayers; mandatory for sources to respond.</w:t>
            </w:r>
          </w:p>
        </w:tc>
        <w:tc>
          <w:tcPr>
            <w:tcW w:w="0" w:type="auto"/>
            <w:hideMark/>
          </w:tcPr>
          <w:p w14:paraId="53B802DC" w14:textId="77777777" w:rsidR="00155772" w:rsidRPr="00155772" w:rsidRDefault="00155772" w:rsidP="001557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5772">
              <w:t>No direct penalty for taxpayers; sources face SFT/TDS penalties for non-compliance.</w:t>
            </w:r>
          </w:p>
        </w:tc>
      </w:tr>
    </w:tbl>
    <w:p w14:paraId="05DCE5BE" w14:textId="77777777" w:rsidR="00155772" w:rsidRDefault="00155772"/>
    <w:sectPr w:rsidR="0015577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49A5" w14:textId="77777777" w:rsidR="00C40563" w:rsidRDefault="00C40563" w:rsidP="00155772">
      <w:pPr>
        <w:spacing w:after="0" w:line="240" w:lineRule="auto"/>
      </w:pPr>
      <w:r>
        <w:separator/>
      </w:r>
    </w:p>
  </w:endnote>
  <w:endnote w:type="continuationSeparator" w:id="0">
    <w:p w14:paraId="56084501" w14:textId="77777777" w:rsidR="00C40563" w:rsidRDefault="00C40563" w:rsidP="00155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9938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FE714A" w14:textId="0AD09B4F" w:rsidR="004F1E24" w:rsidRDefault="004F1E2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64DE2FEC" w14:textId="77777777" w:rsidR="00155772" w:rsidRDefault="001557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ADBA9" w14:textId="77777777" w:rsidR="00C40563" w:rsidRDefault="00C40563" w:rsidP="00155772">
      <w:pPr>
        <w:spacing w:after="0" w:line="240" w:lineRule="auto"/>
      </w:pPr>
      <w:r>
        <w:separator/>
      </w:r>
    </w:p>
  </w:footnote>
  <w:footnote w:type="continuationSeparator" w:id="0">
    <w:p w14:paraId="399BDC4D" w14:textId="77777777" w:rsidR="00C40563" w:rsidRDefault="00C40563" w:rsidP="00155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1E470" w14:textId="7DF61BDC" w:rsidR="00155772" w:rsidRDefault="00155772" w:rsidP="00155772">
    <w:pPr>
      <w:pStyle w:val="Title"/>
    </w:pPr>
    <w:r>
      <w:t>AIS-TIS Components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72"/>
    <w:rsid w:val="000E5E99"/>
    <w:rsid w:val="00155772"/>
    <w:rsid w:val="00311FD3"/>
    <w:rsid w:val="004E2F98"/>
    <w:rsid w:val="004F1E24"/>
    <w:rsid w:val="007E02F5"/>
    <w:rsid w:val="00A07DF8"/>
    <w:rsid w:val="00A95402"/>
    <w:rsid w:val="00C40563"/>
    <w:rsid w:val="00C43293"/>
    <w:rsid w:val="00F00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FE1F"/>
  <w15:chartTrackingRefBased/>
  <w15:docId w15:val="{6DEEE825-DE1B-42A1-B2F9-E83F1018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7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77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7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557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557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55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772"/>
  </w:style>
  <w:style w:type="paragraph" w:styleId="Footer">
    <w:name w:val="footer"/>
    <w:basedOn w:val="Normal"/>
    <w:link w:val="FooterChar"/>
    <w:uiPriority w:val="99"/>
    <w:unhideWhenUsed/>
    <w:rsid w:val="00155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772"/>
  </w:style>
  <w:style w:type="table" w:styleId="GridTable4">
    <w:name w:val="Grid Table 4"/>
    <w:basedOn w:val="TableNormal"/>
    <w:uiPriority w:val="49"/>
    <w:rsid w:val="004F1E2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Kapadia</dc:creator>
  <cp:keywords/>
  <dc:description/>
  <cp:lastModifiedBy>Sagar Kapadia</cp:lastModifiedBy>
  <cp:revision>2</cp:revision>
  <cp:lastPrinted>2025-09-18T08:56:00Z</cp:lastPrinted>
  <dcterms:created xsi:type="dcterms:W3CDTF">2025-09-11T19:37:00Z</dcterms:created>
  <dcterms:modified xsi:type="dcterms:W3CDTF">2025-09-18T08:56:00Z</dcterms:modified>
</cp:coreProperties>
</file>