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F1999" w14:textId="77777777" w:rsidR="00B51864" w:rsidRPr="00B51864" w:rsidRDefault="00B51864" w:rsidP="00B51864">
      <w:pPr>
        <w:numPr>
          <w:ilvl w:val="0"/>
          <w:numId w:val="1"/>
        </w:numPr>
      </w:pPr>
      <w:r w:rsidRPr="00B51864">
        <w:rPr>
          <w:b/>
          <w:bCs/>
        </w:rPr>
        <w:t>Serious Fraud Investigation Office (SFIO)</w:t>
      </w:r>
      <w:r w:rsidRPr="00B51864">
        <w:t xml:space="preserve"> </w:t>
      </w:r>
    </w:p>
    <w:p w14:paraId="7B95E7CF" w14:textId="77777777" w:rsidR="00B51864" w:rsidRPr="00B51864" w:rsidRDefault="00B51864" w:rsidP="00B51864">
      <w:pPr>
        <w:numPr>
          <w:ilvl w:val="1"/>
          <w:numId w:val="1"/>
        </w:numPr>
      </w:pPr>
      <w:r w:rsidRPr="00B51864">
        <w:rPr>
          <w:b/>
          <w:bCs/>
        </w:rPr>
        <w:t>Mandate</w:t>
      </w:r>
      <w:r w:rsidRPr="00B51864">
        <w:t>: Established under the Companies Act, 2013 (Section 211), the SFIO is the premier agency for investigating corporate frauds, including those involving auditor collusion, financial misstatements, and large-scale economic offenses. It focuses on cases with significant public interest or multi-company involvement.</w:t>
      </w:r>
    </w:p>
    <w:p w14:paraId="40EAD940" w14:textId="77777777" w:rsidR="00B51864" w:rsidRPr="00B51864" w:rsidRDefault="00B51864" w:rsidP="00B51864">
      <w:pPr>
        <w:numPr>
          <w:ilvl w:val="1"/>
          <w:numId w:val="1"/>
        </w:numPr>
      </w:pPr>
      <w:r w:rsidRPr="00B51864">
        <w:rPr>
          <w:b/>
          <w:bCs/>
        </w:rPr>
        <w:t>Scope of Action</w:t>
      </w:r>
      <w:r w:rsidRPr="00B51864">
        <w:t>: Conducts in-depth investigations into corporate frauds exceeding INR 1 crore or involving complex financial irregularities. It has powers to arrest, seize documents, and recommend prosecution under the Companies Act, IPC, and other laws. SFIO collaborates with other agencies and can take over investigations from state police or other bodies.</w:t>
      </w:r>
    </w:p>
    <w:p w14:paraId="0C9D3934" w14:textId="77777777" w:rsidR="00B51864" w:rsidRPr="00B51864" w:rsidRDefault="00B51864" w:rsidP="00B51864">
      <w:pPr>
        <w:numPr>
          <w:ilvl w:val="0"/>
          <w:numId w:val="1"/>
        </w:numPr>
      </w:pPr>
      <w:r w:rsidRPr="00B51864">
        <w:rPr>
          <w:b/>
          <w:bCs/>
        </w:rPr>
        <w:t>Enforcement Directorate (ED)</w:t>
      </w:r>
      <w:r w:rsidRPr="00B51864">
        <w:t xml:space="preserve"> </w:t>
      </w:r>
    </w:p>
    <w:p w14:paraId="06A84846" w14:textId="77777777" w:rsidR="00B51864" w:rsidRPr="00B51864" w:rsidRDefault="00B51864" w:rsidP="00B51864">
      <w:pPr>
        <w:numPr>
          <w:ilvl w:val="1"/>
          <w:numId w:val="1"/>
        </w:numPr>
      </w:pPr>
      <w:r w:rsidRPr="00B51864">
        <w:rPr>
          <w:b/>
          <w:bCs/>
        </w:rPr>
        <w:t>Mandate</w:t>
      </w:r>
      <w:r w:rsidRPr="00B51864">
        <w:t>: Operates under the Prevention of Money Laundering Act (PMLA), 2002, and the Foreign Exchange Management Act (FEMA), 1999. The ED investigates money laundering, foreign exchange violations, and financial crimes linked to predicate offenses, including those involving auditor misconduct.</w:t>
      </w:r>
    </w:p>
    <w:p w14:paraId="00E96ABE" w14:textId="77777777" w:rsidR="00B51864" w:rsidRPr="00B51864" w:rsidRDefault="00B51864" w:rsidP="00B51864">
      <w:pPr>
        <w:numPr>
          <w:ilvl w:val="1"/>
          <w:numId w:val="1"/>
        </w:numPr>
      </w:pPr>
      <w:r w:rsidRPr="00B51864">
        <w:rPr>
          <w:b/>
          <w:bCs/>
        </w:rPr>
        <w:t>Scope of Action</w:t>
      </w:r>
      <w:r w:rsidRPr="00B51864">
        <w:t>: Probes cases where fraud proceeds are laundered or involve cross-border transactions. It can attach assets, arrest individuals, and file prosecution complaints before special courts (PMLA Courts). ED often works in tandem with SFIO or CBI when fraud escalates to money laundering.</w:t>
      </w:r>
    </w:p>
    <w:p w14:paraId="15B0AF2D" w14:textId="77777777" w:rsidR="00B51864" w:rsidRPr="00B51864" w:rsidRDefault="00B51864" w:rsidP="00B51864">
      <w:pPr>
        <w:numPr>
          <w:ilvl w:val="0"/>
          <w:numId w:val="1"/>
        </w:numPr>
      </w:pPr>
      <w:r w:rsidRPr="00B51864">
        <w:rPr>
          <w:b/>
          <w:bCs/>
        </w:rPr>
        <w:t>Central Bureau of Investigation (CBI)</w:t>
      </w:r>
      <w:r w:rsidRPr="00B51864">
        <w:t xml:space="preserve"> </w:t>
      </w:r>
    </w:p>
    <w:p w14:paraId="363D1503" w14:textId="77777777" w:rsidR="00B51864" w:rsidRPr="00B51864" w:rsidRDefault="00B51864" w:rsidP="00B51864">
      <w:pPr>
        <w:numPr>
          <w:ilvl w:val="1"/>
          <w:numId w:val="1"/>
        </w:numPr>
      </w:pPr>
      <w:r w:rsidRPr="00B51864">
        <w:rPr>
          <w:b/>
          <w:bCs/>
        </w:rPr>
        <w:t>Mandate</w:t>
      </w:r>
      <w:r w:rsidRPr="00B51864">
        <w:t>: Functioning under the Delhi Special Police Establishment Act, 1946, the CBI is the primary agency for investigating corruption, economic offenses, and serious crimes referred by the central government or high courts. It handles cases of auditor collusion when they involve public sector undertakings or significant national interest.</w:t>
      </w:r>
    </w:p>
    <w:p w14:paraId="605BD3E4" w14:textId="77777777" w:rsidR="00B51864" w:rsidRPr="00B51864" w:rsidRDefault="00B51864" w:rsidP="00B51864">
      <w:pPr>
        <w:numPr>
          <w:ilvl w:val="1"/>
          <w:numId w:val="1"/>
        </w:numPr>
      </w:pPr>
      <w:r w:rsidRPr="00B51864">
        <w:rPr>
          <w:b/>
          <w:bCs/>
        </w:rPr>
        <w:t>Scope of Action</w:t>
      </w:r>
      <w:r w:rsidRPr="00B51864">
        <w:t>: Investigates complex financial frauds, including those with auditor involvement, with powers to arrest, search, and prosecute under the CrPC and IPC. CBI can take over cases from state police or other agencies and often collaborates with ED and SFIO.</w:t>
      </w:r>
    </w:p>
    <w:p w14:paraId="3DDCB209" w14:textId="77777777" w:rsidR="00B51864" w:rsidRPr="00B51864" w:rsidRDefault="00B51864" w:rsidP="00B51864">
      <w:pPr>
        <w:numPr>
          <w:ilvl w:val="0"/>
          <w:numId w:val="1"/>
        </w:numPr>
      </w:pPr>
      <w:r w:rsidRPr="00B51864">
        <w:rPr>
          <w:b/>
          <w:bCs/>
        </w:rPr>
        <w:t>Securities and Exchange Board of India (SEBI)</w:t>
      </w:r>
      <w:r w:rsidRPr="00B51864">
        <w:t xml:space="preserve"> </w:t>
      </w:r>
    </w:p>
    <w:p w14:paraId="56A6E5CD" w14:textId="77777777" w:rsidR="00B51864" w:rsidRPr="00B51864" w:rsidRDefault="00B51864" w:rsidP="00B51864">
      <w:pPr>
        <w:numPr>
          <w:ilvl w:val="1"/>
          <w:numId w:val="1"/>
        </w:numPr>
      </w:pPr>
      <w:r w:rsidRPr="00B51864">
        <w:rPr>
          <w:b/>
          <w:bCs/>
        </w:rPr>
        <w:lastRenderedPageBreak/>
        <w:t>Mandate</w:t>
      </w:r>
      <w:r w:rsidRPr="00B51864">
        <w:t>: Established under the SEBI Act, 1992, SEBI regulates securities markets and investigates frauds related to listed companies, including those involving auditor misconduct affecting stock prices or investor interests.</w:t>
      </w:r>
    </w:p>
    <w:p w14:paraId="5BCABDD7" w14:textId="77777777" w:rsidR="00B51864" w:rsidRPr="00B51864" w:rsidRDefault="00B51864" w:rsidP="00B51864">
      <w:pPr>
        <w:numPr>
          <w:ilvl w:val="1"/>
          <w:numId w:val="1"/>
        </w:numPr>
      </w:pPr>
      <w:r w:rsidRPr="00B51864">
        <w:rPr>
          <w:b/>
          <w:bCs/>
        </w:rPr>
        <w:t>Scope of Action</w:t>
      </w:r>
      <w:r w:rsidRPr="00B51864">
        <w:t>: Conducts inquiries into insider trading, market manipulation, and financial misreporting. It can impose fines, ban entities from markets, and refer cases for criminal prosecution to CBI or other agencies. SEBI’s focus includes e-commerce firms listed on stock exchanges.</w:t>
      </w:r>
    </w:p>
    <w:p w14:paraId="0BE1CF2E" w14:textId="77777777" w:rsidR="00B51864" w:rsidRPr="00B51864" w:rsidRDefault="00B51864" w:rsidP="00B51864">
      <w:pPr>
        <w:numPr>
          <w:ilvl w:val="0"/>
          <w:numId w:val="1"/>
        </w:numPr>
      </w:pPr>
      <w:r w:rsidRPr="00B51864">
        <w:rPr>
          <w:b/>
          <w:bCs/>
        </w:rPr>
        <w:t>Reserve Bank of India (RBI)</w:t>
      </w:r>
      <w:r w:rsidRPr="00B51864">
        <w:t xml:space="preserve"> </w:t>
      </w:r>
    </w:p>
    <w:p w14:paraId="70D5C4AA" w14:textId="77777777" w:rsidR="00B51864" w:rsidRPr="00B51864" w:rsidRDefault="00B51864" w:rsidP="00B51864">
      <w:pPr>
        <w:numPr>
          <w:ilvl w:val="1"/>
          <w:numId w:val="1"/>
        </w:numPr>
      </w:pPr>
      <w:r w:rsidRPr="00B51864">
        <w:rPr>
          <w:b/>
          <w:bCs/>
        </w:rPr>
        <w:t>Mandate</w:t>
      </w:r>
      <w:r w:rsidRPr="00B51864">
        <w:t>: As the central bank under the RBI Act, 1934, the RBI supervises banks and non-banking financial companies (NBFCs), investigating financial irregularities, including auditor collusion in banking frauds.</w:t>
      </w:r>
    </w:p>
    <w:p w14:paraId="53E6AD5C" w14:textId="77777777" w:rsidR="00B51864" w:rsidRPr="00B51864" w:rsidRDefault="00B51864" w:rsidP="00B51864">
      <w:pPr>
        <w:numPr>
          <w:ilvl w:val="1"/>
          <w:numId w:val="1"/>
        </w:numPr>
      </w:pPr>
      <w:r w:rsidRPr="00B51864">
        <w:rPr>
          <w:b/>
          <w:bCs/>
        </w:rPr>
        <w:t>Scope of Action</w:t>
      </w:r>
      <w:r w:rsidRPr="00B51864">
        <w:t>: Conducts audits and inspections, imposes penalties, and directs corrective actions. For serious frauds (e.g., exceeding INR 1 crore), RBI can escalate cases to SFIO, ED, or CBI, and it monitors compliance with auditing standards.</w:t>
      </w:r>
    </w:p>
    <w:p w14:paraId="53958926" w14:textId="77777777" w:rsidR="00B51864" w:rsidRPr="00B51864" w:rsidRDefault="00B51864" w:rsidP="00B51864">
      <w:pPr>
        <w:numPr>
          <w:ilvl w:val="0"/>
          <w:numId w:val="1"/>
        </w:numPr>
      </w:pPr>
      <w:r w:rsidRPr="00B51864">
        <w:rPr>
          <w:b/>
          <w:bCs/>
        </w:rPr>
        <w:t>National Financial Reporting Authority (NFRA)</w:t>
      </w:r>
      <w:r w:rsidRPr="00B51864">
        <w:t xml:space="preserve"> </w:t>
      </w:r>
    </w:p>
    <w:p w14:paraId="2ABB51C5" w14:textId="77777777" w:rsidR="00B51864" w:rsidRPr="00B51864" w:rsidRDefault="00B51864" w:rsidP="00B51864">
      <w:pPr>
        <w:numPr>
          <w:ilvl w:val="1"/>
          <w:numId w:val="1"/>
        </w:numPr>
      </w:pPr>
      <w:r w:rsidRPr="00B51864">
        <w:rPr>
          <w:b/>
          <w:bCs/>
        </w:rPr>
        <w:t>Mandate</w:t>
      </w:r>
      <w:r w:rsidRPr="00B51864">
        <w:t>: Set up under the Companies Act, 2013 (Section 132), NFRA oversees the quality of audits for large companies and public interest entities, investigating auditor misconduct and professional negligence.</w:t>
      </w:r>
    </w:p>
    <w:p w14:paraId="6F3CB9AC" w14:textId="77777777" w:rsidR="00B51864" w:rsidRPr="00B51864" w:rsidRDefault="00B51864" w:rsidP="00B51864">
      <w:pPr>
        <w:numPr>
          <w:ilvl w:val="1"/>
          <w:numId w:val="1"/>
        </w:numPr>
      </w:pPr>
      <w:r w:rsidRPr="00B51864">
        <w:rPr>
          <w:b/>
          <w:bCs/>
        </w:rPr>
        <w:t>Scope of Action</w:t>
      </w:r>
      <w:r w:rsidRPr="00B51864">
        <w:t>: Investigates auditing firms for lapses leading to financial fraud, imposes monetary penalties (up to INR 10 crore), debars auditors for up to 10 years, and refers criminal cases to law enforcement agencies like CBI or ED.</w:t>
      </w:r>
    </w:p>
    <w:p w14:paraId="07ABE3CA" w14:textId="77777777" w:rsidR="00B51864" w:rsidRPr="00B51864" w:rsidRDefault="00B51864" w:rsidP="00B51864">
      <w:pPr>
        <w:numPr>
          <w:ilvl w:val="0"/>
          <w:numId w:val="1"/>
        </w:numPr>
      </w:pPr>
      <w:r w:rsidRPr="00B51864">
        <w:rPr>
          <w:b/>
          <w:bCs/>
        </w:rPr>
        <w:t>Directorate of Enforcement (Part of ED)</w:t>
      </w:r>
      <w:r w:rsidRPr="00B51864">
        <w:t xml:space="preserve"> </w:t>
      </w:r>
    </w:p>
    <w:p w14:paraId="684E69DD" w14:textId="77777777" w:rsidR="00B51864" w:rsidRPr="00B51864" w:rsidRDefault="00B51864" w:rsidP="00B51864">
      <w:pPr>
        <w:numPr>
          <w:ilvl w:val="1"/>
          <w:numId w:val="1"/>
        </w:numPr>
      </w:pPr>
      <w:r w:rsidRPr="00B51864">
        <w:rPr>
          <w:b/>
          <w:bCs/>
        </w:rPr>
        <w:t>Mandate</w:t>
      </w:r>
      <w:r w:rsidRPr="00B51864">
        <w:t>: While part of the ED, this directorate specifically handles enforcement under PMLA and FEMA, focusing on asset attachment and recovery in fraud cases.</w:t>
      </w:r>
    </w:p>
    <w:p w14:paraId="234026F1" w14:textId="77777777" w:rsidR="00B51864" w:rsidRPr="00B51864" w:rsidRDefault="00B51864" w:rsidP="00B51864">
      <w:pPr>
        <w:numPr>
          <w:ilvl w:val="1"/>
          <w:numId w:val="1"/>
        </w:numPr>
      </w:pPr>
      <w:r w:rsidRPr="00B51864">
        <w:rPr>
          <w:b/>
          <w:bCs/>
        </w:rPr>
        <w:t>Scope of Action</w:t>
      </w:r>
      <w:r w:rsidRPr="00B51864">
        <w:t>: Targets proceeds of crime, including those from auditor-enabled frauds, with powers to freeze assets and prosecute under special PMLA courts. It complements ED’s broader investigative role.</w:t>
      </w:r>
    </w:p>
    <w:p w14:paraId="6F22B55A" w14:textId="77777777" w:rsidR="00B51864" w:rsidRPr="00B51864" w:rsidRDefault="00B51864" w:rsidP="00B51864">
      <w:pPr>
        <w:numPr>
          <w:ilvl w:val="0"/>
          <w:numId w:val="1"/>
        </w:numPr>
      </w:pPr>
      <w:r w:rsidRPr="00B51864">
        <w:rPr>
          <w:b/>
          <w:bCs/>
        </w:rPr>
        <w:t>Income Tax Department (ITD)</w:t>
      </w:r>
      <w:r w:rsidRPr="00B51864">
        <w:t xml:space="preserve"> </w:t>
      </w:r>
    </w:p>
    <w:p w14:paraId="21943AAE" w14:textId="77777777" w:rsidR="00B51864" w:rsidRPr="00B51864" w:rsidRDefault="00B51864" w:rsidP="00B51864">
      <w:pPr>
        <w:numPr>
          <w:ilvl w:val="1"/>
          <w:numId w:val="1"/>
        </w:numPr>
      </w:pPr>
      <w:r w:rsidRPr="00B51864">
        <w:rPr>
          <w:b/>
          <w:bCs/>
        </w:rPr>
        <w:t>Mandate</w:t>
      </w:r>
      <w:r w:rsidRPr="00B51864">
        <w:t>: Operates under the Income Tax Act, 1961, and investigates tax evasion and financial irregularities, including those linked to auditor collusion in corporate tax frauds.</w:t>
      </w:r>
    </w:p>
    <w:p w14:paraId="4E9BD7C9" w14:textId="77777777" w:rsidR="00B51864" w:rsidRPr="00B51864" w:rsidRDefault="00B51864" w:rsidP="00B51864">
      <w:pPr>
        <w:numPr>
          <w:ilvl w:val="1"/>
          <w:numId w:val="1"/>
        </w:numPr>
      </w:pPr>
      <w:r w:rsidRPr="00B51864">
        <w:rPr>
          <w:b/>
          <w:bCs/>
        </w:rPr>
        <w:t>Scope of Action</w:t>
      </w:r>
      <w:r w:rsidRPr="00B51864">
        <w:t>: Conducts raids, seizes evidence, and imposes tax demands or penalties. It can refer cases involving significant fraud to CBI or SFIO if they involve organized crime or corporate misconduct.</w:t>
      </w:r>
    </w:p>
    <w:p w14:paraId="4BB22B29" w14:textId="77777777" w:rsidR="00B51864" w:rsidRPr="00B51864" w:rsidRDefault="00B51864" w:rsidP="00B51864">
      <w:pPr>
        <w:numPr>
          <w:ilvl w:val="0"/>
          <w:numId w:val="1"/>
        </w:numPr>
      </w:pPr>
      <w:r w:rsidRPr="00B51864">
        <w:rPr>
          <w:b/>
          <w:bCs/>
        </w:rPr>
        <w:t>Directorate General of Corporate Affairs (DGCA) - Ministry of Corporate Affairs (MCA)</w:t>
      </w:r>
      <w:r w:rsidRPr="00B51864">
        <w:t xml:space="preserve"> </w:t>
      </w:r>
    </w:p>
    <w:p w14:paraId="0D2EA860" w14:textId="77777777" w:rsidR="00B51864" w:rsidRPr="00B51864" w:rsidRDefault="00B51864" w:rsidP="00B51864">
      <w:pPr>
        <w:numPr>
          <w:ilvl w:val="1"/>
          <w:numId w:val="1"/>
        </w:numPr>
      </w:pPr>
      <w:r w:rsidRPr="00B51864">
        <w:rPr>
          <w:b/>
          <w:bCs/>
        </w:rPr>
        <w:t>Mandate</w:t>
      </w:r>
      <w:r w:rsidRPr="00B51864">
        <w:t>: Under the MCA, the DGCA supports investigations into corporate governance issues, including auditor lapses, as part of broader regulatory oversight.</w:t>
      </w:r>
    </w:p>
    <w:p w14:paraId="51FE349B" w14:textId="77777777" w:rsidR="00B51864" w:rsidRPr="00B51864" w:rsidRDefault="00B51864" w:rsidP="00B51864">
      <w:pPr>
        <w:numPr>
          <w:ilvl w:val="1"/>
          <w:numId w:val="1"/>
        </w:numPr>
      </w:pPr>
      <w:r w:rsidRPr="00B51864">
        <w:rPr>
          <w:b/>
          <w:bCs/>
        </w:rPr>
        <w:t>Scope of Action</w:t>
      </w:r>
      <w:r w:rsidRPr="00B51864">
        <w:t>: Assists SFIO and NFRA in probing corporate frauds, with powers to inspect books and recommend penalties or prosecutions under the Companies Act.</w:t>
      </w:r>
    </w:p>
    <w:p w14:paraId="2034EDF6" w14:textId="77777777" w:rsidR="00B51864" w:rsidRPr="00B51864" w:rsidRDefault="00B51864" w:rsidP="00B51864">
      <w:pPr>
        <w:numPr>
          <w:ilvl w:val="0"/>
          <w:numId w:val="1"/>
        </w:numPr>
      </w:pPr>
      <w:r w:rsidRPr="00B51864">
        <w:rPr>
          <w:b/>
          <w:bCs/>
        </w:rPr>
        <w:t>Central Vigilance Commission (CVC)</w:t>
      </w:r>
      <w:r w:rsidRPr="00B51864">
        <w:t xml:space="preserve"> </w:t>
      </w:r>
    </w:p>
    <w:p w14:paraId="2999AD11" w14:textId="77777777" w:rsidR="00B51864" w:rsidRPr="00B51864" w:rsidRDefault="00B51864" w:rsidP="00B51864">
      <w:pPr>
        <w:numPr>
          <w:ilvl w:val="1"/>
          <w:numId w:val="1"/>
        </w:numPr>
      </w:pPr>
      <w:r w:rsidRPr="00B51864">
        <w:rPr>
          <w:b/>
          <w:bCs/>
        </w:rPr>
        <w:t>Mandate</w:t>
      </w:r>
      <w:r w:rsidRPr="00B51864">
        <w:t>: Established under the CVC Act, 2003, the CVC oversees vigilance administration in public sector undertakings and investigates corruption, including auditor collusion in government-related entities.</w:t>
      </w:r>
    </w:p>
    <w:p w14:paraId="07912F95" w14:textId="77777777" w:rsidR="00B51864" w:rsidRPr="00B51864" w:rsidRDefault="00B51864" w:rsidP="00B51864">
      <w:pPr>
        <w:numPr>
          <w:ilvl w:val="1"/>
          <w:numId w:val="1"/>
        </w:numPr>
      </w:pPr>
      <w:r w:rsidRPr="00B51864">
        <w:rPr>
          <w:b/>
          <w:bCs/>
        </w:rPr>
        <w:t>Scope of Action</w:t>
      </w:r>
      <w:r w:rsidRPr="00B51864">
        <w:t>: Refers cases to CBI for investigation, monitors compliance, and recommends disciplinary actions against public sector auditors or officials.</w:t>
      </w:r>
    </w:p>
    <w:p w14:paraId="67DB28C4" w14:textId="77777777" w:rsidR="00B51864" w:rsidRPr="00B51864" w:rsidRDefault="00B51864" w:rsidP="00B51864">
      <w:pPr>
        <w:rPr>
          <w:b/>
          <w:bCs/>
        </w:rPr>
      </w:pPr>
      <w:r w:rsidRPr="00B51864">
        <w:rPr>
          <w:b/>
          <w:bCs/>
        </w:rPr>
        <w:t>Additional Notes</w:t>
      </w:r>
    </w:p>
    <w:p w14:paraId="5DB7C589" w14:textId="77777777" w:rsidR="00B51864" w:rsidRPr="00B51864" w:rsidRDefault="00B51864" w:rsidP="00B51864">
      <w:pPr>
        <w:numPr>
          <w:ilvl w:val="0"/>
          <w:numId w:val="2"/>
        </w:numPr>
      </w:pPr>
      <w:r w:rsidRPr="00B51864">
        <w:rPr>
          <w:b/>
          <w:bCs/>
        </w:rPr>
        <w:t>Collaboration</w:t>
      </w:r>
      <w:r w:rsidRPr="00B51864">
        <w:t>: These agencies often work together, with SFIO, ED, and CBI leading major investigations, while SEBI, RBI, NFRA, and ITD provide specialized support. For instance, the Punjab National Bank fraud (INR 11,400 crore) involved CBI, ED, and SFIO coordination.</w:t>
      </w:r>
    </w:p>
    <w:p w14:paraId="6E220CE8" w14:textId="77777777" w:rsidR="00B51864" w:rsidRPr="00B51864" w:rsidRDefault="00B51864" w:rsidP="00B51864">
      <w:pPr>
        <w:numPr>
          <w:ilvl w:val="0"/>
          <w:numId w:val="2"/>
        </w:numPr>
      </w:pPr>
      <w:r w:rsidRPr="00B51864">
        <w:rPr>
          <w:b/>
          <w:bCs/>
        </w:rPr>
        <w:t>Jurisdictional Overlap</w:t>
      </w:r>
      <w:r w:rsidRPr="00B51864">
        <w:t>: Overlap exists (e.g., SFIO and NFRA both target auditor misconduct), but SFIO typically handles complex multi-company frauds, while NFRA focuses on audit quality.</w:t>
      </w:r>
    </w:p>
    <w:p w14:paraId="2B560EF4" w14:textId="77777777" w:rsidR="00B51864" w:rsidRPr="00B51864" w:rsidRDefault="00B51864" w:rsidP="00B51864">
      <w:pPr>
        <w:numPr>
          <w:ilvl w:val="0"/>
          <w:numId w:val="2"/>
        </w:numPr>
      </w:pPr>
      <w:r w:rsidRPr="00B51864">
        <w:rPr>
          <w:b/>
          <w:bCs/>
        </w:rPr>
        <w:t>Evolving Mandate</w:t>
      </w:r>
      <w:r w:rsidRPr="00B51864">
        <w:t>: Agencies like NFRA are gaining prominence post-2018, reflecting India’s push for stronger audit oversight following high-profile scandals (e.g., IL&amp;FS, Satyam).</w:t>
      </w:r>
    </w:p>
    <w:p w14:paraId="1F88650F" w14:textId="77777777" w:rsidR="00B51864" w:rsidRPr="00B51864" w:rsidRDefault="00B51864" w:rsidP="00B51864">
      <w:r w:rsidRPr="00B51864">
        <w:t>This list ensures coverage of all major investigative bodies relevant to auditor collusion cases in India, with mandates aligned to their statutory roles. If you need further details on specific cases or agency interactions, let me know!</w:t>
      </w:r>
    </w:p>
    <w:p w14:paraId="4746EB16" w14:textId="77777777" w:rsidR="00B51864" w:rsidRDefault="00B51864"/>
    <w:sectPr w:rsidR="00B51864">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0785B6" w14:textId="77777777" w:rsidR="00B844A0" w:rsidRDefault="00B844A0" w:rsidP="00B51864">
      <w:pPr>
        <w:spacing w:after="0" w:line="240" w:lineRule="auto"/>
      </w:pPr>
      <w:r>
        <w:separator/>
      </w:r>
    </w:p>
  </w:endnote>
  <w:endnote w:type="continuationSeparator" w:id="0">
    <w:p w14:paraId="69FB9E3C" w14:textId="77777777" w:rsidR="00B844A0" w:rsidRDefault="00B844A0" w:rsidP="00B518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8E145" w14:textId="77777777" w:rsidR="00B51864" w:rsidRDefault="00B5186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67A43" w14:textId="77777777" w:rsidR="00B51864" w:rsidRDefault="00B5186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7C1A3" w14:textId="77777777" w:rsidR="00B51864" w:rsidRDefault="00B518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066617" w14:textId="77777777" w:rsidR="00B844A0" w:rsidRDefault="00B844A0" w:rsidP="00B51864">
      <w:pPr>
        <w:spacing w:after="0" w:line="240" w:lineRule="auto"/>
      </w:pPr>
      <w:r>
        <w:separator/>
      </w:r>
    </w:p>
  </w:footnote>
  <w:footnote w:type="continuationSeparator" w:id="0">
    <w:p w14:paraId="39C6C8E0" w14:textId="77777777" w:rsidR="00B844A0" w:rsidRDefault="00B844A0" w:rsidP="00B518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2977C" w14:textId="77777777" w:rsidR="00B51864" w:rsidRDefault="00B5186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C5046" w14:textId="77777777" w:rsidR="00B51864" w:rsidRPr="00B51864" w:rsidRDefault="00B51864" w:rsidP="00B51864">
    <w:pPr>
      <w:rPr>
        <w:b/>
        <w:bCs/>
      </w:rPr>
    </w:pPr>
    <w:r w:rsidRPr="00B51864">
      <w:rPr>
        <w:b/>
        <w:bCs/>
      </w:rPr>
      <w:t>Investigative Agencies in India Handling Auditor Collusion and Financial Fraud Cases</w:t>
    </w:r>
  </w:p>
  <w:p w14:paraId="5A8B1AC4" w14:textId="77777777" w:rsidR="00B51864" w:rsidRDefault="00B5186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B5DE7" w14:textId="77777777" w:rsidR="00B51864" w:rsidRDefault="00B5186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973F0"/>
    <w:multiLevelType w:val="multilevel"/>
    <w:tmpl w:val="02D01F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8315EB9"/>
    <w:multiLevelType w:val="multilevel"/>
    <w:tmpl w:val="69649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6897670">
    <w:abstractNumId w:val="0"/>
  </w:num>
  <w:num w:numId="2" w16cid:durableId="16874867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1864"/>
    <w:rsid w:val="007E02F5"/>
    <w:rsid w:val="00B51864"/>
    <w:rsid w:val="00B844A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ecimalSymbol w:val="."/>
  <w:listSeparator w:val=","/>
  <w14:docId w14:val="25772ADC"/>
  <w15:chartTrackingRefBased/>
  <w15:docId w15:val="{7B8A3F16-789E-4265-ACA4-27E877CAB5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1864"/>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B51864"/>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B51864"/>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B518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18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18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18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18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18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1864"/>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B51864"/>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B51864"/>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B518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18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18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18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18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1864"/>
    <w:rPr>
      <w:rFonts w:eastAsiaTheme="majorEastAsia" w:cstheme="majorBidi"/>
      <w:color w:val="272727" w:themeColor="text1" w:themeTint="D8"/>
    </w:rPr>
  </w:style>
  <w:style w:type="paragraph" w:styleId="Title">
    <w:name w:val="Title"/>
    <w:basedOn w:val="Normal"/>
    <w:next w:val="Normal"/>
    <w:link w:val="TitleChar"/>
    <w:uiPriority w:val="10"/>
    <w:qFormat/>
    <w:rsid w:val="00B51864"/>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B51864"/>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B51864"/>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B51864"/>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B51864"/>
    <w:pPr>
      <w:spacing w:before="160"/>
      <w:jc w:val="center"/>
    </w:pPr>
    <w:rPr>
      <w:i/>
      <w:iCs/>
      <w:color w:val="404040" w:themeColor="text1" w:themeTint="BF"/>
    </w:rPr>
  </w:style>
  <w:style w:type="character" w:customStyle="1" w:styleId="QuoteChar">
    <w:name w:val="Quote Char"/>
    <w:basedOn w:val="DefaultParagraphFont"/>
    <w:link w:val="Quote"/>
    <w:uiPriority w:val="29"/>
    <w:rsid w:val="00B51864"/>
    <w:rPr>
      <w:i/>
      <w:iCs/>
      <w:color w:val="404040" w:themeColor="text1" w:themeTint="BF"/>
    </w:rPr>
  </w:style>
  <w:style w:type="paragraph" w:styleId="ListParagraph">
    <w:name w:val="List Paragraph"/>
    <w:basedOn w:val="Normal"/>
    <w:uiPriority w:val="34"/>
    <w:qFormat/>
    <w:rsid w:val="00B51864"/>
    <w:pPr>
      <w:ind w:left="720"/>
      <w:contextualSpacing/>
    </w:pPr>
  </w:style>
  <w:style w:type="character" w:styleId="IntenseEmphasis">
    <w:name w:val="Intense Emphasis"/>
    <w:basedOn w:val="DefaultParagraphFont"/>
    <w:uiPriority w:val="21"/>
    <w:qFormat/>
    <w:rsid w:val="00B51864"/>
    <w:rPr>
      <w:i/>
      <w:iCs/>
      <w:color w:val="0F4761" w:themeColor="accent1" w:themeShade="BF"/>
    </w:rPr>
  </w:style>
  <w:style w:type="paragraph" w:styleId="IntenseQuote">
    <w:name w:val="Intense Quote"/>
    <w:basedOn w:val="Normal"/>
    <w:next w:val="Normal"/>
    <w:link w:val="IntenseQuoteChar"/>
    <w:uiPriority w:val="30"/>
    <w:qFormat/>
    <w:rsid w:val="00B518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1864"/>
    <w:rPr>
      <w:i/>
      <w:iCs/>
      <w:color w:val="0F4761" w:themeColor="accent1" w:themeShade="BF"/>
    </w:rPr>
  </w:style>
  <w:style w:type="character" w:styleId="IntenseReference">
    <w:name w:val="Intense Reference"/>
    <w:basedOn w:val="DefaultParagraphFont"/>
    <w:uiPriority w:val="32"/>
    <w:qFormat/>
    <w:rsid w:val="00B51864"/>
    <w:rPr>
      <w:b/>
      <w:bCs/>
      <w:smallCaps/>
      <w:color w:val="0F4761" w:themeColor="accent1" w:themeShade="BF"/>
      <w:spacing w:val="5"/>
    </w:rPr>
  </w:style>
  <w:style w:type="paragraph" w:styleId="Header">
    <w:name w:val="header"/>
    <w:basedOn w:val="Normal"/>
    <w:link w:val="HeaderChar"/>
    <w:uiPriority w:val="99"/>
    <w:unhideWhenUsed/>
    <w:rsid w:val="00B51864"/>
    <w:pPr>
      <w:tabs>
        <w:tab w:val="center" w:pos="4513"/>
        <w:tab w:val="right" w:pos="9026"/>
      </w:tabs>
      <w:spacing w:after="0" w:line="240" w:lineRule="auto"/>
    </w:pPr>
  </w:style>
  <w:style w:type="character" w:customStyle="1" w:styleId="HeaderChar">
    <w:name w:val="Header Char"/>
    <w:basedOn w:val="DefaultParagraphFont"/>
    <w:link w:val="Header"/>
    <w:uiPriority w:val="99"/>
    <w:rsid w:val="00B51864"/>
  </w:style>
  <w:style w:type="paragraph" w:styleId="Footer">
    <w:name w:val="footer"/>
    <w:basedOn w:val="Normal"/>
    <w:link w:val="FooterChar"/>
    <w:uiPriority w:val="99"/>
    <w:unhideWhenUsed/>
    <w:rsid w:val="00B51864"/>
    <w:pPr>
      <w:tabs>
        <w:tab w:val="center" w:pos="4513"/>
        <w:tab w:val="right" w:pos="9026"/>
      </w:tabs>
      <w:spacing w:after="0" w:line="240" w:lineRule="auto"/>
    </w:pPr>
  </w:style>
  <w:style w:type="character" w:customStyle="1" w:styleId="FooterChar">
    <w:name w:val="Footer Char"/>
    <w:basedOn w:val="DefaultParagraphFont"/>
    <w:link w:val="Footer"/>
    <w:uiPriority w:val="99"/>
    <w:rsid w:val="00B518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904</Words>
  <Characters>5157</Characters>
  <Application>Microsoft Office Word</Application>
  <DocSecurity>0</DocSecurity>
  <Lines>42</Lines>
  <Paragraphs>12</Paragraphs>
  <ScaleCrop>false</ScaleCrop>
  <Company/>
  <LinksUpToDate>false</LinksUpToDate>
  <CharactersWithSpaces>6049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 Kapadia</dc:creator>
  <cp:keywords/>
  <dc:description/>
  <cp:lastModifiedBy>Sagar Kapadia</cp:lastModifiedBy>
  <cp:revision>1</cp:revision>
  <dcterms:created xsi:type="dcterms:W3CDTF">2025-09-11T16:26:00Z</dcterms:created>
  <dcterms:modified xsi:type="dcterms:W3CDTF">2025-09-11T16:27:00Z</dcterms:modified>
</cp:coreProperties>
</file>