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5E46" w14:textId="77777777" w:rsidR="00F80E43" w:rsidRPr="00F80E43" w:rsidRDefault="00F80E43" w:rsidP="00F80E43">
      <w:pPr>
        <w:rPr>
          <w:b/>
          <w:bCs/>
        </w:rPr>
      </w:pPr>
      <w:r w:rsidRPr="00F80E43">
        <w:rPr>
          <w:b/>
          <w:bCs/>
        </w:rPr>
        <w:t>Abstract</w:t>
      </w:r>
    </w:p>
    <w:p w14:paraId="7F318C07" w14:textId="77777777" w:rsidR="00F80E43" w:rsidRPr="00F80E43" w:rsidRDefault="00F80E43" w:rsidP="00F80E43">
      <w:r w:rsidRPr="00F80E43">
        <w:t xml:space="preserve">The Financial Intelligence Unit - India (FIU-IND) embodies the core architecture of financial intelligence in India, established as a central agency to combat money laundering and terrorism financing through the collection, analysis, and dissemination of financial transaction data. Operating under the Prevention of Money Laundering Act (PMLA), 2002, FIU-IND focuses exclusively on intelligence functions, distinct from enforcement actions or revenue-related intelligence. Its structure integrates advanced digital platforms like </w:t>
      </w:r>
      <w:proofErr w:type="spellStart"/>
      <w:r w:rsidRPr="00F80E43">
        <w:t>FINnet</w:t>
      </w:r>
      <w:proofErr w:type="spellEnd"/>
      <w:r w:rsidRPr="00F80E43">
        <w:t xml:space="preserve"> 2.0 and </w:t>
      </w:r>
      <w:proofErr w:type="spellStart"/>
      <w:r w:rsidRPr="00F80E43">
        <w:t>FINGate</w:t>
      </w:r>
      <w:proofErr w:type="spellEnd"/>
      <w:r w:rsidRPr="00F80E43">
        <w:t xml:space="preserve"> 2.0 for data handling, supported by a hierarchical organization and interlinkages via Memoranda of Understanding (</w:t>
      </w:r>
      <w:proofErr w:type="spellStart"/>
      <w:r w:rsidRPr="00F80E43">
        <w:t>MoUs</w:t>
      </w:r>
      <w:proofErr w:type="spellEnd"/>
      <w:r w:rsidRPr="00F80E43">
        <w:t>) with regulatory and investigative bodies such as RBI, SEBI, SFIO, CBI, and ITD. This document outlines the architecture, components, and interlinkages with agencies handling auditor collusion and financial fraud, as detailed in the provided document, emphasizing intelligence-sharing mechanisms.</w:t>
      </w:r>
    </w:p>
    <w:p w14:paraId="2AD5D843" w14:textId="77777777" w:rsidR="00F80E43" w:rsidRPr="00F80E43" w:rsidRDefault="00F80E43" w:rsidP="00F80E43">
      <w:pPr>
        <w:rPr>
          <w:b/>
          <w:bCs/>
        </w:rPr>
      </w:pPr>
      <w:r w:rsidRPr="00F80E43">
        <w:rPr>
          <w:b/>
          <w:bCs/>
        </w:rPr>
        <w:t>Introduction</w:t>
      </w:r>
    </w:p>
    <w:p w14:paraId="68D65595" w14:textId="77777777" w:rsidR="00F80E43" w:rsidRPr="00F80E43" w:rsidRDefault="00F80E43" w:rsidP="00F80E43">
      <w:r w:rsidRPr="00F80E43">
        <w:t xml:space="preserve">Financial intelligence in India is centralized through the Financial Intelligence Unit - India (FIU-IND), established on November 18, 2004, under Section 66 of the PMLA, 2002, as an independent body reporting to the Economic Intelligence Council (EIC) headed by the </w:t>
      </w:r>
      <w:proofErr w:type="gramStart"/>
      <w:r w:rsidRPr="00F80E43">
        <w:t>Finance Minister</w:t>
      </w:r>
      <w:proofErr w:type="gramEnd"/>
      <w:r w:rsidRPr="00F80E43">
        <w:t xml:space="preserve">. FIU-IND's mandate is to receive, process, </w:t>
      </w:r>
      <w:proofErr w:type="spellStart"/>
      <w:r w:rsidRPr="00F80E43">
        <w:t>analyze</w:t>
      </w:r>
      <w:proofErr w:type="spellEnd"/>
      <w:r w:rsidRPr="00F80E43">
        <w:t xml:space="preserve">, and disseminate information on suspect financial transactions, aiding in the detection of money laundering and terrorism financing without engaging in enforcement or revenue intelligence activities. It receives reports from over 100,000 reporting entities, including banks, NBFCs, and virtual digital asset providers, and employs AI and machine learning tools in systems like </w:t>
      </w:r>
      <w:proofErr w:type="spellStart"/>
      <w:r w:rsidRPr="00F80E43">
        <w:t>FINnet</w:t>
      </w:r>
      <w:proofErr w:type="spellEnd"/>
      <w:r w:rsidRPr="00F80E43">
        <w:t xml:space="preserve"> 2.0 for enhanced analysis.</w:t>
      </w:r>
    </w:p>
    <w:p w14:paraId="019E2DC5" w14:textId="77777777" w:rsidR="00F80E43" w:rsidRPr="00F80E43" w:rsidRDefault="00F80E43" w:rsidP="00F80E43">
      <w:r w:rsidRPr="00F80E43">
        <w:t>This architecture emphasizes proactive intelligence gathering and sharing, aligning with global standards as a member of the Egmont Group of FIUs. FIU-IND interlinks with various agencies for intelligence dissemination, facilitating coordinated efforts against financial crimes while maintaining its non-enforcement role. The system processes millions of reports annually, generating actionable intelligence for domestic and international partners.</w:t>
      </w:r>
    </w:p>
    <w:p w14:paraId="2C4E7C9D" w14:textId="77777777" w:rsidR="00F80E43" w:rsidRPr="00F80E43" w:rsidRDefault="00F80E43" w:rsidP="00F80E43">
      <w:pPr>
        <w:rPr>
          <w:b/>
          <w:bCs/>
        </w:rPr>
      </w:pPr>
      <w:r w:rsidRPr="00F80E43">
        <w:rPr>
          <w:b/>
          <w:bCs/>
        </w:rPr>
        <w:t>System Architecture Overview</w:t>
      </w:r>
    </w:p>
    <w:p w14:paraId="5A0F66A8" w14:textId="77777777" w:rsidR="00F80E43" w:rsidRPr="00F80E43" w:rsidRDefault="00F80E43" w:rsidP="00F80E43">
      <w:r w:rsidRPr="00F80E43">
        <w:t>FIU-IND's architecture is a technology-driven, centralized framework focused on financial data flows, from ingestion to dissemination. It excludes enforcement mechanisms, concentrating on intelligence cycles supported by secure digital platforms.</w:t>
      </w:r>
    </w:p>
    <w:p w14:paraId="1BE21549" w14:textId="77777777" w:rsidR="00F80E43" w:rsidRPr="00F80E43" w:rsidRDefault="00F80E43" w:rsidP="00F80E43">
      <w:pPr>
        <w:rPr>
          <w:b/>
          <w:bCs/>
        </w:rPr>
      </w:pPr>
      <w:r w:rsidRPr="00F80E43">
        <w:rPr>
          <w:b/>
          <w:bCs/>
        </w:rPr>
        <w:t>Data Collection and Ingestion</w:t>
      </w:r>
    </w:p>
    <w:p w14:paraId="4B575002" w14:textId="77777777" w:rsidR="00F80E43" w:rsidRPr="00F80E43" w:rsidRDefault="00F80E43" w:rsidP="00F80E43">
      <w:r w:rsidRPr="00F80E43">
        <w:t xml:space="preserve">Reporting entities submit Cash Transaction Reports (CTRs), Suspicious Transaction Reports (STRs), Cross-Border Wire Transfer Reports (CBWTRs), and others via </w:t>
      </w:r>
      <w:proofErr w:type="spellStart"/>
      <w:r w:rsidRPr="00F80E43">
        <w:t>FINGate</w:t>
      </w:r>
      <w:proofErr w:type="spellEnd"/>
      <w:r w:rsidRPr="00F80E43">
        <w:t xml:space="preserve"> 2.0, an online portal ensuring secure, standardized filing. </w:t>
      </w:r>
      <w:proofErr w:type="spellStart"/>
      <w:r w:rsidRPr="00F80E43">
        <w:t>FINnet</w:t>
      </w:r>
      <w:proofErr w:type="spellEnd"/>
      <w:r w:rsidRPr="00F80E43">
        <w:t xml:space="preserve"> 2.0 extends to specific sectors like trusts and virtual assets.</w:t>
      </w:r>
    </w:p>
    <w:p w14:paraId="6FA5494C" w14:textId="77777777" w:rsidR="00F80E43" w:rsidRPr="00F80E43" w:rsidRDefault="00F80E43" w:rsidP="00F80E43">
      <w:pPr>
        <w:rPr>
          <w:b/>
          <w:bCs/>
        </w:rPr>
      </w:pPr>
      <w:r w:rsidRPr="00F80E43">
        <w:rPr>
          <w:b/>
          <w:bCs/>
        </w:rPr>
        <w:t>Processing and Analysis</w:t>
      </w:r>
    </w:p>
    <w:p w14:paraId="32F9CA04" w14:textId="77777777" w:rsidR="00F80E43" w:rsidRPr="00F80E43" w:rsidRDefault="00F80E43" w:rsidP="00F80E43">
      <w:r w:rsidRPr="00F80E43">
        <w:lastRenderedPageBreak/>
        <w:t xml:space="preserve">Data is processed using AI/ML algorithms in </w:t>
      </w:r>
      <w:proofErr w:type="spellStart"/>
      <w:r w:rsidRPr="00F80E43">
        <w:t>FINnet</w:t>
      </w:r>
      <w:proofErr w:type="spellEnd"/>
      <w:r w:rsidRPr="00F80E43">
        <w:t xml:space="preserve"> 2.0, which assigns risk scores, detects patterns, and flags anomalies. Analysts, supported by a hierarchical structure (Director, Additional Directors, etc.), conduct in-depth reviews.</w:t>
      </w:r>
    </w:p>
    <w:p w14:paraId="33C7DA63" w14:textId="77777777" w:rsidR="00F80E43" w:rsidRPr="00F80E43" w:rsidRDefault="00F80E43" w:rsidP="00F80E43">
      <w:pPr>
        <w:rPr>
          <w:b/>
          <w:bCs/>
        </w:rPr>
      </w:pPr>
      <w:r w:rsidRPr="00F80E43">
        <w:rPr>
          <w:b/>
          <w:bCs/>
        </w:rPr>
        <w:t>Dissemination and Sharing</w:t>
      </w:r>
    </w:p>
    <w:p w14:paraId="1511E720" w14:textId="77777777" w:rsidR="00F80E43" w:rsidRPr="00F80E43" w:rsidRDefault="00F80E43" w:rsidP="00F80E43">
      <w:proofErr w:type="spellStart"/>
      <w:r w:rsidRPr="00F80E43">
        <w:t>Analyzed</w:t>
      </w:r>
      <w:proofErr w:type="spellEnd"/>
      <w:r w:rsidRPr="00F80E43">
        <w:t xml:space="preserve"> intelligence is disseminated via FINex to law enforcement agencies (LEAs) and foreign FIUs, with </w:t>
      </w:r>
      <w:proofErr w:type="spellStart"/>
      <w:r w:rsidRPr="00F80E43">
        <w:t>MoUs</w:t>
      </w:r>
      <w:proofErr w:type="spellEnd"/>
      <w:r w:rsidRPr="00F80E43">
        <w:t xml:space="preserve"> ensuring seamless exchange. This includes proactive alerts and responses to requests.</w:t>
      </w:r>
    </w:p>
    <w:p w14:paraId="6ADC8453" w14:textId="77777777" w:rsidR="00F80E43" w:rsidRPr="00F80E43" w:rsidRDefault="00F80E43" w:rsidP="00F80E43">
      <w:pPr>
        <w:rPr>
          <w:b/>
          <w:bCs/>
        </w:rPr>
      </w:pPr>
      <w:r w:rsidRPr="00F80E43">
        <w:rPr>
          <w:b/>
          <w:bCs/>
        </w:rPr>
        <w:t>Interlinkages with Other Investigative Agencies</w:t>
      </w:r>
    </w:p>
    <w:p w14:paraId="28CD4BDB" w14:textId="77777777" w:rsidR="00F80E43" w:rsidRPr="00F80E43" w:rsidRDefault="00F80E43" w:rsidP="00F80E43">
      <w:r w:rsidRPr="00F80E43">
        <w:t xml:space="preserve">FIU-IND fosters interlinkages through </w:t>
      </w:r>
      <w:proofErr w:type="spellStart"/>
      <w:r w:rsidRPr="00F80E43">
        <w:t>MoUs</w:t>
      </w:r>
      <w:proofErr w:type="spellEnd"/>
      <w:r w:rsidRPr="00F80E43">
        <w:t xml:space="preserve"> and intelligence dissemination, providing financial insights to agencies handling auditor collusion and financial fraud without direct involvement in investigations. Key mechanisms include the EIC for high-level coordination and sector-specific agreements. The table below details these interlinkages with agencies from the provided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5804"/>
      </w:tblGrid>
      <w:tr w:rsidR="00F80E43" w:rsidRPr="00F80E43" w14:paraId="5D1DD712" w14:textId="77777777">
        <w:trPr>
          <w:tblHeader/>
          <w:tblCellSpacing w:w="15" w:type="dxa"/>
        </w:trPr>
        <w:tc>
          <w:tcPr>
            <w:tcW w:w="0" w:type="auto"/>
            <w:vAlign w:val="center"/>
            <w:hideMark/>
          </w:tcPr>
          <w:p w14:paraId="66E3D305" w14:textId="77777777" w:rsidR="00F80E43" w:rsidRPr="00F80E43" w:rsidRDefault="00F80E43" w:rsidP="00F80E43">
            <w:pPr>
              <w:rPr>
                <w:b/>
                <w:bCs/>
              </w:rPr>
            </w:pPr>
            <w:r w:rsidRPr="00F80E43">
              <w:rPr>
                <w:b/>
                <w:bCs/>
              </w:rPr>
              <w:t>Agency</w:t>
            </w:r>
          </w:p>
        </w:tc>
        <w:tc>
          <w:tcPr>
            <w:tcW w:w="0" w:type="auto"/>
            <w:vAlign w:val="center"/>
            <w:hideMark/>
          </w:tcPr>
          <w:p w14:paraId="4D234513" w14:textId="77777777" w:rsidR="00F80E43" w:rsidRPr="00F80E43" w:rsidRDefault="00F80E43" w:rsidP="00F80E43">
            <w:pPr>
              <w:rPr>
                <w:b/>
                <w:bCs/>
              </w:rPr>
            </w:pPr>
            <w:r w:rsidRPr="00F80E43">
              <w:rPr>
                <w:b/>
                <w:bCs/>
              </w:rPr>
              <w:t>Interlinkage Description</w:t>
            </w:r>
          </w:p>
        </w:tc>
      </w:tr>
      <w:tr w:rsidR="00F80E43" w:rsidRPr="00F80E43" w14:paraId="7931529F" w14:textId="77777777">
        <w:trPr>
          <w:tblCellSpacing w:w="15" w:type="dxa"/>
        </w:trPr>
        <w:tc>
          <w:tcPr>
            <w:tcW w:w="0" w:type="auto"/>
            <w:vAlign w:val="center"/>
            <w:hideMark/>
          </w:tcPr>
          <w:p w14:paraId="5CD0C054" w14:textId="77777777" w:rsidR="00F80E43" w:rsidRPr="00F80E43" w:rsidRDefault="00F80E43" w:rsidP="00F80E43">
            <w:r w:rsidRPr="00F80E43">
              <w:t>Serious Fraud Investigation Office (SFIO)</w:t>
            </w:r>
          </w:p>
        </w:tc>
        <w:tc>
          <w:tcPr>
            <w:tcW w:w="0" w:type="auto"/>
            <w:vAlign w:val="center"/>
            <w:hideMark/>
          </w:tcPr>
          <w:p w14:paraId="4F6F3AD8" w14:textId="77777777" w:rsidR="00F80E43" w:rsidRPr="00F80E43" w:rsidRDefault="00F80E43" w:rsidP="00F80E43">
            <w:r w:rsidRPr="00F80E43">
              <w:t>MoU for sharing financial intelligence on corporate frauds; FIU-IND disseminates STR-related data to support SFIO probes into multi-company irregularities.</w:t>
            </w:r>
          </w:p>
        </w:tc>
      </w:tr>
      <w:tr w:rsidR="00F80E43" w:rsidRPr="00F80E43" w14:paraId="17680D99" w14:textId="77777777">
        <w:trPr>
          <w:tblCellSpacing w:w="15" w:type="dxa"/>
        </w:trPr>
        <w:tc>
          <w:tcPr>
            <w:tcW w:w="0" w:type="auto"/>
            <w:vAlign w:val="center"/>
            <w:hideMark/>
          </w:tcPr>
          <w:p w14:paraId="743B9C03" w14:textId="77777777" w:rsidR="00F80E43" w:rsidRPr="00F80E43" w:rsidRDefault="00F80E43" w:rsidP="00F80E43">
            <w:r w:rsidRPr="00F80E43">
              <w:t>Enforcement Directorate (ED) / Directorate of Enforcement</w:t>
            </w:r>
          </w:p>
        </w:tc>
        <w:tc>
          <w:tcPr>
            <w:tcW w:w="0" w:type="auto"/>
            <w:vAlign w:val="center"/>
            <w:hideMark/>
          </w:tcPr>
          <w:p w14:paraId="2DDD21D7" w14:textId="77777777" w:rsidR="00F80E43" w:rsidRPr="00F80E43" w:rsidRDefault="00F80E43" w:rsidP="00F80E43">
            <w:r w:rsidRPr="00F80E43">
              <w:t>Disseminates intelligence under PMLA for money laundering cases; MoU with ED for data exchange, aiding asset tracking without FIU-IND enforcement role.</w:t>
            </w:r>
          </w:p>
        </w:tc>
      </w:tr>
      <w:tr w:rsidR="00F80E43" w:rsidRPr="00F80E43" w14:paraId="04FAF2AE" w14:textId="77777777">
        <w:trPr>
          <w:tblCellSpacing w:w="15" w:type="dxa"/>
        </w:trPr>
        <w:tc>
          <w:tcPr>
            <w:tcW w:w="0" w:type="auto"/>
            <w:vAlign w:val="center"/>
            <w:hideMark/>
          </w:tcPr>
          <w:p w14:paraId="0DDE6DEB" w14:textId="77777777" w:rsidR="00F80E43" w:rsidRPr="00F80E43" w:rsidRDefault="00F80E43" w:rsidP="00F80E43">
            <w:r w:rsidRPr="00F80E43">
              <w:t>Central Bureau of Investigation (CBI)</w:t>
            </w:r>
          </w:p>
        </w:tc>
        <w:tc>
          <w:tcPr>
            <w:tcW w:w="0" w:type="auto"/>
            <w:vAlign w:val="center"/>
            <w:hideMark/>
          </w:tcPr>
          <w:p w14:paraId="292B80DA" w14:textId="77777777" w:rsidR="00F80E43" w:rsidRPr="00F80E43" w:rsidRDefault="00F80E43" w:rsidP="00F80E43">
            <w:r w:rsidRPr="00F80E43">
              <w:t>MoU for sharing suspect transaction details in corruption and economic offenses; FIU-IND provides inputs to CBI investigations via EIC coordination.</w:t>
            </w:r>
          </w:p>
        </w:tc>
      </w:tr>
      <w:tr w:rsidR="00F80E43" w:rsidRPr="00F80E43" w14:paraId="75659B18" w14:textId="77777777">
        <w:trPr>
          <w:tblCellSpacing w:w="15" w:type="dxa"/>
        </w:trPr>
        <w:tc>
          <w:tcPr>
            <w:tcW w:w="0" w:type="auto"/>
            <w:vAlign w:val="center"/>
            <w:hideMark/>
          </w:tcPr>
          <w:p w14:paraId="2A3CBBA1" w14:textId="77777777" w:rsidR="00F80E43" w:rsidRPr="00F80E43" w:rsidRDefault="00F80E43" w:rsidP="00F80E43">
            <w:r w:rsidRPr="00F80E43">
              <w:t>Securities and Exchange Board of India (SEBI)</w:t>
            </w:r>
          </w:p>
        </w:tc>
        <w:tc>
          <w:tcPr>
            <w:tcW w:w="0" w:type="auto"/>
            <w:vAlign w:val="center"/>
            <w:hideMark/>
          </w:tcPr>
          <w:p w14:paraId="76F6CEBA" w14:textId="77777777" w:rsidR="00F80E43" w:rsidRPr="00F80E43" w:rsidRDefault="00F80E43" w:rsidP="00F80E43">
            <w:r w:rsidRPr="00F80E43">
              <w:t>MoU for intelligence on market manipulations and insider trading; FIU-IND shares data from securities-related STRs to enhance SEBI's regulatory oversight.</w:t>
            </w:r>
          </w:p>
        </w:tc>
      </w:tr>
      <w:tr w:rsidR="00F80E43" w:rsidRPr="00F80E43" w14:paraId="09883A0C" w14:textId="77777777">
        <w:trPr>
          <w:tblCellSpacing w:w="15" w:type="dxa"/>
        </w:trPr>
        <w:tc>
          <w:tcPr>
            <w:tcW w:w="0" w:type="auto"/>
            <w:vAlign w:val="center"/>
            <w:hideMark/>
          </w:tcPr>
          <w:p w14:paraId="55FBECB7" w14:textId="77777777" w:rsidR="00F80E43" w:rsidRPr="00F80E43" w:rsidRDefault="00F80E43" w:rsidP="00F80E43">
            <w:r w:rsidRPr="00F80E43">
              <w:t>Reserve Bank of India (RBI)</w:t>
            </w:r>
          </w:p>
        </w:tc>
        <w:tc>
          <w:tcPr>
            <w:tcW w:w="0" w:type="auto"/>
            <w:vAlign w:val="center"/>
            <w:hideMark/>
          </w:tcPr>
          <w:p w14:paraId="3CB51234" w14:textId="77777777" w:rsidR="00F80E43" w:rsidRPr="00F80E43" w:rsidRDefault="00F80E43" w:rsidP="00F80E43">
            <w:r w:rsidRPr="00F80E43">
              <w:t xml:space="preserve">MoU for exchanging banking transaction data; FIU-IND receives inputs from RBI on NBFCs and disseminates </w:t>
            </w:r>
            <w:proofErr w:type="spellStart"/>
            <w:r w:rsidRPr="00F80E43">
              <w:t>analyzed</w:t>
            </w:r>
            <w:proofErr w:type="spellEnd"/>
            <w:r w:rsidRPr="00F80E43">
              <w:t xml:space="preserve"> intelligence for supervisory actions.</w:t>
            </w:r>
          </w:p>
        </w:tc>
      </w:tr>
      <w:tr w:rsidR="00F80E43" w:rsidRPr="00F80E43" w14:paraId="247C8BDF" w14:textId="77777777">
        <w:trPr>
          <w:tblCellSpacing w:w="15" w:type="dxa"/>
        </w:trPr>
        <w:tc>
          <w:tcPr>
            <w:tcW w:w="0" w:type="auto"/>
            <w:vAlign w:val="center"/>
            <w:hideMark/>
          </w:tcPr>
          <w:p w14:paraId="4A279A14" w14:textId="77777777" w:rsidR="00F80E43" w:rsidRPr="00F80E43" w:rsidRDefault="00F80E43" w:rsidP="00F80E43">
            <w:r w:rsidRPr="00F80E43">
              <w:t>National Financial Reporting Authority (NFRA)</w:t>
            </w:r>
          </w:p>
        </w:tc>
        <w:tc>
          <w:tcPr>
            <w:tcW w:w="0" w:type="auto"/>
            <w:vAlign w:val="center"/>
            <w:hideMark/>
          </w:tcPr>
          <w:p w14:paraId="6C4EC230" w14:textId="77777777" w:rsidR="00F80E43" w:rsidRPr="00F80E43" w:rsidRDefault="00F80E43" w:rsidP="00F80E43">
            <w:r w:rsidRPr="00F80E43">
              <w:t>Indirect linkage via MCA; FIU-IND shares financial anomaly data that may inform NFRA's audit quality reviews in fraud cases.</w:t>
            </w:r>
          </w:p>
        </w:tc>
      </w:tr>
      <w:tr w:rsidR="00F80E43" w:rsidRPr="00F80E43" w14:paraId="12C249B9" w14:textId="77777777">
        <w:trPr>
          <w:tblCellSpacing w:w="15" w:type="dxa"/>
        </w:trPr>
        <w:tc>
          <w:tcPr>
            <w:tcW w:w="0" w:type="auto"/>
            <w:vAlign w:val="center"/>
            <w:hideMark/>
          </w:tcPr>
          <w:p w14:paraId="590EBB28" w14:textId="77777777" w:rsidR="00F80E43" w:rsidRPr="00F80E43" w:rsidRDefault="00F80E43" w:rsidP="00F80E43">
            <w:r w:rsidRPr="00F80E43">
              <w:t>Income Tax Department (ITD)</w:t>
            </w:r>
          </w:p>
        </w:tc>
        <w:tc>
          <w:tcPr>
            <w:tcW w:w="0" w:type="auto"/>
            <w:vAlign w:val="center"/>
            <w:hideMark/>
          </w:tcPr>
          <w:p w14:paraId="252EE2DF" w14:textId="77777777" w:rsidR="00F80E43" w:rsidRPr="00F80E43" w:rsidRDefault="00F80E43" w:rsidP="00F80E43">
            <w:r w:rsidRPr="00F80E43">
              <w:t>MoU with CBDT (ITD's parent) for tax evasion intelligence; FIU-IND disseminates STRs linked to undeclared income for ITD assessments.</w:t>
            </w:r>
          </w:p>
        </w:tc>
      </w:tr>
      <w:tr w:rsidR="00F80E43" w:rsidRPr="00F80E43" w14:paraId="51B10CAD" w14:textId="77777777">
        <w:trPr>
          <w:tblCellSpacing w:w="15" w:type="dxa"/>
        </w:trPr>
        <w:tc>
          <w:tcPr>
            <w:tcW w:w="0" w:type="auto"/>
            <w:vAlign w:val="center"/>
            <w:hideMark/>
          </w:tcPr>
          <w:p w14:paraId="42930756" w14:textId="77777777" w:rsidR="00F80E43" w:rsidRPr="00F80E43" w:rsidRDefault="00F80E43" w:rsidP="00F80E43">
            <w:r w:rsidRPr="00F80E43">
              <w:t>Directorate General of Corporate Affairs (DGCA) - Ministry of Corporate Affairs (MCA)</w:t>
            </w:r>
          </w:p>
        </w:tc>
        <w:tc>
          <w:tcPr>
            <w:tcW w:w="0" w:type="auto"/>
            <w:vAlign w:val="center"/>
            <w:hideMark/>
          </w:tcPr>
          <w:p w14:paraId="1D8D52E0" w14:textId="77777777" w:rsidR="00F80E43" w:rsidRPr="00F80E43" w:rsidRDefault="00F80E43" w:rsidP="00F80E43">
            <w:r w:rsidRPr="00F80E43">
              <w:t>MoU with MCA for corporate governance intelligence; FIU-IND provides data on suspect transactions to support DGCA inspections.</w:t>
            </w:r>
          </w:p>
        </w:tc>
      </w:tr>
      <w:tr w:rsidR="00F80E43" w:rsidRPr="00F80E43" w14:paraId="5845BFFA" w14:textId="77777777">
        <w:trPr>
          <w:tblCellSpacing w:w="15" w:type="dxa"/>
        </w:trPr>
        <w:tc>
          <w:tcPr>
            <w:tcW w:w="0" w:type="auto"/>
            <w:vAlign w:val="center"/>
            <w:hideMark/>
          </w:tcPr>
          <w:p w14:paraId="1040369F" w14:textId="77777777" w:rsidR="00F80E43" w:rsidRPr="00F80E43" w:rsidRDefault="00F80E43" w:rsidP="00F80E43">
            <w:r w:rsidRPr="00F80E43">
              <w:t>Central Vigilance Commission (CVC)</w:t>
            </w:r>
          </w:p>
        </w:tc>
        <w:tc>
          <w:tcPr>
            <w:tcW w:w="0" w:type="auto"/>
            <w:vAlign w:val="center"/>
            <w:hideMark/>
          </w:tcPr>
          <w:p w14:paraId="0A7C2936" w14:textId="77777777" w:rsidR="00F80E43" w:rsidRPr="00F80E43" w:rsidRDefault="00F80E43" w:rsidP="00F80E43">
            <w:r w:rsidRPr="00F80E43">
              <w:t>Coordinates via EIC on public sector vigilance; FIU-IND shares financial intelligence for CVC-monitored cases in government entities.</w:t>
            </w:r>
          </w:p>
        </w:tc>
      </w:tr>
    </w:tbl>
    <w:p w14:paraId="06E2BEFA" w14:textId="77777777" w:rsidR="00F80E43" w:rsidRPr="00F80E43" w:rsidRDefault="00F80E43" w:rsidP="00F80E43">
      <w:pPr>
        <w:rPr>
          <w:b/>
          <w:bCs/>
        </w:rPr>
      </w:pPr>
      <w:r w:rsidRPr="00F80E43">
        <w:rPr>
          <w:b/>
          <w:bCs/>
        </w:rPr>
        <w:t>Key Components and Descriptions</w:t>
      </w:r>
    </w:p>
    <w:p w14:paraId="43C5388A" w14:textId="77777777" w:rsidR="00F80E43" w:rsidRPr="00F80E43" w:rsidRDefault="00F80E43" w:rsidP="00F80E43">
      <w:r w:rsidRPr="00F80E43">
        <w:t>The table below outlines FIU-IND's key components, focusing on intelligence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6824"/>
      </w:tblGrid>
      <w:tr w:rsidR="00F80E43" w:rsidRPr="00F80E43" w14:paraId="00310365" w14:textId="77777777">
        <w:trPr>
          <w:tblHeader/>
          <w:tblCellSpacing w:w="15" w:type="dxa"/>
        </w:trPr>
        <w:tc>
          <w:tcPr>
            <w:tcW w:w="0" w:type="auto"/>
            <w:vAlign w:val="center"/>
            <w:hideMark/>
          </w:tcPr>
          <w:p w14:paraId="0016D70F" w14:textId="77777777" w:rsidR="00F80E43" w:rsidRPr="00F80E43" w:rsidRDefault="00F80E43" w:rsidP="00F80E43">
            <w:pPr>
              <w:rPr>
                <w:b/>
                <w:bCs/>
              </w:rPr>
            </w:pPr>
            <w:r w:rsidRPr="00F80E43">
              <w:rPr>
                <w:b/>
                <w:bCs/>
              </w:rPr>
              <w:t>Component/Source</w:t>
            </w:r>
          </w:p>
        </w:tc>
        <w:tc>
          <w:tcPr>
            <w:tcW w:w="0" w:type="auto"/>
            <w:vAlign w:val="center"/>
            <w:hideMark/>
          </w:tcPr>
          <w:p w14:paraId="07451486" w14:textId="77777777" w:rsidR="00F80E43" w:rsidRPr="00F80E43" w:rsidRDefault="00F80E43" w:rsidP="00F80E43">
            <w:pPr>
              <w:rPr>
                <w:b/>
                <w:bCs/>
              </w:rPr>
            </w:pPr>
            <w:r w:rsidRPr="00F80E43">
              <w:rPr>
                <w:b/>
                <w:bCs/>
              </w:rPr>
              <w:t>Description</w:t>
            </w:r>
          </w:p>
        </w:tc>
      </w:tr>
      <w:tr w:rsidR="00F80E43" w:rsidRPr="00F80E43" w14:paraId="0D5A01C0" w14:textId="77777777">
        <w:trPr>
          <w:tblCellSpacing w:w="15" w:type="dxa"/>
        </w:trPr>
        <w:tc>
          <w:tcPr>
            <w:tcW w:w="0" w:type="auto"/>
            <w:vAlign w:val="center"/>
            <w:hideMark/>
          </w:tcPr>
          <w:p w14:paraId="735BE8FD" w14:textId="77777777" w:rsidR="00F80E43" w:rsidRPr="00F80E43" w:rsidRDefault="00F80E43" w:rsidP="00F80E43">
            <w:r w:rsidRPr="00F80E43">
              <w:t>Headquarters (New Delhi)</w:t>
            </w:r>
          </w:p>
        </w:tc>
        <w:tc>
          <w:tcPr>
            <w:tcW w:w="0" w:type="auto"/>
            <w:vAlign w:val="center"/>
            <w:hideMark/>
          </w:tcPr>
          <w:p w14:paraId="28061B82" w14:textId="77777777" w:rsidR="00F80E43" w:rsidRPr="00F80E43" w:rsidRDefault="00F80E43" w:rsidP="00F80E43">
            <w:r w:rsidRPr="00F80E43">
              <w:t>Central hub led by Director; oversees data analysis, policy, and dissemination, reporting to EIC.</w:t>
            </w:r>
          </w:p>
        </w:tc>
      </w:tr>
      <w:tr w:rsidR="00F80E43" w:rsidRPr="00F80E43" w14:paraId="2498BB11" w14:textId="77777777">
        <w:trPr>
          <w:tblCellSpacing w:w="15" w:type="dxa"/>
        </w:trPr>
        <w:tc>
          <w:tcPr>
            <w:tcW w:w="0" w:type="auto"/>
            <w:vAlign w:val="center"/>
            <w:hideMark/>
          </w:tcPr>
          <w:p w14:paraId="5101ED14" w14:textId="77777777" w:rsidR="00F80E43" w:rsidRPr="00F80E43" w:rsidRDefault="00F80E43" w:rsidP="00F80E43">
            <w:r w:rsidRPr="00F80E43">
              <w:t>Hierarchical Staff Structure</w:t>
            </w:r>
          </w:p>
        </w:tc>
        <w:tc>
          <w:tcPr>
            <w:tcW w:w="0" w:type="auto"/>
            <w:vAlign w:val="center"/>
            <w:hideMark/>
          </w:tcPr>
          <w:p w14:paraId="51F0F94C" w14:textId="77777777" w:rsidR="00F80E43" w:rsidRPr="00F80E43" w:rsidRDefault="00F80E43" w:rsidP="00F80E43">
            <w:r w:rsidRPr="00F80E43">
              <w:t>Includes Additional/Joint/Deputy Directors and analysts on deputation/contract; handles processing and analysis.</w:t>
            </w:r>
          </w:p>
        </w:tc>
      </w:tr>
      <w:tr w:rsidR="00F80E43" w:rsidRPr="00F80E43" w14:paraId="4CA3972A" w14:textId="77777777">
        <w:trPr>
          <w:tblCellSpacing w:w="15" w:type="dxa"/>
        </w:trPr>
        <w:tc>
          <w:tcPr>
            <w:tcW w:w="0" w:type="auto"/>
            <w:vAlign w:val="center"/>
            <w:hideMark/>
          </w:tcPr>
          <w:p w14:paraId="124D4894" w14:textId="77777777" w:rsidR="00F80E43" w:rsidRPr="00F80E43" w:rsidRDefault="00F80E43" w:rsidP="00F80E43">
            <w:proofErr w:type="spellStart"/>
            <w:r w:rsidRPr="00F80E43">
              <w:t>FINGate</w:t>
            </w:r>
            <w:proofErr w:type="spellEnd"/>
            <w:r w:rsidRPr="00F80E43">
              <w:t xml:space="preserve"> 2.0</w:t>
            </w:r>
          </w:p>
        </w:tc>
        <w:tc>
          <w:tcPr>
            <w:tcW w:w="0" w:type="auto"/>
            <w:vAlign w:val="center"/>
            <w:hideMark/>
          </w:tcPr>
          <w:p w14:paraId="39E62198" w14:textId="77777777" w:rsidR="00F80E43" w:rsidRPr="00F80E43" w:rsidRDefault="00F80E43" w:rsidP="00F80E43">
            <w:r w:rsidRPr="00F80E43">
              <w:t>Online portal for report filing by reporting entities; ensures secure data ingestion.</w:t>
            </w:r>
          </w:p>
        </w:tc>
      </w:tr>
      <w:tr w:rsidR="00F80E43" w:rsidRPr="00F80E43" w14:paraId="73CB373C" w14:textId="77777777">
        <w:trPr>
          <w:tblCellSpacing w:w="15" w:type="dxa"/>
        </w:trPr>
        <w:tc>
          <w:tcPr>
            <w:tcW w:w="0" w:type="auto"/>
            <w:vAlign w:val="center"/>
            <w:hideMark/>
          </w:tcPr>
          <w:p w14:paraId="3AEB0305" w14:textId="77777777" w:rsidR="00F80E43" w:rsidRPr="00F80E43" w:rsidRDefault="00F80E43" w:rsidP="00F80E43">
            <w:proofErr w:type="spellStart"/>
            <w:r w:rsidRPr="00F80E43">
              <w:t>FINnet</w:t>
            </w:r>
            <w:proofErr w:type="spellEnd"/>
            <w:r w:rsidRPr="00F80E43">
              <w:t xml:space="preserve"> 2.0</w:t>
            </w:r>
          </w:p>
        </w:tc>
        <w:tc>
          <w:tcPr>
            <w:tcW w:w="0" w:type="auto"/>
            <w:vAlign w:val="center"/>
            <w:hideMark/>
          </w:tcPr>
          <w:p w14:paraId="64DFABB5" w14:textId="77777777" w:rsidR="00F80E43" w:rsidRPr="00F80E43" w:rsidRDefault="00F80E43" w:rsidP="00F80E43">
            <w:r w:rsidRPr="00F80E43">
              <w:t>AI/ML-powered system for processing STRs, risk scoring, and pattern detection in sectors like trusts and VDAs.</w:t>
            </w:r>
          </w:p>
        </w:tc>
      </w:tr>
      <w:tr w:rsidR="00F80E43" w:rsidRPr="00F80E43" w14:paraId="6E92795E" w14:textId="77777777">
        <w:trPr>
          <w:tblCellSpacing w:w="15" w:type="dxa"/>
        </w:trPr>
        <w:tc>
          <w:tcPr>
            <w:tcW w:w="0" w:type="auto"/>
            <w:vAlign w:val="center"/>
            <w:hideMark/>
          </w:tcPr>
          <w:p w14:paraId="5612FBFF" w14:textId="77777777" w:rsidR="00F80E43" w:rsidRPr="00F80E43" w:rsidRDefault="00F80E43" w:rsidP="00F80E43">
            <w:r w:rsidRPr="00F80E43">
              <w:t>FINex</w:t>
            </w:r>
          </w:p>
        </w:tc>
        <w:tc>
          <w:tcPr>
            <w:tcW w:w="0" w:type="auto"/>
            <w:vAlign w:val="center"/>
            <w:hideMark/>
          </w:tcPr>
          <w:p w14:paraId="315A4193" w14:textId="77777777" w:rsidR="00F80E43" w:rsidRPr="00F80E43" w:rsidRDefault="00F80E43" w:rsidP="00F80E43">
            <w:r w:rsidRPr="00F80E43">
              <w:t>Platform for disseminating intelligence to LEAs and foreign FIUs.</w:t>
            </w:r>
          </w:p>
        </w:tc>
      </w:tr>
      <w:tr w:rsidR="00F80E43" w:rsidRPr="00F80E43" w14:paraId="1066A581" w14:textId="77777777">
        <w:trPr>
          <w:tblCellSpacing w:w="15" w:type="dxa"/>
        </w:trPr>
        <w:tc>
          <w:tcPr>
            <w:tcW w:w="0" w:type="auto"/>
            <w:vAlign w:val="center"/>
            <w:hideMark/>
          </w:tcPr>
          <w:p w14:paraId="04470A9B" w14:textId="77777777" w:rsidR="00F80E43" w:rsidRPr="00F80E43" w:rsidRDefault="00F80E43" w:rsidP="00F80E43">
            <w:r w:rsidRPr="00F80E43">
              <w:t>Intelligence Analysis Units</w:t>
            </w:r>
          </w:p>
        </w:tc>
        <w:tc>
          <w:tcPr>
            <w:tcW w:w="0" w:type="auto"/>
            <w:vAlign w:val="center"/>
            <w:hideMark/>
          </w:tcPr>
          <w:p w14:paraId="346E8EBD" w14:textId="77777777" w:rsidR="00F80E43" w:rsidRPr="00F80E43" w:rsidRDefault="00F80E43" w:rsidP="00F80E43">
            <w:r w:rsidRPr="00F80E43">
              <w:t>Core teams for reviewing data, identifying suspicious activities, and generating reports.</w:t>
            </w:r>
          </w:p>
        </w:tc>
      </w:tr>
      <w:tr w:rsidR="00F80E43" w:rsidRPr="00F80E43" w14:paraId="4345C9A1" w14:textId="77777777">
        <w:trPr>
          <w:tblCellSpacing w:w="15" w:type="dxa"/>
        </w:trPr>
        <w:tc>
          <w:tcPr>
            <w:tcW w:w="0" w:type="auto"/>
            <w:vAlign w:val="center"/>
            <w:hideMark/>
          </w:tcPr>
          <w:p w14:paraId="4CE80C38" w14:textId="77777777" w:rsidR="00F80E43" w:rsidRPr="00F80E43" w:rsidRDefault="00F80E43" w:rsidP="00F80E43">
            <w:r w:rsidRPr="00F80E43">
              <w:t>MoU Framework</w:t>
            </w:r>
          </w:p>
        </w:tc>
        <w:tc>
          <w:tcPr>
            <w:tcW w:w="0" w:type="auto"/>
            <w:vAlign w:val="center"/>
            <w:hideMark/>
          </w:tcPr>
          <w:p w14:paraId="7D29AFAF" w14:textId="77777777" w:rsidR="00F80E43" w:rsidRPr="00F80E43" w:rsidRDefault="00F80E43" w:rsidP="00F80E43">
            <w:r w:rsidRPr="00F80E43">
              <w:t>Agreements with domestic regulators (e.g., RBI, SEBI) and international FIUs for information exchange.</w:t>
            </w:r>
          </w:p>
        </w:tc>
      </w:tr>
    </w:tbl>
    <w:p w14:paraId="67550578" w14:textId="77777777" w:rsidR="00F80E43" w:rsidRPr="00F80E43" w:rsidRDefault="00F80E43" w:rsidP="00F80E43">
      <w:pPr>
        <w:rPr>
          <w:b/>
          <w:bCs/>
        </w:rPr>
      </w:pPr>
      <w:r w:rsidRPr="00F80E43">
        <w:rPr>
          <w:b/>
          <w:bCs/>
        </w:rPr>
        <w:t>Conclusion</w:t>
      </w:r>
    </w:p>
    <w:p w14:paraId="43BFC095" w14:textId="77777777" w:rsidR="00F80E43" w:rsidRPr="00F80E43" w:rsidRDefault="00F80E43" w:rsidP="00F80E43">
      <w:r w:rsidRPr="00F80E43">
        <w:t xml:space="preserve">India's financial intelligence architecture, </w:t>
      </w:r>
      <w:proofErr w:type="spellStart"/>
      <w:r w:rsidRPr="00F80E43">
        <w:t>centered</w:t>
      </w:r>
      <w:proofErr w:type="spellEnd"/>
      <w:r w:rsidRPr="00F80E43">
        <w:t xml:space="preserve"> on FIU-IND, provides a sophisticated, intelligence-focused system for mitigating money laundering and terrorism financing risks through advanced data analytics and strategic interlinkages. By integrating platforms like </w:t>
      </w:r>
      <w:proofErr w:type="spellStart"/>
      <w:r w:rsidRPr="00F80E43">
        <w:t>FINnet</w:t>
      </w:r>
      <w:proofErr w:type="spellEnd"/>
      <w:r w:rsidRPr="00F80E43">
        <w:t xml:space="preserve"> 2.0 and fostering </w:t>
      </w:r>
      <w:proofErr w:type="spellStart"/>
      <w:r w:rsidRPr="00F80E43">
        <w:t>MoUs</w:t>
      </w:r>
      <w:proofErr w:type="spellEnd"/>
      <w:r w:rsidRPr="00F80E43">
        <w:t xml:space="preserve"> with agencies such as SFIO, CBI, and RBI, it ensures efficient intelligence dissemination while remaining independent of enforcement functions. As financial threats evolve, enhancements in AI and global cooperation will further bolster this framework, contributing to economic stability and international compliance.</w:t>
      </w:r>
    </w:p>
    <w:p w14:paraId="64394413" w14:textId="77777777" w:rsidR="00463747" w:rsidRPr="00F80E43" w:rsidRDefault="00463747" w:rsidP="00F80E43"/>
    <w:sectPr w:rsidR="00463747" w:rsidRPr="00F80E43" w:rsidSect="00752183">
      <w:headerReference w:type="default" r:id="rId6"/>
      <w:footerReference w:type="default" r:id="rId7"/>
      <w:pgSz w:w="12240" w:h="20160" w:code="5"/>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96927" w14:textId="77777777" w:rsidR="00E20C68" w:rsidRDefault="00E20C68" w:rsidP="002D4166">
      <w:pPr>
        <w:spacing w:after="0" w:line="240" w:lineRule="auto"/>
      </w:pPr>
      <w:r>
        <w:separator/>
      </w:r>
    </w:p>
  </w:endnote>
  <w:endnote w:type="continuationSeparator" w:id="0">
    <w:p w14:paraId="73E685F5" w14:textId="77777777" w:rsidR="00E20C68" w:rsidRDefault="00E20C68" w:rsidP="002D4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528784"/>
      <w:docPartObj>
        <w:docPartGallery w:val="Page Numbers (Bottom of Page)"/>
        <w:docPartUnique/>
      </w:docPartObj>
    </w:sdtPr>
    <w:sdtContent>
      <w:sdt>
        <w:sdtPr>
          <w:id w:val="1728636285"/>
          <w:docPartObj>
            <w:docPartGallery w:val="Page Numbers (Top of Page)"/>
            <w:docPartUnique/>
          </w:docPartObj>
        </w:sdtPr>
        <w:sdtContent>
          <w:p w14:paraId="137F5FD0" w14:textId="36D54474" w:rsidR="002D4166" w:rsidRDefault="002D4166">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584C9FA" w14:textId="77777777" w:rsidR="002D4166" w:rsidRDefault="002D4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6A12A" w14:textId="77777777" w:rsidR="00E20C68" w:rsidRDefault="00E20C68" w:rsidP="002D4166">
      <w:pPr>
        <w:spacing w:after="0" w:line="240" w:lineRule="auto"/>
      </w:pPr>
      <w:r>
        <w:separator/>
      </w:r>
    </w:p>
  </w:footnote>
  <w:footnote w:type="continuationSeparator" w:id="0">
    <w:p w14:paraId="60B316B9" w14:textId="77777777" w:rsidR="00E20C68" w:rsidRDefault="00E20C68" w:rsidP="002D41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970B" w14:textId="77777777" w:rsidR="002D4166" w:rsidRDefault="002D4166" w:rsidP="002D4166">
    <w:pPr>
      <w:pStyle w:val="Title"/>
    </w:pPr>
    <w:r w:rsidRPr="00F80E43">
      <w:t>The Architecture of Financial Intelligence in India</w:t>
    </w:r>
  </w:p>
  <w:p w14:paraId="7BEEF977" w14:textId="3B4D8D93" w:rsidR="002D4166" w:rsidRPr="002D4166" w:rsidRDefault="002D4166" w:rsidP="002D4166">
    <w:pPr>
      <w:rPr>
        <w:b/>
        <w:bCs/>
      </w:rPr>
    </w:pPr>
    <w:r w:rsidRPr="002D4166">
      <w:rPr>
        <w:b/>
        <w:bCs/>
      </w:rPr>
      <w:t xml:space="preserve">Grok: </w:t>
    </w:r>
    <w:r w:rsidRPr="002D4166">
      <w:rPr>
        <w:b/>
        <w:bCs/>
      </w:rPr>
      <w:fldChar w:fldCharType="begin"/>
    </w:r>
    <w:r w:rsidRPr="002D4166">
      <w:rPr>
        <w:b/>
        <w:bCs/>
      </w:rPr>
      <w:instrText xml:space="preserve"> DATE \@ "dd-MM-yyyy" </w:instrText>
    </w:r>
    <w:r w:rsidRPr="002D4166">
      <w:rPr>
        <w:b/>
        <w:bCs/>
      </w:rPr>
      <w:fldChar w:fldCharType="separate"/>
    </w:r>
    <w:r w:rsidR="00590883">
      <w:rPr>
        <w:b/>
        <w:bCs/>
        <w:noProof/>
      </w:rPr>
      <w:t>18-09-2025</w:t>
    </w:r>
    <w:r w:rsidRPr="002D4166">
      <w:rPr>
        <w:b/>
        <w:bCs/>
      </w:rPr>
      <w:fldChar w:fldCharType="end"/>
    </w:r>
  </w:p>
  <w:p w14:paraId="5EF0FF7E" w14:textId="77777777" w:rsidR="002D4166" w:rsidRDefault="002D416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747"/>
    <w:rsid w:val="000E5E99"/>
    <w:rsid w:val="002D4166"/>
    <w:rsid w:val="00311FD3"/>
    <w:rsid w:val="00396CCA"/>
    <w:rsid w:val="00463747"/>
    <w:rsid w:val="00590883"/>
    <w:rsid w:val="00752183"/>
    <w:rsid w:val="007D5ECC"/>
    <w:rsid w:val="007E02F5"/>
    <w:rsid w:val="0080038F"/>
    <w:rsid w:val="00E20C68"/>
    <w:rsid w:val="00F80E43"/>
    <w:rsid w:val="00F852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8F31A"/>
  <w15:chartTrackingRefBased/>
  <w15:docId w15:val="{9110B1AD-015C-4FF5-94F1-DFAEEFF08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74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6374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6374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637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7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74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6374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6374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637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7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747"/>
    <w:rPr>
      <w:rFonts w:eastAsiaTheme="majorEastAsia" w:cstheme="majorBidi"/>
      <w:color w:val="272727" w:themeColor="text1" w:themeTint="D8"/>
    </w:rPr>
  </w:style>
  <w:style w:type="paragraph" w:styleId="Title">
    <w:name w:val="Title"/>
    <w:basedOn w:val="Normal"/>
    <w:next w:val="Normal"/>
    <w:link w:val="TitleChar"/>
    <w:uiPriority w:val="10"/>
    <w:qFormat/>
    <w:rsid w:val="0046374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6374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6374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6374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63747"/>
    <w:pPr>
      <w:spacing w:before="160"/>
      <w:jc w:val="center"/>
    </w:pPr>
    <w:rPr>
      <w:i/>
      <w:iCs/>
      <w:color w:val="404040" w:themeColor="text1" w:themeTint="BF"/>
    </w:rPr>
  </w:style>
  <w:style w:type="character" w:customStyle="1" w:styleId="QuoteChar">
    <w:name w:val="Quote Char"/>
    <w:basedOn w:val="DefaultParagraphFont"/>
    <w:link w:val="Quote"/>
    <w:uiPriority w:val="29"/>
    <w:rsid w:val="00463747"/>
    <w:rPr>
      <w:i/>
      <w:iCs/>
      <w:color w:val="404040" w:themeColor="text1" w:themeTint="BF"/>
    </w:rPr>
  </w:style>
  <w:style w:type="paragraph" w:styleId="ListParagraph">
    <w:name w:val="List Paragraph"/>
    <w:basedOn w:val="Normal"/>
    <w:uiPriority w:val="34"/>
    <w:qFormat/>
    <w:rsid w:val="00463747"/>
    <w:pPr>
      <w:ind w:left="720"/>
      <w:contextualSpacing/>
    </w:pPr>
  </w:style>
  <w:style w:type="character" w:styleId="IntenseEmphasis">
    <w:name w:val="Intense Emphasis"/>
    <w:basedOn w:val="DefaultParagraphFont"/>
    <w:uiPriority w:val="21"/>
    <w:qFormat/>
    <w:rsid w:val="00463747"/>
    <w:rPr>
      <w:i/>
      <w:iCs/>
      <w:color w:val="0F4761" w:themeColor="accent1" w:themeShade="BF"/>
    </w:rPr>
  </w:style>
  <w:style w:type="paragraph" w:styleId="IntenseQuote">
    <w:name w:val="Intense Quote"/>
    <w:basedOn w:val="Normal"/>
    <w:next w:val="Normal"/>
    <w:link w:val="IntenseQuoteChar"/>
    <w:uiPriority w:val="30"/>
    <w:qFormat/>
    <w:rsid w:val="00463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747"/>
    <w:rPr>
      <w:i/>
      <w:iCs/>
      <w:color w:val="0F4761" w:themeColor="accent1" w:themeShade="BF"/>
    </w:rPr>
  </w:style>
  <w:style w:type="character" w:styleId="IntenseReference">
    <w:name w:val="Intense Reference"/>
    <w:basedOn w:val="DefaultParagraphFont"/>
    <w:uiPriority w:val="32"/>
    <w:qFormat/>
    <w:rsid w:val="00463747"/>
    <w:rPr>
      <w:b/>
      <w:bCs/>
      <w:smallCaps/>
      <w:color w:val="0F4761" w:themeColor="accent1" w:themeShade="BF"/>
      <w:spacing w:val="5"/>
    </w:rPr>
  </w:style>
  <w:style w:type="paragraph" w:styleId="Header">
    <w:name w:val="header"/>
    <w:basedOn w:val="Normal"/>
    <w:link w:val="HeaderChar"/>
    <w:uiPriority w:val="99"/>
    <w:unhideWhenUsed/>
    <w:rsid w:val="002D41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166"/>
  </w:style>
  <w:style w:type="paragraph" w:styleId="Footer">
    <w:name w:val="footer"/>
    <w:basedOn w:val="Normal"/>
    <w:link w:val="FooterChar"/>
    <w:uiPriority w:val="99"/>
    <w:unhideWhenUsed/>
    <w:rsid w:val="002D41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1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2</cp:revision>
  <cp:lastPrinted>2025-09-18T08:56:00Z</cp:lastPrinted>
  <dcterms:created xsi:type="dcterms:W3CDTF">2025-09-11T19:40:00Z</dcterms:created>
  <dcterms:modified xsi:type="dcterms:W3CDTF">2025-09-18T08:56:00Z</dcterms:modified>
</cp:coreProperties>
</file>